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A2E253" w14:textId="02D2FB44" w:rsidR="00E9753B" w:rsidRPr="009867C1" w:rsidRDefault="00C17CC8" w:rsidP="005425D2">
      <w:pPr>
        <w:jc w:val="center"/>
        <w:rPr>
          <w:b/>
        </w:rPr>
      </w:pPr>
      <w:r w:rsidRPr="009867C1">
        <w:rPr>
          <w:b/>
        </w:rPr>
        <w:t>Fish, Forests, Fungi: Soils</w:t>
      </w:r>
      <w:r w:rsidR="004D2993" w:rsidRPr="009867C1">
        <w:rPr>
          <w:b/>
        </w:rPr>
        <w:t xml:space="preserve"> in </w:t>
      </w:r>
      <w:r w:rsidRPr="009867C1">
        <w:rPr>
          <w:b/>
        </w:rPr>
        <w:t>the ‘</w:t>
      </w:r>
      <w:r w:rsidR="004D2993" w:rsidRPr="009867C1">
        <w:rPr>
          <w:b/>
        </w:rPr>
        <w:t>Salmon Forest</w:t>
      </w:r>
      <w:r w:rsidR="004007D4" w:rsidRPr="009867C1">
        <w:rPr>
          <w:b/>
        </w:rPr>
        <w:t>s</w:t>
      </w:r>
      <w:r w:rsidRPr="009867C1">
        <w:rPr>
          <w:b/>
        </w:rPr>
        <w:t>’ of British Columbia</w:t>
      </w:r>
    </w:p>
    <w:p w14:paraId="4DD162DE" w14:textId="77777777" w:rsidR="00E9753B" w:rsidRPr="009867C1" w:rsidRDefault="00E9753B" w:rsidP="005425D2">
      <w:pPr>
        <w:jc w:val="center"/>
      </w:pPr>
      <w:r w:rsidRPr="009867C1">
        <w:t>by</w:t>
      </w:r>
    </w:p>
    <w:p w14:paraId="74CABAE2" w14:textId="77777777" w:rsidR="00F572C2" w:rsidRPr="009867C1" w:rsidRDefault="00F572C2" w:rsidP="005425D2">
      <w:pPr>
        <w:jc w:val="center"/>
      </w:pPr>
    </w:p>
    <w:p w14:paraId="207060F2" w14:textId="77777777" w:rsidR="00E9753B" w:rsidRPr="009867C1" w:rsidRDefault="004D2993" w:rsidP="005425D2">
      <w:pPr>
        <w:jc w:val="center"/>
      </w:pPr>
      <w:r w:rsidRPr="009867C1">
        <w:t>Allen Thomas Larocque</w:t>
      </w:r>
    </w:p>
    <w:p w14:paraId="1243ECAC" w14:textId="77777777" w:rsidR="00E9753B" w:rsidRPr="009867C1" w:rsidRDefault="00E9753B" w:rsidP="005425D2">
      <w:pPr>
        <w:jc w:val="center"/>
      </w:pPr>
    </w:p>
    <w:p w14:paraId="52DB4445" w14:textId="07076F22" w:rsidR="00E9753B" w:rsidRPr="009867C1" w:rsidRDefault="00E9753B" w:rsidP="005425D2">
      <w:pPr>
        <w:jc w:val="center"/>
      </w:pPr>
      <w:r w:rsidRPr="009867C1">
        <w:t>B.</w:t>
      </w:r>
      <w:r w:rsidR="001E39A8">
        <w:t>Sc</w:t>
      </w:r>
      <w:r w:rsidRPr="009867C1">
        <w:t xml:space="preserve">., The University of British Columbia, </w:t>
      </w:r>
      <w:r w:rsidR="004D2993" w:rsidRPr="009867C1">
        <w:t>2006</w:t>
      </w:r>
    </w:p>
    <w:p w14:paraId="40D6F757" w14:textId="0A48874E" w:rsidR="004D2993" w:rsidRPr="009867C1" w:rsidRDefault="004D2993" w:rsidP="005425D2">
      <w:pPr>
        <w:jc w:val="center"/>
      </w:pPr>
      <w:r w:rsidRPr="009867C1">
        <w:t>M</w:t>
      </w:r>
      <w:r w:rsidR="005F4C52">
        <w:t>.</w:t>
      </w:r>
      <w:r w:rsidRPr="009867C1">
        <w:t>Sc. McGill University, 2011</w:t>
      </w:r>
    </w:p>
    <w:p w14:paraId="11DB8A24" w14:textId="77777777" w:rsidR="00E9753B" w:rsidRPr="009867C1" w:rsidRDefault="00E9753B" w:rsidP="005425D2">
      <w:pPr>
        <w:jc w:val="center"/>
      </w:pPr>
    </w:p>
    <w:p w14:paraId="2E4F5022" w14:textId="4939F538" w:rsidR="00E9753B" w:rsidRPr="009867C1" w:rsidRDefault="00E9753B" w:rsidP="005425D2">
      <w:pPr>
        <w:jc w:val="center"/>
      </w:pPr>
      <w:r w:rsidRPr="009867C1">
        <w:t xml:space="preserve">A </w:t>
      </w:r>
      <w:r w:rsidR="005F4C52">
        <w:t>DISSERTATION</w:t>
      </w:r>
      <w:r w:rsidRPr="009867C1">
        <w:t xml:space="preserve"> SUBMITTED IN PARTIAL FULFILLMENT OF</w:t>
      </w:r>
    </w:p>
    <w:p w14:paraId="33C20603" w14:textId="77777777" w:rsidR="00E9753B" w:rsidRPr="009867C1" w:rsidRDefault="00E9753B" w:rsidP="005425D2">
      <w:pPr>
        <w:jc w:val="center"/>
      </w:pPr>
      <w:r w:rsidRPr="009867C1">
        <w:t>THE REQUIREMENTS FOR THE DEGREE OF</w:t>
      </w:r>
    </w:p>
    <w:p w14:paraId="356D7CE1" w14:textId="77777777" w:rsidR="00E9753B" w:rsidRPr="009867C1" w:rsidRDefault="00E9753B" w:rsidP="005425D2">
      <w:pPr>
        <w:jc w:val="center"/>
      </w:pPr>
    </w:p>
    <w:p w14:paraId="445C8AC5" w14:textId="77777777" w:rsidR="00E9753B" w:rsidRPr="009867C1" w:rsidRDefault="004D2993" w:rsidP="005425D2">
      <w:pPr>
        <w:jc w:val="center"/>
      </w:pPr>
      <w:r w:rsidRPr="009867C1">
        <w:t>DOCTOR OF PHILOSOPHY</w:t>
      </w:r>
    </w:p>
    <w:p w14:paraId="2D4488E6" w14:textId="77777777" w:rsidR="00E9753B" w:rsidRPr="009867C1" w:rsidRDefault="00E9753B" w:rsidP="005425D2">
      <w:pPr>
        <w:jc w:val="center"/>
      </w:pPr>
      <w:r w:rsidRPr="009867C1">
        <w:t>in</w:t>
      </w:r>
    </w:p>
    <w:p w14:paraId="70819034" w14:textId="77777777" w:rsidR="008F344D" w:rsidRDefault="00E9753B" w:rsidP="0068326E">
      <w:pPr>
        <w:jc w:val="center"/>
      </w:pPr>
      <w:r w:rsidRPr="009867C1">
        <w:t xml:space="preserve">THE FACULTY </w:t>
      </w:r>
      <w:r w:rsidR="008F344D">
        <w:t xml:space="preserve">OF GRADUATE AND POSTDOCTORAL STUDIES </w:t>
      </w:r>
    </w:p>
    <w:p w14:paraId="3944B785" w14:textId="2429BE98" w:rsidR="00E9753B" w:rsidRPr="009867C1" w:rsidRDefault="008F344D" w:rsidP="0068326E">
      <w:pPr>
        <w:jc w:val="center"/>
      </w:pPr>
      <w:r>
        <w:t>(Forestry)</w:t>
      </w:r>
    </w:p>
    <w:p w14:paraId="1C414C99" w14:textId="77777777" w:rsidR="00E9753B" w:rsidRPr="009867C1" w:rsidRDefault="00E9753B" w:rsidP="005425D2">
      <w:pPr>
        <w:jc w:val="center"/>
      </w:pPr>
    </w:p>
    <w:p w14:paraId="102456E9" w14:textId="77777777" w:rsidR="00E9753B" w:rsidRPr="009867C1" w:rsidRDefault="00E9753B" w:rsidP="005425D2">
      <w:pPr>
        <w:jc w:val="center"/>
      </w:pPr>
      <w:r w:rsidRPr="009867C1">
        <w:t>THE UNIVERSITY OF BRITISH COLUMBIA</w:t>
      </w:r>
    </w:p>
    <w:p w14:paraId="5D26ED81" w14:textId="77777777" w:rsidR="00E9753B" w:rsidRPr="009867C1" w:rsidRDefault="00E9753B" w:rsidP="005425D2">
      <w:pPr>
        <w:jc w:val="center"/>
      </w:pPr>
      <w:r w:rsidRPr="009867C1">
        <w:t xml:space="preserve">(Vancouver) </w:t>
      </w:r>
    </w:p>
    <w:p w14:paraId="7C6AE096" w14:textId="4EF278F3" w:rsidR="00CE481D" w:rsidRDefault="008F344D" w:rsidP="005425D2">
      <w:pPr>
        <w:jc w:val="center"/>
      </w:pPr>
      <w:r>
        <w:t>April</w:t>
      </w:r>
      <w:r w:rsidR="00CE481D" w:rsidRPr="009867C1">
        <w:t xml:space="preserve"> 202</w:t>
      </w:r>
      <w:r>
        <w:t>2</w:t>
      </w:r>
    </w:p>
    <w:p w14:paraId="4716DD51" w14:textId="77777777" w:rsidR="008F344D" w:rsidRPr="009867C1" w:rsidRDefault="008F344D" w:rsidP="005425D2">
      <w:pPr>
        <w:jc w:val="center"/>
      </w:pPr>
    </w:p>
    <w:p w14:paraId="4C10CF7D" w14:textId="77777777" w:rsidR="00CE481D" w:rsidRPr="009867C1" w:rsidRDefault="00CE481D" w:rsidP="005425D2">
      <w:pPr>
        <w:jc w:val="center"/>
      </w:pPr>
    </w:p>
    <w:p w14:paraId="4DF8EF46" w14:textId="1FFE3A9A" w:rsidR="00D964A8" w:rsidRDefault="0061026F" w:rsidP="00CE481D">
      <w:pPr>
        <w:jc w:val="center"/>
        <w:sectPr w:rsidR="00D964A8" w:rsidSect="00D964A8">
          <w:footerReference w:type="default" r:id="rId8"/>
          <w:footerReference w:type="first" r:id="rId9"/>
          <w:type w:val="continuous"/>
          <w:pgSz w:w="12240" w:h="15840" w:code="1"/>
          <w:pgMar w:top="1440" w:right="1440" w:bottom="1440" w:left="1440" w:header="706" w:footer="706" w:gutter="0"/>
          <w:pgNumType w:fmt="lowerRoman" w:start="1"/>
          <w:cols w:space="708"/>
          <w:titlePg/>
          <w:docGrid w:linePitch="326"/>
        </w:sectPr>
      </w:pPr>
      <w:r>
        <w:rPr>
          <w:noProof/>
        </w:rPr>
        <mc:AlternateContent>
          <mc:Choice Requires="wps">
            <w:drawing>
              <wp:anchor distT="0" distB="0" distL="114300" distR="114300" simplePos="0" relativeHeight="251684864" behindDoc="0" locked="0" layoutInCell="1" allowOverlap="1" wp14:anchorId="771ADE70" wp14:editId="7C8400C7">
                <wp:simplePos x="0" y="0"/>
                <wp:positionH relativeFrom="column">
                  <wp:posOffset>5464454</wp:posOffset>
                </wp:positionH>
                <wp:positionV relativeFrom="paragraph">
                  <wp:posOffset>459664</wp:posOffset>
                </wp:positionV>
                <wp:extent cx="731520" cy="526694"/>
                <wp:effectExtent l="0" t="0" r="11430" b="26035"/>
                <wp:wrapNone/>
                <wp:docPr id="2" name="Rectangle 2"/>
                <wp:cNvGraphicFramePr/>
                <a:graphic xmlns:a="http://schemas.openxmlformats.org/drawingml/2006/main">
                  <a:graphicData uri="http://schemas.microsoft.com/office/word/2010/wordprocessingShape">
                    <wps:wsp>
                      <wps:cNvSpPr/>
                      <wps:spPr>
                        <a:xfrm>
                          <a:off x="0" y="0"/>
                          <a:ext cx="731520" cy="52669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B706EE" id="Rectangle 2" o:spid="_x0000_s1026" style="position:absolute;margin-left:430.25pt;margin-top:36.2pt;width:57.6pt;height:41.4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" fillcolor="white [3212]" strokecolor="white [3212]" strokeweight="2pt"/>
            </w:pict>
          </mc:Fallback>
        </mc:AlternateContent>
      </w:r>
      <w:r w:rsidR="00E9753B" w:rsidRPr="009867C1">
        <w:t xml:space="preserve">© </w:t>
      </w:r>
      <w:r w:rsidR="004D2993" w:rsidRPr="009867C1">
        <w:t>Allen Larocque</w:t>
      </w:r>
      <w:r w:rsidR="00E9753B" w:rsidRPr="009867C1">
        <w:t xml:space="preserve">, </w:t>
      </w:r>
      <w:r w:rsidR="00CE481D" w:rsidRPr="009867C1">
        <w:t>202</w:t>
      </w:r>
      <w:bookmarkStart w:id="0" w:name="_Toc153357226"/>
      <w:bookmarkStart w:id="1" w:name="_Toc157169034"/>
      <w:r w:rsidR="00080C5B">
        <w:t>2</w:t>
      </w:r>
    </w:p>
    <w:p w14:paraId="08C2831D" w14:textId="5E0995EA" w:rsidR="00605041" w:rsidRPr="009867C1" w:rsidRDefault="00605041" w:rsidP="00B74F91">
      <w:pPr>
        <w:spacing w:line="240" w:lineRule="auto"/>
      </w:pPr>
      <w:r w:rsidRPr="009867C1">
        <w:lastRenderedPageBreak/>
        <w:t>The following individuals</w:t>
      </w:r>
      <w:r w:rsidR="004D2993" w:rsidRPr="009867C1">
        <w:t xml:space="preserve"> </w:t>
      </w:r>
      <w:r w:rsidRPr="009867C1">
        <w:t>certify that they have read, and recommend to the Faculty of Graduate and Postdoctoral</w:t>
      </w:r>
      <w:r w:rsidR="004D2993" w:rsidRPr="009867C1">
        <w:t xml:space="preserve"> </w:t>
      </w:r>
      <w:r w:rsidRPr="009867C1">
        <w:t>Studies for acceptance, the dissertation entitled:</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605041" w:rsidRPr="009867C1" w14:paraId="2F90861C" w14:textId="77777777" w:rsidTr="00B74F91">
        <w:trPr>
          <w:trHeight w:val="387"/>
        </w:trPr>
        <w:tc>
          <w:tcPr>
            <w:tcW w:w="9576" w:type="dxa"/>
            <w:vAlign w:val="bottom"/>
          </w:tcPr>
          <w:p w14:paraId="292C9D05" w14:textId="5CDC744B" w:rsidR="00605041" w:rsidRPr="009867C1" w:rsidRDefault="00B5643D" w:rsidP="00B417BA">
            <w:pPr>
              <w:spacing w:before="240" w:line="240" w:lineRule="auto"/>
            </w:pPr>
            <w:r w:rsidRPr="009867C1">
              <w:t>Fish, Forests, Fungi: Soils in the ‘Salmon Forests’ of British Columbia</w:t>
            </w:r>
          </w:p>
        </w:tc>
      </w:tr>
    </w:tbl>
    <w:p w14:paraId="5675A9FA" w14:textId="77777777" w:rsidR="00605041" w:rsidRPr="009867C1" w:rsidRDefault="00605041" w:rsidP="00B417BA">
      <w:pPr>
        <w:spacing w:line="240" w:lineRule="auto"/>
      </w:pPr>
    </w:p>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0"/>
        <w:gridCol w:w="3290"/>
        <w:gridCol w:w="4540"/>
      </w:tblGrid>
      <w:tr w:rsidR="007E4A65" w:rsidRPr="009867C1" w14:paraId="13B7370E" w14:textId="77777777" w:rsidTr="00B417BA">
        <w:trPr>
          <w:cantSplit/>
          <w:trHeight w:hRule="exact" w:val="585"/>
        </w:trPr>
        <w:tc>
          <w:tcPr>
            <w:tcW w:w="1530" w:type="dxa"/>
            <w:vAlign w:val="bottom"/>
          </w:tcPr>
          <w:p w14:paraId="7B06B26F" w14:textId="77777777" w:rsidR="007E4A65" w:rsidRPr="009867C1" w:rsidRDefault="007E4A65" w:rsidP="00B417BA">
            <w:pPr>
              <w:spacing w:line="240" w:lineRule="auto"/>
            </w:pPr>
            <w:r w:rsidRPr="009867C1">
              <w:t>submitted by</w:t>
            </w:r>
          </w:p>
        </w:tc>
        <w:tc>
          <w:tcPr>
            <w:tcW w:w="3290" w:type="dxa"/>
            <w:tcBorders>
              <w:bottom w:val="single" w:sz="4" w:space="0" w:color="auto"/>
            </w:tcBorders>
            <w:vAlign w:val="bottom"/>
          </w:tcPr>
          <w:p w14:paraId="4AF84BA1" w14:textId="407B1754" w:rsidR="007E4A65" w:rsidRPr="009867C1" w:rsidRDefault="00B5643D" w:rsidP="00B417BA">
            <w:pPr>
              <w:spacing w:line="240" w:lineRule="auto"/>
            </w:pPr>
            <w:r w:rsidRPr="009867C1">
              <w:t>Allen Larocque</w:t>
            </w:r>
          </w:p>
        </w:tc>
        <w:tc>
          <w:tcPr>
            <w:tcW w:w="4540" w:type="dxa"/>
            <w:vAlign w:val="bottom"/>
          </w:tcPr>
          <w:p w14:paraId="327A2A58" w14:textId="77777777" w:rsidR="007E4A65" w:rsidRPr="009867C1" w:rsidRDefault="007E4A65" w:rsidP="00B417BA">
            <w:pPr>
              <w:spacing w:line="240" w:lineRule="auto"/>
            </w:pPr>
            <w:r w:rsidRPr="009867C1">
              <w:t>in partial fulfillment of the requirements for</w:t>
            </w:r>
          </w:p>
        </w:tc>
      </w:tr>
      <w:tr w:rsidR="00605041" w:rsidRPr="009867C1" w14:paraId="0A05A67B" w14:textId="77777777" w:rsidTr="007E4A65">
        <w:trPr>
          <w:cantSplit/>
          <w:trHeight w:hRule="exact" w:val="720"/>
        </w:trPr>
        <w:tc>
          <w:tcPr>
            <w:tcW w:w="1530" w:type="dxa"/>
            <w:vAlign w:val="bottom"/>
          </w:tcPr>
          <w:p w14:paraId="76C7D9B1" w14:textId="77777777" w:rsidR="00605041" w:rsidRPr="009867C1" w:rsidRDefault="00605041" w:rsidP="00B417BA">
            <w:pPr>
              <w:spacing w:line="240" w:lineRule="auto"/>
            </w:pPr>
            <w:r w:rsidRPr="009867C1">
              <w:t>the degree of</w:t>
            </w:r>
          </w:p>
        </w:tc>
        <w:tc>
          <w:tcPr>
            <w:tcW w:w="7830" w:type="dxa"/>
            <w:gridSpan w:val="2"/>
            <w:tcBorders>
              <w:bottom w:val="single" w:sz="4" w:space="0" w:color="auto"/>
            </w:tcBorders>
            <w:vAlign w:val="bottom"/>
          </w:tcPr>
          <w:p w14:paraId="6BF751AF" w14:textId="7E4D07D0" w:rsidR="00605041" w:rsidRPr="009867C1" w:rsidRDefault="00B5643D" w:rsidP="00B417BA">
            <w:pPr>
              <w:spacing w:before="240" w:line="240" w:lineRule="auto"/>
            </w:pPr>
            <w:r w:rsidRPr="009867C1">
              <w:t>Doctor of Philosophy</w:t>
            </w:r>
          </w:p>
        </w:tc>
      </w:tr>
      <w:tr w:rsidR="00605041" w:rsidRPr="009867C1" w14:paraId="1DAF1E92" w14:textId="77777777" w:rsidTr="00B417BA">
        <w:trPr>
          <w:cantSplit/>
          <w:trHeight w:hRule="exact" w:val="550"/>
        </w:trPr>
        <w:tc>
          <w:tcPr>
            <w:tcW w:w="1530" w:type="dxa"/>
            <w:vAlign w:val="bottom"/>
          </w:tcPr>
          <w:p w14:paraId="15D0728F" w14:textId="77777777" w:rsidR="00605041" w:rsidRPr="009867C1" w:rsidRDefault="00605041" w:rsidP="00B417BA">
            <w:pPr>
              <w:spacing w:line="240" w:lineRule="auto"/>
            </w:pPr>
            <w:r w:rsidRPr="009867C1">
              <w:t>in</w:t>
            </w:r>
          </w:p>
        </w:tc>
        <w:tc>
          <w:tcPr>
            <w:tcW w:w="7830" w:type="dxa"/>
            <w:gridSpan w:val="2"/>
            <w:tcBorders>
              <w:top w:val="single" w:sz="4" w:space="0" w:color="auto"/>
              <w:bottom w:val="single" w:sz="4" w:space="0" w:color="auto"/>
            </w:tcBorders>
            <w:vAlign w:val="bottom"/>
          </w:tcPr>
          <w:p w14:paraId="78C7A26D" w14:textId="5C20FEF2" w:rsidR="00605041" w:rsidRPr="009867C1" w:rsidRDefault="005D74F6" w:rsidP="00B417BA">
            <w:pPr>
              <w:spacing w:before="240" w:line="240" w:lineRule="auto"/>
            </w:pPr>
            <w:r w:rsidRPr="005D74F6">
              <w:t>The Faculty of Graduate and Postdoctoral Studies</w:t>
            </w:r>
          </w:p>
        </w:tc>
      </w:tr>
    </w:tbl>
    <w:p w14:paraId="62347AF6" w14:textId="77777777" w:rsidR="00605041" w:rsidRPr="009867C1" w:rsidRDefault="00605041" w:rsidP="00B417BA">
      <w:pPr>
        <w:spacing w:after="120" w:line="240" w:lineRule="auto"/>
        <w:rPr>
          <w:b/>
        </w:rPr>
      </w:pPr>
    </w:p>
    <w:p w14:paraId="125E2ADA" w14:textId="77777777" w:rsidR="00605041" w:rsidRPr="009867C1" w:rsidRDefault="00605041" w:rsidP="00B74F91">
      <w:pPr>
        <w:spacing w:after="120"/>
        <w:rPr>
          <w:b/>
        </w:rPr>
      </w:pPr>
      <w:r w:rsidRPr="009867C1">
        <w:rPr>
          <w:b/>
        </w:rPr>
        <w:t>Examining Committee: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605041" w:rsidRPr="009867C1" w14:paraId="7F80A164" w14:textId="77777777" w:rsidTr="00B74F91">
        <w:trPr>
          <w:cantSplit/>
          <w:trHeight w:hRule="exact" w:val="432"/>
        </w:trPr>
        <w:tc>
          <w:tcPr>
            <w:tcW w:w="9638" w:type="dxa"/>
            <w:tcBorders>
              <w:bottom w:val="single" w:sz="4" w:space="0" w:color="auto"/>
            </w:tcBorders>
            <w:vAlign w:val="bottom"/>
          </w:tcPr>
          <w:p w14:paraId="419EADDC" w14:textId="64EB2DFF" w:rsidR="00605041" w:rsidRPr="009867C1" w:rsidRDefault="00B5643D" w:rsidP="00B417BA">
            <w:pPr>
              <w:spacing w:line="240" w:lineRule="auto"/>
            </w:pPr>
            <w:r w:rsidRPr="009867C1">
              <w:t>Dr. Suzanne Simard</w:t>
            </w:r>
            <w:r w:rsidR="00080C5B">
              <w:t>, Professor, Forestry, UBC</w:t>
            </w:r>
          </w:p>
        </w:tc>
      </w:tr>
      <w:tr w:rsidR="00605041" w:rsidRPr="009867C1" w14:paraId="4E07E2B9" w14:textId="77777777" w:rsidTr="00B74F91">
        <w:trPr>
          <w:cantSplit/>
          <w:trHeight w:hRule="exact" w:val="432"/>
        </w:trPr>
        <w:tc>
          <w:tcPr>
            <w:tcW w:w="9638" w:type="dxa"/>
            <w:tcBorders>
              <w:top w:val="single" w:sz="4" w:space="0" w:color="auto"/>
            </w:tcBorders>
          </w:tcPr>
          <w:p w14:paraId="04BC7CAE" w14:textId="77777777" w:rsidR="00605041" w:rsidRPr="009867C1" w:rsidRDefault="00605041" w:rsidP="00B74F91">
            <w:r w:rsidRPr="009867C1">
              <w:t xml:space="preserve">Supervisor </w:t>
            </w:r>
          </w:p>
        </w:tc>
      </w:tr>
      <w:tr w:rsidR="00605041" w:rsidRPr="009867C1" w14:paraId="30B16DAA" w14:textId="77777777" w:rsidTr="00B74F91">
        <w:trPr>
          <w:cantSplit/>
          <w:trHeight w:hRule="exact" w:val="432"/>
        </w:trPr>
        <w:tc>
          <w:tcPr>
            <w:tcW w:w="9638" w:type="dxa"/>
            <w:tcBorders>
              <w:bottom w:val="single" w:sz="4" w:space="0" w:color="auto"/>
            </w:tcBorders>
            <w:vAlign w:val="bottom"/>
          </w:tcPr>
          <w:p w14:paraId="1F919FF0" w14:textId="2BCBE37D" w:rsidR="00605041" w:rsidRPr="009867C1" w:rsidRDefault="00B5643D" w:rsidP="00B417BA">
            <w:pPr>
              <w:spacing w:line="240" w:lineRule="auto"/>
            </w:pPr>
            <w:r w:rsidRPr="009867C1">
              <w:t>Dr. Robert Guy</w:t>
            </w:r>
            <w:r w:rsidR="00080C5B">
              <w:t>, Professor, Forestry, UBC</w:t>
            </w:r>
          </w:p>
        </w:tc>
      </w:tr>
      <w:tr w:rsidR="00605041" w:rsidRPr="009867C1" w14:paraId="32F0295A" w14:textId="77777777" w:rsidTr="00B74F91">
        <w:trPr>
          <w:cantSplit/>
          <w:trHeight w:hRule="exact" w:val="432"/>
        </w:trPr>
        <w:tc>
          <w:tcPr>
            <w:tcW w:w="9638" w:type="dxa"/>
            <w:tcBorders>
              <w:top w:val="single" w:sz="4" w:space="0" w:color="auto"/>
            </w:tcBorders>
          </w:tcPr>
          <w:p w14:paraId="21C8E46F" w14:textId="77777777" w:rsidR="00605041" w:rsidRPr="009867C1" w:rsidRDefault="00605041" w:rsidP="00B74F91">
            <w:r w:rsidRPr="009867C1">
              <w:t xml:space="preserve">Supervisory Committee Member </w:t>
            </w:r>
          </w:p>
        </w:tc>
      </w:tr>
      <w:tr w:rsidR="00605041" w:rsidRPr="009867C1" w14:paraId="3E8E3C7D" w14:textId="77777777" w:rsidTr="00B74F91">
        <w:trPr>
          <w:cantSplit/>
          <w:trHeight w:hRule="exact" w:val="432"/>
        </w:trPr>
        <w:tc>
          <w:tcPr>
            <w:tcW w:w="9638" w:type="dxa"/>
            <w:tcBorders>
              <w:bottom w:val="single" w:sz="4" w:space="0" w:color="auto"/>
            </w:tcBorders>
            <w:vAlign w:val="bottom"/>
          </w:tcPr>
          <w:p w14:paraId="426F2FEC" w14:textId="243FC88C" w:rsidR="00605041" w:rsidRPr="009867C1" w:rsidRDefault="00843ECF" w:rsidP="00B417BA">
            <w:pPr>
              <w:spacing w:line="240" w:lineRule="auto"/>
            </w:pPr>
            <w:r w:rsidRPr="009867C1">
              <w:t>Dr. John Reynolds</w:t>
            </w:r>
            <w:r w:rsidR="00080C5B">
              <w:t xml:space="preserve">, Professor, </w:t>
            </w:r>
            <w:r w:rsidR="00EF5DE3">
              <w:t xml:space="preserve">Biology, </w:t>
            </w:r>
            <w:r w:rsidR="00080C5B">
              <w:t>Simon Fraser University</w:t>
            </w:r>
          </w:p>
        </w:tc>
      </w:tr>
      <w:tr w:rsidR="00605041" w:rsidRPr="009867C1" w14:paraId="0792DDDA" w14:textId="77777777" w:rsidTr="00B74F91">
        <w:trPr>
          <w:cantSplit/>
          <w:trHeight w:hRule="exact" w:val="432"/>
        </w:trPr>
        <w:tc>
          <w:tcPr>
            <w:tcW w:w="9638" w:type="dxa"/>
            <w:tcBorders>
              <w:top w:val="single" w:sz="4" w:space="0" w:color="auto"/>
            </w:tcBorders>
          </w:tcPr>
          <w:p w14:paraId="142333D9" w14:textId="77777777" w:rsidR="00605041" w:rsidRPr="009867C1" w:rsidRDefault="00605041" w:rsidP="00B74F91">
            <w:r w:rsidRPr="009867C1">
              <w:t>Supervisory Committee Member</w:t>
            </w:r>
          </w:p>
          <w:p w14:paraId="71B35362" w14:textId="7094B651" w:rsidR="00B5643D" w:rsidRPr="009867C1" w:rsidRDefault="00B5643D" w:rsidP="00B74F91"/>
        </w:tc>
      </w:tr>
      <w:tr w:rsidR="00605041" w:rsidRPr="009867C1" w14:paraId="78450C35" w14:textId="77777777" w:rsidTr="00B74F91">
        <w:trPr>
          <w:cantSplit/>
          <w:trHeight w:hRule="exact" w:val="432"/>
        </w:trPr>
        <w:tc>
          <w:tcPr>
            <w:tcW w:w="9638" w:type="dxa"/>
            <w:tcBorders>
              <w:bottom w:val="single" w:sz="4" w:space="0" w:color="auto"/>
            </w:tcBorders>
            <w:vAlign w:val="bottom"/>
          </w:tcPr>
          <w:p w14:paraId="2855A26E" w14:textId="3252C179" w:rsidR="00605041" w:rsidRPr="009867C1" w:rsidRDefault="00843ECF" w:rsidP="00B417BA">
            <w:pPr>
              <w:spacing w:line="240" w:lineRule="auto"/>
            </w:pPr>
            <w:r>
              <w:t>Dr. Les Lavkulich</w:t>
            </w:r>
            <w:r w:rsidR="00080C5B">
              <w:t xml:space="preserve">, Professor Emeritus, </w:t>
            </w:r>
            <w:r w:rsidR="00EF5DE3">
              <w:t xml:space="preserve">Land and Food Systems, </w:t>
            </w:r>
            <w:r w:rsidR="00080C5B">
              <w:t>UBC</w:t>
            </w:r>
          </w:p>
        </w:tc>
      </w:tr>
      <w:tr w:rsidR="00605041" w:rsidRPr="009867C1" w14:paraId="66BDF3D7" w14:textId="77777777" w:rsidTr="00B74F91">
        <w:trPr>
          <w:cantSplit/>
          <w:trHeight w:hRule="exact" w:val="432"/>
        </w:trPr>
        <w:tc>
          <w:tcPr>
            <w:tcW w:w="9638" w:type="dxa"/>
            <w:tcBorders>
              <w:top w:val="single" w:sz="4" w:space="0" w:color="auto"/>
            </w:tcBorders>
          </w:tcPr>
          <w:p w14:paraId="0BF23A94" w14:textId="77777777" w:rsidR="00605041" w:rsidRPr="009867C1" w:rsidRDefault="00605041" w:rsidP="00B74F91">
            <w:r w:rsidRPr="009867C1">
              <w:t>University Examiner</w:t>
            </w:r>
          </w:p>
        </w:tc>
      </w:tr>
      <w:tr w:rsidR="00605041" w:rsidRPr="009867C1" w14:paraId="61029DAD" w14:textId="77777777" w:rsidTr="00B74F91">
        <w:trPr>
          <w:cantSplit/>
          <w:trHeight w:hRule="exact" w:val="432"/>
        </w:trPr>
        <w:tc>
          <w:tcPr>
            <w:tcW w:w="9638" w:type="dxa"/>
            <w:tcBorders>
              <w:bottom w:val="single" w:sz="4" w:space="0" w:color="auto"/>
            </w:tcBorders>
            <w:vAlign w:val="bottom"/>
          </w:tcPr>
          <w:p w14:paraId="016BD0F5" w14:textId="72FE15F3" w:rsidR="00605041" w:rsidRDefault="00843ECF" w:rsidP="00B417BA">
            <w:pPr>
              <w:spacing w:line="240" w:lineRule="auto"/>
            </w:pPr>
            <w:r>
              <w:t>Dr. Go</w:t>
            </w:r>
            <w:r w:rsidR="00EF5DE3">
              <w:t>r</w:t>
            </w:r>
            <w:r>
              <w:t>don Holtgreive</w:t>
            </w:r>
            <w:r w:rsidR="00080C5B">
              <w:t xml:space="preserve">, Assistant Professor, </w:t>
            </w:r>
            <w:r w:rsidR="00EF5DE3">
              <w:t xml:space="preserve">Aquatic and Fishery Sciences, </w:t>
            </w:r>
            <w:r w:rsidR="00080C5B">
              <w:t>U</w:t>
            </w:r>
            <w:r w:rsidR="00EF5DE3">
              <w:t>.</w:t>
            </w:r>
            <w:r w:rsidR="00080C5B">
              <w:t xml:space="preserve"> Washington </w:t>
            </w:r>
          </w:p>
          <w:p w14:paraId="2040622A" w14:textId="6403D0BD" w:rsidR="00EF5DE3" w:rsidRPr="009867C1" w:rsidRDefault="00EF5DE3" w:rsidP="00B417BA">
            <w:pPr>
              <w:spacing w:line="240" w:lineRule="auto"/>
            </w:pPr>
          </w:p>
        </w:tc>
      </w:tr>
      <w:tr w:rsidR="00605041" w:rsidRPr="009867C1" w14:paraId="7A0C9144" w14:textId="77777777" w:rsidTr="00B74F91">
        <w:trPr>
          <w:cantSplit/>
          <w:trHeight w:hRule="exact" w:val="432"/>
        </w:trPr>
        <w:tc>
          <w:tcPr>
            <w:tcW w:w="9638" w:type="dxa"/>
            <w:tcBorders>
              <w:top w:val="single" w:sz="4" w:space="0" w:color="auto"/>
            </w:tcBorders>
          </w:tcPr>
          <w:p w14:paraId="3C67ED6F" w14:textId="77777777" w:rsidR="00605041" w:rsidRPr="009867C1" w:rsidRDefault="00605041" w:rsidP="00B74F91">
            <w:r w:rsidRPr="009867C1">
              <w:t>University Examiner</w:t>
            </w:r>
          </w:p>
        </w:tc>
      </w:tr>
    </w:tbl>
    <w:p w14:paraId="4F2DC4A7" w14:textId="77777777" w:rsidR="00B74F91" w:rsidRPr="009867C1" w:rsidRDefault="00B74F91" w:rsidP="00B417BA">
      <w:pPr>
        <w:spacing w:line="240" w:lineRule="auto"/>
        <w:rPr>
          <w:b/>
        </w:rPr>
      </w:pPr>
    </w:p>
    <w:p w14:paraId="29DE2AB0" w14:textId="77777777" w:rsidR="00605041" w:rsidRPr="009867C1" w:rsidRDefault="00605041" w:rsidP="00B74F91">
      <w:pPr>
        <w:rPr>
          <w:b/>
        </w:rPr>
      </w:pPr>
      <w:r w:rsidRPr="009867C1">
        <w:rPr>
          <w:b/>
        </w:rPr>
        <w:t>Additional Supervisory Committee Members: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605041" w:rsidRPr="009867C1" w14:paraId="02BF1096" w14:textId="77777777" w:rsidTr="00C61CE2">
        <w:trPr>
          <w:cantSplit/>
          <w:trHeight w:hRule="exact" w:val="432"/>
        </w:trPr>
        <w:tc>
          <w:tcPr>
            <w:tcW w:w="9576" w:type="dxa"/>
            <w:tcBorders>
              <w:bottom w:val="single" w:sz="4" w:space="0" w:color="auto"/>
            </w:tcBorders>
            <w:vAlign w:val="bottom"/>
          </w:tcPr>
          <w:p w14:paraId="4B186A9E" w14:textId="5F6DBDC6" w:rsidR="00605041" w:rsidRPr="009867C1" w:rsidRDefault="00843ECF" w:rsidP="00B417BA">
            <w:pPr>
              <w:spacing w:line="240" w:lineRule="auto"/>
            </w:pPr>
            <w:r w:rsidRPr="009867C1">
              <w:t>Dr. William Mohn</w:t>
            </w:r>
            <w:r w:rsidR="00080C5B">
              <w:t xml:space="preserve">, Professor, </w:t>
            </w:r>
            <w:r w:rsidR="00EF5DE3">
              <w:t xml:space="preserve">Microbiology &amp; Immunology, </w:t>
            </w:r>
            <w:r w:rsidR="00080C5B">
              <w:t>UBC</w:t>
            </w:r>
          </w:p>
        </w:tc>
      </w:tr>
      <w:tr w:rsidR="00605041" w:rsidRPr="009867C1" w14:paraId="541C600E" w14:textId="77777777" w:rsidTr="00C61CE2">
        <w:trPr>
          <w:cantSplit/>
          <w:trHeight w:hRule="exact" w:val="432"/>
        </w:trPr>
        <w:tc>
          <w:tcPr>
            <w:tcW w:w="9576" w:type="dxa"/>
            <w:tcBorders>
              <w:top w:val="single" w:sz="4" w:space="0" w:color="auto"/>
            </w:tcBorders>
          </w:tcPr>
          <w:p w14:paraId="76EBEE28" w14:textId="77777777" w:rsidR="00605041" w:rsidRPr="009867C1" w:rsidRDefault="00605041" w:rsidP="00B74F91">
            <w:r w:rsidRPr="009867C1">
              <w:t>Supervisory Committee Member</w:t>
            </w:r>
          </w:p>
        </w:tc>
      </w:tr>
      <w:tr w:rsidR="00605041" w:rsidRPr="009867C1" w14:paraId="46274EF5" w14:textId="77777777" w:rsidTr="00C61CE2">
        <w:trPr>
          <w:cantSplit/>
          <w:trHeight w:hRule="exact" w:val="432"/>
        </w:trPr>
        <w:tc>
          <w:tcPr>
            <w:tcW w:w="9576" w:type="dxa"/>
            <w:tcBorders>
              <w:bottom w:val="single" w:sz="4" w:space="0" w:color="auto"/>
            </w:tcBorders>
            <w:vAlign w:val="bottom"/>
          </w:tcPr>
          <w:p w14:paraId="5F9DDCAA" w14:textId="159A1F0C" w:rsidR="00605041" w:rsidRPr="009867C1" w:rsidRDefault="00B5643D" w:rsidP="00B417BA">
            <w:pPr>
              <w:spacing w:line="240" w:lineRule="auto"/>
            </w:pPr>
            <w:r w:rsidRPr="009867C1">
              <w:t>Dr. Thomas Reimchen</w:t>
            </w:r>
            <w:r w:rsidR="00080C5B">
              <w:t xml:space="preserve">, Adjunct Professor, </w:t>
            </w:r>
            <w:r w:rsidR="00EF5DE3">
              <w:t xml:space="preserve">Biology, </w:t>
            </w:r>
            <w:r w:rsidR="00080C5B">
              <w:t>University of Victoria</w:t>
            </w:r>
          </w:p>
        </w:tc>
      </w:tr>
      <w:tr w:rsidR="00605041" w:rsidRPr="009867C1" w14:paraId="23233C97" w14:textId="77777777" w:rsidTr="00C61CE2">
        <w:trPr>
          <w:cantSplit/>
          <w:trHeight w:hRule="exact" w:val="432"/>
        </w:trPr>
        <w:tc>
          <w:tcPr>
            <w:tcW w:w="9576" w:type="dxa"/>
            <w:tcBorders>
              <w:top w:val="single" w:sz="4" w:space="0" w:color="auto"/>
            </w:tcBorders>
          </w:tcPr>
          <w:p w14:paraId="6D0CE7BD" w14:textId="77777777" w:rsidR="00605041" w:rsidRPr="009867C1" w:rsidRDefault="00605041" w:rsidP="00B74F91">
            <w:r w:rsidRPr="009867C1">
              <w:t>Supervisory Committee Member</w:t>
            </w:r>
          </w:p>
        </w:tc>
      </w:tr>
    </w:tbl>
    <w:p w14:paraId="19D83B4F" w14:textId="08839B4D" w:rsidR="00C61CE2" w:rsidRPr="009867C1" w:rsidRDefault="00C61CE2" w:rsidP="00605041"/>
    <w:p w14:paraId="1767FFFF" w14:textId="77777777" w:rsidR="00E9753B" w:rsidRPr="009867C1" w:rsidRDefault="00E9753B" w:rsidP="00014D18">
      <w:pPr>
        <w:pStyle w:val="Heading1"/>
      </w:pPr>
      <w:bookmarkStart w:id="2" w:name="_Toc99385394"/>
      <w:r w:rsidRPr="009867C1">
        <w:lastRenderedPageBreak/>
        <w:t>Abstract</w:t>
      </w:r>
      <w:bookmarkEnd w:id="0"/>
      <w:bookmarkEnd w:id="1"/>
      <w:bookmarkEnd w:id="2"/>
    </w:p>
    <w:p w14:paraId="667C018E" w14:textId="249E5087" w:rsidR="00222433" w:rsidRPr="009867C1" w:rsidRDefault="00DF3087" w:rsidP="00ED4B13">
      <w:pPr>
        <w:ind w:firstLine="720"/>
      </w:pPr>
      <w:r w:rsidRPr="009867C1">
        <w:t>In t</w:t>
      </w:r>
      <w:r w:rsidR="00D26211" w:rsidRPr="009867C1">
        <w:t>his thesis</w:t>
      </w:r>
      <w:r w:rsidRPr="009867C1">
        <w:t>, I</w:t>
      </w:r>
      <w:r w:rsidR="00D26211" w:rsidRPr="009867C1">
        <w:t xml:space="preserve"> examine the effects of </w:t>
      </w:r>
      <w:r w:rsidRPr="009867C1">
        <w:t>returning</w:t>
      </w:r>
      <w:r w:rsidR="00236468" w:rsidRPr="009867C1">
        <w:t xml:space="preserve"> salmon on riparian soils</w:t>
      </w:r>
      <w:r w:rsidR="00CA026E" w:rsidRPr="009867C1">
        <w:t xml:space="preserve"> in Heiltsuk traditional territory, near the community of Bella Bella on the Central Coast of British Columbia, Canada. </w:t>
      </w:r>
      <w:r w:rsidRPr="009867C1">
        <w:t>My main o</w:t>
      </w:r>
      <w:r w:rsidR="00CA026E" w:rsidRPr="009867C1">
        <w:t>bjectives were to: 1) quantify how salmon</w:t>
      </w:r>
      <w:r w:rsidRPr="009867C1">
        <w:t xml:space="preserve"> </w:t>
      </w:r>
      <w:r w:rsidR="00390945">
        <w:t>a</w:t>
      </w:r>
      <w:r w:rsidRPr="009867C1">
        <w:t>ffect</w:t>
      </w:r>
      <w:r w:rsidR="00CA026E" w:rsidRPr="009867C1">
        <w:t xml:space="preserve"> forest soil chemistry; 2) use nitrogen stable isotopes to measure salmon contributions to fungi, soil, and litter nitrogen metabolism; 3) quantify how salmon</w:t>
      </w:r>
      <w:r w:rsidRPr="009867C1">
        <w:t xml:space="preserve"> affect</w:t>
      </w:r>
      <w:r w:rsidR="00CA026E" w:rsidRPr="009867C1">
        <w:t xml:space="preserve"> soil fungal communities; 4) quantify how salmon </w:t>
      </w:r>
      <w:r w:rsidRPr="009867C1">
        <w:t>affect</w:t>
      </w:r>
      <w:r w:rsidR="00CA026E" w:rsidRPr="009867C1">
        <w:t xml:space="preserve"> soil bacterial communities; and 5) test the role of fungi in</w:t>
      </w:r>
      <w:r w:rsidR="00ED4B13">
        <w:t xml:space="preserve"> plant</w:t>
      </w:r>
      <w:r w:rsidR="00CA026E" w:rsidRPr="009867C1">
        <w:t xml:space="preserve"> ammonium uptake by disrupting fungal metabolism. To achieve objectives 1 through 4, </w:t>
      </w:r>
      <w:r w:rsidRPr="009867C1">
        <w:t xml:space="preserve">I used </w:t>
      </w:r>
      <w:r w:rsidR="00D977AB" w:rsidRPr="009867C1">
        <w:t>two</w:t>
      </w:r>
      <w:r w:rsidR="00CA026E" w:rsidRPr="009867C1">
        <w:t xml:space="preserve"> observational approach</w:t>
      </w:r>
      <w:r w:rsidR="00D977AB" w:rsidRPr="009867C1">
        <w:t>e</w:t>
      </w:r>
      <w:r w:rsidRPr="009867C1">
        <w:t>s</w:t>
      </w:r>
      <w:r w:rsidR="00D977AB" w:rsidRPr="009867C1">
        <w:t xml:space="preserve">: the first </w:t>
      </w:r>
      <w:r w:rsidR="00DB1566" w:rsidRPr="009867C1">
        <w:t>examined</w:t>
      </w:r>
      <w:r w:rsidR="00D977AB" w:rsidRPr="009867C1">
        <w:t xml:space="preserve"> watersheds </w:t>
      </w:r>
      <w:r w:rsidR="00DB1566" w:rsidRPr="009867C1">
        <w:t>along</w:t>
      </w:r>
      <w:r w:rsidR="00CA026E" w:rsidRPr="009867C1">
        <w:t xml:space="preserve"> a </w:t>
      </w:r>
      <w:r w:rsidR="00D977AB" w:rsidRPr="009867C1">
        <w:t xml:space="preserve">natural </w:t>
      </w:r>
      <w:r w:rsidR="00CA026E" w:rsidRPr="009867C1">
        <w:t xml:space="preserve">gradient </w:t>
      </w:r>
      <w:r w:rsidR="00DB1566" w:rsidRPr="009867C1">
        <w:t>of</w:t>
      </w:r>
      <w:r w:rsidR="00CA026E" w:rsidRPr="009867C1">
        <w:t xml:space="preserve"> salmon density</w:t>
      </w:r>
      <w:r w:rsidR="00ED4B13">
        <w:t>;</w:t>
      </w:r>
      <w:r w:rsidR="00D977AB" w:rsidRPr="009867C1">
        <w:t xml:space="preserve"> and the second used </w:t>
      </w:r>
      <w:r w:rsidR="00DB1566" w:rsidRPr="009867C1">
        <w:t>sites where</w:t>
      </w:r>
      <w:r w:rsidR="00591DA5" w:rsidRPr="009867C1">
        <w:t xml:space="preserve"> waterfalls block salmon migration, allowing for within-watershed comparisons above and below these barriers. To achieve objective 5, I employed a nitrogen stable-isotope addition experiment. </w:t>
      </w:r>
      <w:r w:rsidR="00DB1566" w:rsidRPr="009867C1">
        <w:t xml:space="preserve">I found that salmon </w:t>
      </w:r>
      <w:r w:rsidRPr="009867C1">
        <w:t>affected</w:t>
      </w:r>
      <w:r w:rsidR="00DB1566" w:rsidRPr="009867C1">
        <w:t xml:space="preserve"> soil chemistry, with impacts on concentrations of nitrogenous compounds, exchangeable cations, phosphorus,</w:t>
      </w:r>
      <w:r w:rsidRPr="009867C1">
        <w:t xml:space="preserve"> and</w:t>
      </w:r>
      <w:r w:rsidR="00DB1566" w:rsidRPr="009867C1">
        <w:t xml:space="preserve"> metals,</w:t>
      </w:r>
      <w:r w:rsidRPr="009867C1">
        <w:t xml:space="preserve"> as well as differences</w:t>
      </w:r>
      <w:r w:rsidR="00DB1566" w:rsidRPr="009867C1">
        <w:t xml:space="preserve"> </w:t>
      </w:r>
      <w:r w:rsidRPr="009867C1">
        <w:t>in</w:t>
      </w:r>
      <w:r w:rsidR="00DB1566" w:rsidRPr="009867C1">
        <w:t xml:space="preserve"> pH. </w:t>
      </w:r>
      <w:r w:rsidR="005A1137" w:rsidRPr="009867C1">
        <w:t>I found that</w:t>
      </w:r>
      <w:r w:rsidR="00DB1566" w:rsidRPr="009867C1">
        <w:t xml:space="preserve"> δ</w:t>
      </w:r>
      <w:r w:rsidR="00DB1566" w:rsidRPr="009867C1">
        <w:rPr>
          <w:vertAlign w:val="superscript"/>
        </w:rPr>
        <w:t>15</w:t>
      </w:r>
      <w:r w:rsidR="00DB1566" w:rsidRPr="009867C1">
        <w:t xml:space="preserve">N </w:t>
      </w:r>
      <w:r w:rsidRPr="009867C1">
        <w:t xml:space="preserve">was greater in sporocarps </w:t>
      </w:r>
      <w:r w:rsidR="00DB1566" w:rsidRPr="009867C1">
        <w:t>when salmon were present</w:t>
      </w:r>
      <w:r w:rsidR="005A1137" w:rsidRPr="009867C1">
        <w:t>, and interpreted this as evidence fungi acquire salmon nutrients</w:t>
      </w:r>
      <w:r w:rsidR="00DB1566" w:rsidRPr="009867C1">
        <w:t xml:space="preserve">. </w:t>
      </w:r>
      <w:r w:rsidR="005B0D49" w:rsidRPr="009867C1">
        <w:t xml:space="preserve">Using next-generation environmental sequencing, </w:t>
      </w:r>
      <w:r w:rsidR="005A1137" w:rsidRPr="009867C1">
        <w:t xml:space="preserve">I found </w:t>
      </w:r>
      <w:r w:rsidR="005B0D49" w:rsidRPr="009867C1">
        <w:t>s</w:t>
      </w:r>
      <w:r w:rsidR="00FD5D77" w:rsidRPr="009867C1">
        <w:t>almon</w:t>
      </w:r>
      <w:r w:rsidR="005A1137" w:rsidRPr="009867C1">
        <w:t xml:space="preserve"> inputs</w:t>
      </w:r>
      <w:r w:rsidR="00FD5D77" w:rsidRPr="009867C1">
        <w:t xml:space="preserve"> impact</w:t>
      </w:r>
      <w:r w:rsidR="00BE5E6D">
        <w:t xml:space="preserve"> fungal relative abundance,</w:t>
      </w:r>
      <w:r w:rsidR="00FD5D77" w:rsidRPr="009867C1">
        <w:t xml:space="preserve"> soil fungal β- and α- diversity, </w:t>
      </w:r>
      <w:r w:rsidR="005A1137" w:rsidRPr="009867C1">
        <w:t>but</w:t>
      </w:r>
      <w:r w:rsidR="00FD5D77" w:rsidRPr="009867C1">
        <w:t xml:space="preserve"> did not affect phylogenetic dispersion. </w:t>
      </w:r>
      <w:r w:rsidR="00BE5E6D">
        <w:t>In general, s</w:t>
      </w:r>
      <w:r w:rsidR="00FD5D77" w:rsidRPr="009867C1">
        <w:t>ymbiotrophic fungi were affected</w:t>
      </w:r>
      <w:r w:rsidR="005A1137" w:rsidRPr="009867C1">
        <w:t xml:space="preserve"> by salmon inputs</w:t>
      </w:r>
      <w:r w:rsidR="00FD5D77" w:rsidRPr="009867C1">
        <w:t xml:space="preserve"> more than saprotrophs. Soil bacterial communities </w:t>
      </w:r>
      <w:r w:rsidR="005A1137" w:rsidRPr="009867C1">
        <w:t>had</w:t>
      </w:r>
      <w:r w:rsidR="00FD5D77" w:rsidRPr="009867C1">
        <w:t xml:space="preserve"> fewer correlations with salmon </w:t>
      </w:r>
      <w:r w:rsidR="005A1137" w:rsidRPr="009867C1">
        <w:t>inputs</w:t>
      </w:r>
      <w:r w:rsidR="00FD5D77" w:rsidRPr="009867C1">
        <w:t>.</w:t>
      </w:r>
      <w:r w:rsidR="001E365B" w:rsidRPr="009867C1">
        <w:t xml:space="preserve"> Finally, </w:t>
      </w:r>
      <w:r w:rsidR="005A1137" w:rsidRPr="009867C1">
        <w:t xml:space="preserve">I found that </w:t>
      </w:r>
      <w:r w:rsidR="001E365B" w:rsidRPr="009867C1">
        <w:t>disruption of fungal metabolism slowed the uptake of ammonium by riparian shrubs. These results show that salmon are important in structuring riparian soil chemistry and microbial ecology, and support the hypothesis that fungi play an important role in salmon nutrient uptake</w:t>
      </w:r>
      <w:r w:rsidR="005A1137" w:rsidRPr="009867C1">
        <w:t xml:space="preserve"> by plants</w:t>
      </w:r>
      <w:r w:rsidR="001E365B" w:rsidRPr="009867C1">
        <w:t>.</w:t>
      </w:r>
      <w:r w:rsidR="00FD5D77" w:rsidRPr="009867C1">
        <w:t xml:space="preserve"> </w:t>
      </w:r>
      <w:r w:rsidR="00DB1566" w:rsidRPr="009867C1">
        <w:t xml:space="preserve">  </w:t>
      </w:r>
      <w:r w:rsidR="00591DA5" w:rsidRPr="009867C1">
        <w:t xml:space="preserve"> </w:t>
      </w:r>
      <w:r w:rsidR="00CA026E" w:rsidRPr="009867C1">
        <w:t xml:space="preserve">     </w:t>
      </w:r>
    </w:p>
    <w:p w14:paraId="76080E41" w14:textId="43F343C7" w:rsidR="000B30A1" w:rsidRPr="009867C1" w:rsidRDefault="000B30A1" w:rsidP="00014D18">
      <w:r w:rsidRPr="009867C1">
        <w:br w:type="page"/>
      </w:r>
    </w:p>
    <w:p w14:paraId="2E17C3EF" w14:textId="77777777" w:rsidR="000B30A1" w:rsidRPr="009867C1" w:rsidRDefault="000B30A1" w:rsidP="000B30A1">
      <w:pPr>
        <w:pStyle w:val="Heading1"/>
      </w:pPr>
      <w:bookmarkStart w:id="3" w:name="_Toc99385395"/>
      <w:r w:rsidRPr="009867C1">
        <w:lastRenderedPageBreak/>
        <w:t xml:space="preserve">Lay </w:t>
      </w:r>
      <w:r w:rsidR="003B7E43" w:rsidRPr="009867C1">
        <w:t>Summary</w:t>
      </w:r>
      <w:bookmarkEnd w:id="3"/>
    </w:p>
    <w:p w14:paraId="3DCB0A07" w14:textId="549DDE29" w:rsidR="00490A4B" w:rsidRPr="009867C1" w:rsidRDefault="00101AFF" w:rsidP="00ED4B13">
      <w:pPr>
        <w:ind w:firstLine="720"/>
      </w:pPr>
      <w:r w:rsidRPr="009867C1">
        <w:t>Salmon, at the end of their lives, swim back to the</w:t>
      </w:r>
      <w:r w:rsidR="00490A4B" w:rsidRPr="009867C1">
        <w:t xml:space="preserve"> streams of their birth </w:t>
      </w:r>
      <w:r w:rsidRPr="009867C1">
        <w:t>to spawn</w:t>
      </w:r>
      <w:r w:rsidR="00490A4B" w:rsidRPr="009867C1">
        <w:t xml:space="preserve"> and die</w:t>
      </w:r>
      <w:r w:rsidRPr="009867C1">
        <w:t xml:space="preserve">. In doing so, they </w:t>
      </w:r>
      <w:r w:rsidR="00490A4B" w:rsidRPr="009867C1">
        <w:t xml:space="preserve">bring with them the nutrients stored in their flesh. Their coming is eagerly awaited by all sorts of animals, including bears, wolves, and humans. These </w:t>
      </w:r>
      <w:r w:rsidR="000D70A5" w:rsidRPr="009867C1">
        <w:t>organisms</w:t>
      </w:r>
      <w:r w:rsidR="00490A4B" w:rsidRPr="009867C1">
        <w:t xml:space="preserve"> </w:t>
      </w:r>
      <w:r w:rsidR="000D70A5" w:rsidRPr="009867C1">
        <w:t>leave</w:t>
      </w:r>
      <w:r w:rsidR="00490A4B" w:rsidRPr="009867C1">
        <w:t xml:space="preserve"> urine, feces, and salmon carcasses</w:t>
      </w:r>
      <w:r w:rsidR="000D70A5" w:rsidRPr="009867C1">
        <w:t xml:space="preserve"> distributed</w:t>
      </w:r>
      <w:r w:rsidR="00490A4B" w:rsidRPr="009867C1">
        <w:t xml:space="preserve"> throughout the forest; over time, these decompose and </w:t>
      </w:r>
      <w:r w:rsidR="000D70A5" w:rsidRPr="009867C1">
        <w:t xml:space="preserve">the nutrients are metabolized in </w:t>
      </w:r>
      <w:r w:rsidR="00490A4B" w:rsidRPr="009867C1">
        <w:t xml:space="preserve">soil and plants. In this thesis I looked at the effect of salmon nutrients on streamside soils, plants, and fungi. I showed the ways </w:t>
      </w:r>
      <w:r w:rsidR="000D70A5" w:rsidRPr="009867C1">
        <w:t>salmon inputs</w:t>
      </w:r>
      <w:r w:rsidR="00490A4B" w:rsidRPr="009867C1">
        <w:t xml:space="preserve"> </w:t>
      </w:r>
      <w:r w:rsidR="000D70A5" w:rsidRPr="009867C1">
        <w:t>affect</w:t>
      </w:r>
      <w:r w:rsidR="00490A4B" w:rsidRPr="009867C1">
        <w:t xml:space="preserve"> soil chemistry; how they </w:t>
      </w:r>
      <w:r w:rsidR="000D70A5" w:rsidRPr="009867C1">
        <w:t>influence</w:t>
      </w:r>
      <w:r w:rsidR="00490A4B" w:rsidRPr="009867C1">
        <w:t xml:space="preserve"> the</w:t>
      </w:r>
      <w:r w:rsidR="000D70A5" w:rsidRPr="009867C1">
        <w:t xml:space="preserve"> number and </w:t>
      </w:r>
      <w:r w:rsidR="00490A4B" w:rsidRPr="009867C1">
        <w:t>type</w:t>
      </w:r>
      <w:r w:rsidR="000D70A5" w:rsidRPr="009867C1">
        <w:t>s</w:t>
      </w:r>
      <w:r w:rsidR="00490A4B" w:rsidRPr="009867C1">
        <w:t xml:space="preserve"> of fungal and bacterial species living in the soil; and showed that salmon nutrients </w:t>
      </w:r>
      <w:r w:rsidR="000D70A5" w:rsidRPr="009867C1">
        <w:t>occur</w:t>
      </w:r>
      <w:r w:rsidR="00490A4B" w:rsidRPr="009867C1">
        <w:t xml:space="preserve"> ‘in the mushrooms’.</w:t>
      </w:r>
      <w:r w:rsidR="00633B68" w:rsidRPr="009867C1">
        <w:t xml:space="preserve"> In total, these findings show that understand</w:t>
      </w:r>
      <w:r w:rsidR="000D70A5" w:rsidRPr="009867C1">
        <w:t>ing</w:t>
      </w:r>
      <w:r w:rsidR="00633B68" w:rsidRPr="009867C1">
        <w:t xml:space="preserve"> how salmon</w:t>
      </w:r>
      <w:r w:rsidR="005B0D49" w:rsidRPr="009867C1">
        <w:t xml:space="preserve"> affect</w:t>
      </w:r>
      <w:r w:rsidR="00633B68" w:rsidRPr="009867C1">
        <w:t xml:space="preserve"> the ‘salmon forest’</w:t>
      </w:r>
      <w:r w:rsidR="000D70A5" w:rsidRPr="009867C1">
        <w:t xml:space="preserve"> requires that</w:t>
      </w:r>
      <w:r w:rsidR="00633B68" w:rsidRPr="009867C1">
        <w:t xml:space="preserve"> we understand how they </w:t>
      </w:r>
      <w:r w:rsidR="005B0D49" w:rsidRPr="009867C1">
        <w:t>affect</w:t>
      </w:r>
      <w:r w:rsidR="00633B68" w:rsidRPr="009867C1">
        <w:t xml:space="preserve"> forest soils.</w:t>
      </w:r>
      <w:r w:rsidR="00490A4B" w:rsidRPr="009867C1">
        <w:t xml:space="preserve"> </w:t>
      </w:r>
    </w:p>
    <w:p w14:paraId="23F7F8B3" w14:textId="0C4565F4" w:rsidR="00E9753B" w:rsidRPr="009867C1" w:rsidRDefault="00E9753B" w:rsidP="00014D18">
      <w:pPr>
        <w:pStyle w:val="Heading1"/>
      </w:pPr>
      <w:bookmarkStart w:id="4" w:name="_Toc153357227"/>
      <w:bookmarkStart w:id="5" w:name="_Toc157169035"/>
      <w:bookmarkStart w:id="6" w:name="_Toc99385396"/>
      <w:r w:rsidRPr="009867C1">
        <w:lastRenderedPageBreak/>
        <w:t>Preface</w:t>
      </w:r>
      <w:bookmarkEnd w:id="4"/>
      <w:bookmarkEnd w:id="5"/>
      <w:bookmarkEnd w:id="6"/>
    </w:p>
    <w:p w14:paraId="48F07FB9" w14:textId="596D8C94" w:rsidR="00622A74" w:rsidRPr="009867C1" w:rsidRDefault="00622A74" w:rsidP="00623F3E">
      <w:pPr>
        <w:ind w:firstLine="720"/>
      </w:pPr>
      <w:r w:rsidRPr="009867C1">
        <w:t xml:space="preserve">The research presented in this dissertation was developed and carried out by Allen Larocque under the </w:t>
      </w:r>
      <w:r w:rsidR="000D70A5" w:rsidRPr="009867C1">
        <w:t>supervision</w:t>
      </w:r>
      <w:r w:rsidRPr="009867C1">
        <w:t xml:space="preserve"> of Dr. Suzanne Simard and with the advisement of the committee members. All background research, experimental conceptualization and design, fieldwork, laboratory work, data analysis and manuscript preparation was performed by Allen Larocque unless otherwise noted. Dr. Suzanne Simard helped throughout to secure funding, conceptualize and plan the project, and during manuscript preparation.  </w:t>
      </w:r>
    </w:p>
    <w:p w14:paraId="728DF9DC" w14:textId="77777777" w:rsidR="00A17045" w:rsidRPr="009867C1" w:rsidRDefault="00A17045" w:rsidP="00A17045">
      <w:pPr>
        <w:ind w:firstLine="720"/>
      </w:pPr>
      <w:r w:rsidRPr="009867C1">
        <w:t xml:space="preserve">The first three years of my PhD was funded through a MITACS program partnered with the Brinkman Group, and the second three years was funded with the help of the Donner Foundation Canada. </w:t>
      </w:r>
    </w:p>
    <w:p w14:paraId="5D6507EC" w14:textId="2589027F" w:rsidR="00623F3E" w:rsidRPr="009867C1" w:rsidRDefault="00623F3E" w:rsidP="00623F3E">
      <w:pPr>
        <w:ind w:firstLine="720"/>
      </w:pPr>
      <w:r w:rsidRPr="009867C1">
        <w:t>This project began with my thoughts and observations over a summer studying bird populations in Heiltsuk traditional territory near Bella Bella on the British Columbia Central Coast</w:t>
      </w:r>
      <w:r w:rsidR="003458B3" w:rsidRPr="009867C1">
        <w:t xml:space="preserve"> </w:t>
      </w:r>
      <w:r w:rsidRPr="009867C1">
        <w:t xml:space="preserve">with PhD student Marlene Wagner </w:t>
      </w:r>
      <w:r w:rsidR="003458B3" w:rsidRPr="009867C1">
        <w:t>and</w:t>
      </w:r>
      <w:r w:rsidR="00622A74" w:rsidRPr="009867C1">
        <w:t xml:space="preserve"> Dr.</w:t>
      </w:r>
      <w:r w:rsidRPr="009867C1">
        <w:t xml:space="preserve"> John Reynold’s lab</w:t>
      </w:r>
      <w:r w:rsidR="003458B3" w:rsidRPr="009867C1">
        <w:t>oratory</w:t>
      </w:r>
      <w:r w:rsidRPr="009867C1">
        <w:t xml:space="preserve"> at Simon Fraser University</w:t>
      </w:r>
      <w:r w:rsidR="003458B3" w:rsidRPr="009867C1">
        <w:t>.</w:t>
      </w:r>
    </w:p>
    <w:p w14:paraId="0AA6073F" w14:textId="2561805B" w:rsidR="003458B3" w:rsidRPr="009867C1" w:rsidRDefault="003458B3" w:rsidP="003458B3">
      <w:pPr>
        <w:ind w:firstLine="720"/>
      </w:pPr>
      <w:r w:rsidRPr="009867C1">
        <w:t xml:space="preserve">Chapter 1 </w:t>
      </w:r>
      <w:r w:rsidR="00D52653" w:rsidRPr="009867C1">
        <w:t>was</w:t>
      </w:r>
      <w:r w:rsidRPr="009867C1">
        <w:t xml:space="preserve"> researched and written by Allen Larocque with edits by Dr. Suzanne Simard.</w:t>
      </w:r>
      <w:r w:rsidR="00622A74" w:rsidRPr="009867C1">
        <w:t xml:space="preserve"> </w:t>
      </w:r>
    </w:p>
    <w:p w14:paraId="4235E57B" w14:textId="2A930578" w:rsidR="003458B3" w:rsidRPr="009867C1" w:rsidRDefault="003458B3" w:rsidP="003458B3">
      <w:pPr>
        <w:ind w:firstLine="720"/>
      </w:pPr>
      <w:r w:rsidRPr="009867C1">
        <w:t xml:space="preserve">Chapter 2 was designed, executed, analyzed, and written by Allen Larocque. Dr. Suzanne Simard helped in experimental design and manuscript preparation. </w:t>
      </w:r>
      <w:r w:rsidR="000D70A5" w:rsidRPr="009867C1">
        <w:t xml:space="preserve">Dr. Bianca Eskelson provided </w:t>
      </w:r>
      <w:r w:rsidR="00ED4B13">
        <w:t>minor</w:t>
      </w:r>
      <w:r w:rsidR="000D70A5" w:rsidRPr="009867C1">
        <w:t xml:space="preserve"> statistical advi</w:t>
      </w:r>
      <w:r w:rsidR="00390945">
        <w:t>ce</w:t>
      </w:r>
      <w:r w:rsidR="000D70A5" w:rsidRPr="009867C1">
        <w:t>.</w:t>
      </w:r>
    </w:p>
    <w:p w14:paraId="02B1AE0B" w14:textId="73665586" w:rsidR="003458B3" w:rsidRPr="009867C1" w:rsidRDefault="003458B3" w:rsidP="003458B3">
      <w:pPr>
        <w:ind w:firstLine="720"/>
      </w:pPr>
      <w:r w:rsidRPr="009867C1">
        <w:t xml:space="preserve">Chapter 3 was likewise designed, executed, analyzed, and written by Allen Larocque, with manuscript preparation help by Dr. Suzanne Simard. Vegetation data </w:t>
      </w:r>
      <w:r w:rsidR="00390945">
        <w:t>were</w:t>
      </w:r>
      <w:r w:rsidRPr="009867C1">
        <w:t xml:space="preserve"> provided by Dr. Morgan Hocking and Dr. John Reynolds. Logistical support was provided by Dr. John Reynold’s </w:t>
      </w:r>
      <w:r w:rsidR="006656BF">
        <w:lastRenderedPageBreak/>
        <w:t>Research Group</w:t>
      </w:r>
      <w:r w:rsidR="00622A74" w:rsidRPr="009867C1">
        <w:t>, Allison Dennert,</w:t>
      </w:r>
      <w:r w:rsidRPr="009867C1">
        <w:t xml:space="preserve"> and </w:t>
      </w:r>
      <w:r w:rsidR="00622A74" w:rsidRPr="009867C1">
        <w:t>the Heiltsuk Integrated Resource Management Department</w:t>
      </w:r>
      <w:r w:rsidRPr="009867C1">
        <w:t xml:space="preserve">. </w:t>
      </w:r>
    </w:p>
    <w:p w14:paraId="29906C51" w14:textId="201153C0" w:rsidR="003458B3" w:rsidRPr="009867C1" w:rsidRDefault="003458B3" w:rsidP="003458B3">
      <w:pPr>
        <w:ind w:firstLine="720"/>
      </w:pPr>
      <w:r w:rsidRPr="009867C1">
        <w:t xml:space="preserve">Chapters 4, 5 and 6 were designed, executed, analyzed, and </w:t>
      </w:r>
      <w:r w:rsidR="00D52653" w:rsidRPr="009867C1">
        <w:t xml:space="preserve">written by Allen Larocque with experimental design and manuscript preparation help by Dr. Suzanne Simard. </w:t>
      </w:r>
    </w:p>
    <w:p w14:paraId="53C6BFEB" w14:textId="09CCFFBE" w:rsidR="00D52653" w:rsidRPr="009867C1" w:rsidRDefault="00D52653" w:rsidP="003458B3">
      <w:pPr>
        <w:ind w:firstLine="720"/>
      </w:pPr>
      <w:r w:rsidRPr="009867C1">
        <w:t xml:space="preserve">Chapters 2, 3, 4, and 5 made use of salmon density measurements provided by Dr. John Reynold’s </w:t>
      </w:r>
      <w:r w:rsidR="00390945">
        <w:t>research group</w:t>
      </w:r>
      <w:r w:rsidRPr="009867C1">
        <w:t xml:space="preserve"> and the Heiltsuk Integrated Resource Management Department.</w:t>
      </w:r>
    </w:p>
    <w:p w14:paraId="411012A9" w14:textId="77777777" w:rsidR="00E9753B" w:rsidRPr="009867C1" w:rsidRDefault="00E9753B" w:rsidP="00014D18">
      <w:pPr>
        <w:pStyle w:val="Heading1"/>
      </w:pPr>
      <w:bookmarkStart w:id="7" w:name="_Toc153357228"/>
      <w:bookmarkStart w:id="8" w:name="_Toc157169036"/>
      <w:bookmarkStart w:id="9" w:name="_Toc99385397"/>
      <w:r w:rsidRPr="009867C1">
        <w:lastRenderedPageBreak/>
        <w:t>Table of Contents</w:t>
      </w:r>
      <w:bookmarkEnd w:id="7"/>
      <w:bookmarkEnd w:id="8"/>
      <w:bookmarkEnd w:id="9"/>
    </w:p>
    <w:p w14:paraId="309CC3F3" w14:textId="683AC90D" w:rsidR="00276430" w:rsidRDefault="00B07829">
      <w:pPr>
        <w:pStyle w:val="TOC1"/>
        <w:rPr>
          <w:rFonts w:asciiTheme="minorHAnsi" w:eastAsiaTheme="minorEastAsia" w:hAnsiTheme="minorHAnsi" w:cstheme="minorBidi"/>
          <w:b w:val="0"/>
          <w:noProof/>
          <w:sz w:val="22"/>
          <w:szCs w:val="22"/>
          <w:lang w:val="en-CA" w:eastAsia="en-CA"/>
        </w:rPr>
      </w:pPr>
      <w:r w:rsidRPr="009867C1">
        <w:fldChar w:fldCharType="begin"/>
      </w:r>
      <w:r w:rsidR="00E9753B" w:rsidRPr="009867C1">
        <w:instrText xml:space="preserve"> TOC \o "1-1" \t "Heading 2,1,Heading 3,2,Heading 4,3,Heading 5,4,Heading 6,5,Heading 7,2,Heading 8,3" </w:instrText>
      </w:r>
      <w:r w:rsidRPr="009867C1">
        <w:fldChar w:fldCharType="separate"/>
      </w:r>
      <w:r w:rsidR="00276430">
        <w:rPr>
          <w:noProof/>
        </w:rPr>
        <w:t>Abstract</w:t>
      </w:r>
      <w:r w:rsidR="00276430">
        <w:rPr>
          <w:noProof/>
        </w:rPr>
        <w:tab/>
      </w:r>
      <w:r w:rsidR="00276430">
        <w:rPr>
          <w:noProof/>
        </w:rPr>
        <w:fldChar w:fldCharType="begin"/>
      </w:r>
      <w:r w:rsidR="00276430">
        <w:rPr>
          <w:noProof/>
        </w:rPr>
        <w:instrText xml:space="preserve"> PAGEREF _Toc99385394 \h </w:instrText>
      </w:r>
      <w:r w:rsidR="00276430">
        <w:rPr>
          <w:noProof/>
        </w:rPr>
      </w:r>
      <w:r w:rsidR="00276430">
        <w:rPr>
          <w:noProof/>
        </w:rPr>
        <w:fldChar w:fldCharType="separate"/>
      </w:r>
      <w:r w:rsidR="000667DB">
        <w:rPr>
          <w:noProof/>
        </w:rPr>
        <w:t>ii</w:t>
      </w:r>
      <w:r w:rsidR="00276430">
        <w:rPr>
          <w:noProof/>
        </w:rPr>
        <w:fldChar w:fldCharType="end"/>
      </w:r>
    </w:p>
    <w:p w14:paraId="0916149A" w14:textId="57F234FB" w:rsidR="00276430" w:rsidRDefault="00276430">
      <w:pPr>
        <w:pStyle w:val="TOC1"/>
        <w:rPr>
          <w:rFonts w:asciiTheme="minorHAnsi" w:eastAsiaTheme="minorEastAsia" w:hAnsiTheme="minorHAnsi" w:cstheme="minorBidi"/>
          <w:b w:val="0"/>
          <w:noProof/>
          <w:sz w:val="22"/>
          <w:szCs w:val="22"/>
          <w:lang w:val="en-CA" w:eastAsia="en-CA"/>
        </w:rPr>
      </w:pPr>
      <w:r>
        <w:rPr>
          <w:noProof/>
        </w:rPr>
        <w:t>Lay Summary</w:t>
      </w:r>
      <w:r>
        <w:rPr>
          <w:noProof/>
        </w:rPr>
        <w:tab/>
      </w:r>
      <w:r>
        <w:rPr>
          <w:noProof/>
        </w:rPr>
        <w:fldChar w:fldCharType="begin"/>
      </w:r>
      <w:r>
        <w:rPr>
          <w:noProof/>
        </w:rPr>
        <w:instrText xml:space="preserve"> PAGEREF _Toc99385395 \h </w:instrText>
      </w:r>
      <w:r>
        <w:rPr>
          <w:noProof/>
        </w:rPr>
      </w:r>
      <w:r>
        <w:rPr>
          <w:noProof/>
        </w:rPr>
        <w:fldChar w:fldCharType="separate"/>
      </w:r>
      <w:r w:rsidR="000667DB">
        <w:rPr>
          <w:noProof/>
        </w:rPr>
        <w:t>iii</w:t>
      </w:r>
      <w:r>
        <w:rPr>
          <w:noProof/>
        </w:rPr>
        <w:fldChar w:fldCharType="end"/>
      </w:r>
    </w:p>
    <w:p w14:paraId="2F210AD3" w14:textId="23FD8275" w:rsidR="00276430" w:rsidRDefault="00276430">
      <w:pPr>
        <w:pStyle w:val="TOC1"/>
        <w:rPr>
          <w:rFonts w:asciiTheme="minorHAnsi" w:eastAsiaTheme="minorEastAsia" w:hAnsiTheme="minorHAnsi" w:cstheme="minorBidi"/>
          <w:b w:val="0"/>
          <w:noProof/>
          <w:sz w:val="22"/>
          <w:szCs w:val="22"/>
          <w:lang w:val="en-CA" w:eastAsia="en-CA"/>
        </w:rPr>
      </w:pPr>
      <w:r>
        <w:rPr>
          <w:noProof/>
        </w:rPr>
        <w:t>Preface</w:t>
      </w:r>
      <w:r>
        <w:rPr>
          <w:noProof/>
        </w:rPr>
        <w:tab/>
      </w:r>
      <w:r>
        <w:rPr>
          <w:noProof/>
        </w:rPr>
        <w:fldChar w:fldCharType="begin"/>
      </w:r>
      <w:r>
        <w:rPr>
          <w:noProof/>
        </w:rPr>
        <w:instrText xml:space="preserve"> PAGEREF _Toc99385396 \h </w:instrText>
      </w:r>
      <w:r>
        <w:rPr>
          <w:noProof/>
        </w:rPr>
      </w:r>
      <w:r>
        <w:rPr>
          <w:noProof/>
        </w:rPr>
        <w:fldChar w:fldCharType="separate"/>
      </w:r>
      <w:r w:rsidR="000667DB">
        <w:rPr>
          <w:noProof/>
        </w:rPr>
        <w:t>iv</w:t>
      </w:r>
      <w:r>
        <w:rPr>
          <w:noProof/>
        </w:rPr>
        <w:fldChar w:fldCharType="end"/>
      </w:r>
    </w:p>
    <w:p w14:paraId="21A900F1" w14:textId="5CE3709D" w:rsidR="00276430" w:rsidRDefault="00276430">
      <w:pPr>
        <w:pStyle w:val="TOC1"/>
        <w:rPr>
          <w:rFonts w:asciiTheme="minorHAnsi" w:eastAsiaTheme="minorEastAsia" w:hAnsiTheme="minorHAnsi" w:cstheme="minorBidi"/>
          <w:b w:val="0"/>
          <w:noProof/>
          <w:sz w:val="22"/>
          <w:szCs w:val="22"/>
          <w:lang w:val="en-CA" w:eastAsia="en-CA"/>
        </w:rPr>
      </w:pPr>
      <w:r>
        <w:rPr>
          <w:noProof/>
        </w:rPr>
        <w:t>Table of Contents</w:t>
      </w:r>
      <w:r>
        <w:rPr>
          <w:noProof/>
        </w:rPr>
        <w:tab/>
      </w:r>
      <w:r>
        <w:rPr>
          <w:noProof/>
        </w:rPr>
        <w:fldChar w:fldCharType="begin"/>
      </w:r>
      <w:r>
        <w:rPr>
          <w:noProof/>
        </w:rPr>
        <w:instrText xml:space="preserve"> PAGEREF _Toc99385397 \h </w:instrText>
      </w:r>
      <w:r>
        <w:rPr>
          <w:noProof/>
        </w:rPr>
      </w:r>
      <w:r>
        <w:rPr>
          <w:noProof/>
        </w:rPr>
        <w:fldChar w:fldCharType="separate"/>
      </w:r>
      <w:r w:rsidR="000667DB">
        <w:rPr>
          <w:noProof/>
        </w:rPr>
        <w:t>vi</w:t>
      </w:r>
      <w:r>
        <w:rPr>
          <w:noProof/>
        </w:rPr>
        <w:fldChar w:fldCharType="end"/>
      </w:r>
    </w:p>
    <w:p w14:paraId="6B95F18B" w14:textId="477D80D0" w:rsidR="00276430" w:rsidRDefault="00276430">
      <w:pPr>
        <w:pStyle w:val="TOC1"/>
        <w:rPr>
          <w:rFonts w:asciiTheme="minorHAnsi" w:eastAsiaTheme="minorEastAsia" w:hAnsiTheme="minorHAnsi" w:cstheme="minorBidi"/>
          <w:b w:val="0"/>
          <w:noProof/>
          <w:sz w:val="22"/>
          <w:szCs w:val="22"/>
          <w:lang w:val="en-CA" w:eastAsia="en-CA"/>
        </w:rPr>
      </w:pPr>
      <w:r>
        <w:rPr>
          <w:noProof/>
        </w:rPr>
        <w:t>List of Tables</w:t>
      </w:r>
      <w:r>
        <w:rPr>
          <w:noProof/>
        </w:rPr>
        <w:tab/>
      </w:r>
      <w:r>
        <w:rPr>
          <w:noProof/>
        </w:rPr>
        <w:fldChar w:fldCharType="begin"/>
      </w:r>
      <w:r>
        <w:rPr>
          <w:noProof/>
        </w:rPr>
        <w:instrText xml:space="preserve"> PAGEREF _Toc99385398 \h </w:instrText>
      </w:r>
      <w:r>
        <w:rPr>
          <w:noProof/>
        </w:rPr>
      </w:r>
      <w:r>
        <w:rPr>
          <w:noProof/>
        </w:rPr>
        <w:fldChar w:fldCharType="separate"/>
      </w:r>
      <w:r w:rsidR="000667DB">
        <w:rPr>
          <w:noProof/>
        </w:rPr>
        <w:t>xiii</w:t>
      </w:r>
      <w:r>
        <w:rPr>
          <w:noProof/>
        </w:rPr>
        <w:fldChar w:fldCharType="end"/>
      </w:r>
    </w:p>
    <w:p w14:paraId="72605316" w14:textId="4AF8BC91" w:rsidR="00276430" w:rsidRDefault="00276430">
      <w:pPr>
        <w:pStyle w:val="TOC1"/>
        <w:rPr>
          <w:rFonts w:asciiTheme="minorHAnsi" w:eastAsiaTheme="minorEastAsia" w:hAnsiTheme="minorHAnsi" w:cstheme="minorBidi"/>
          <w:b w:val="0"/>
          <w:noProof/>
          <w:sz w:val="22"/>
          <w:szCs w:val="22"/>
          <w:lang w:val="en-CA" w:eastAsia="en-CA"/>
        </w:rPr>
      </w:pPr>
      <w:r>
        <w:rPr>
          <w:noProof/>
        </w:rPr>
        <w:t>List of Symbols and Abbreviations</w:t>
      </w:r>
      <w:r>
        <w:rPr>
          <w:noProof/>
        </w:rPr>
        <w:tab/>
      </w:r>
      <w:r>
        <w:rPr>
          <w:noProof/>
        </w:rPr>
        <w:fldChar w:fldCharType="begin"/>
      </w:r>
      <w:r>
        <w:rPr>
          <w:noProof/>
        </w:rPr>
        <w:instrText xml:space="preserve"> PAGEREF _Toc99385399 \h </w:instrText>
      </w:r>
      <w:r>
        <w:rPr>
          <w:noProof/>
        </w:rPr>
      </w:r>
      <w:r>
        <w:rPr>
          <w:noProof/>
        </w:rPr>
        <w:fldChar w:fldCharType="separate"/>
      </w:r>
      <w:r w:rsidR="000667DB">
        <w:rPr>
          <w:noProof/>
        </w:rPr>
        <w:t>xix</w:t>
      </w:r>
      <w:r>
        <w:rPr>
          <w:noProof/>
        </w:rPr>
        <w:fldChar w:fldCharType="end"/>
      </w:r>
    </w:p>
    <w:p w14:paraId="74605AEA" w14:textId="5AF6EE30" w:rsidR="00276430" w:rsidRDefault="00276430">
      <w:pPr>
        <w:pStyle w:val="TOC1"/>
        <w:rPr>
          <w:rFonts w:asciiTheme="minorHAnsi" w:eastAsiaTheme="minorEastAsia" w:hAnsiTheme="minorHAnsi" w:cstheme="minorBidi"/>
          <w:b w:val="0"/>
          <w:noProof/>
          <w:sz w:val="22"/>
          <w:szCs w:val="22"/>
          <w:lang w:val="en-CA" w:eastAsia="en-CA"/>
        </w:rPr>
      </w:pPr>
      <w:r>
        <w:rPr>
          <w:noProof/>
        </w:rPr>
        <w:t>Acknowledgements</w:t>
      </w:r>
      <w:r>
        <w:rPr>
          <w:noProof/>
        </w:rPr>
        <w:tab/>
      </w:r>
      <w:r>
        <w:rPr>
          <w:noProof/>
        </w:rPr>
        <w:fldChar w:fldCharType="begin"/>
      </w:r>
      <w:r>
        <w:rPr>
          <w:noProof/>
        </w:rPr>
        <w:instrText xml:space="preserve"> PAGEREF _Toc99385400 \h </w:instrText>
      </w:r>
      <w:r>
        <w:rPr>
          <w:noProof/>
        </w:rPr>
      </w:r>
      <w:r>
        <w:rPr>
          <w:noProof/>
        </w:rPr>
        <w:fldChar w:fldCharType="separate"/>
      </w:r>
      <w:r w:rsidR="000667DB">
        <w:rPr>
          <w:noProof/>
        </w:rPr>
        <w:t>xx</w:t>
      </w:r>
      <w:r>
        <w:rPr>
          <w:noProof/>
        </w:rPr>
        <w:fldChar w:fldCharType="end"/>
      </w:r>
    </w:p>
    <w:p w14:paraId="2F8CC0D0" w14:textId="36FCEDF0" w:rsidR="00276430" w:rsidRDefault="00276430">
      <w:pPr>
        <w:pStyle w:val="TOC1"/>
        <w:rPr>
          <w:rFonts w:asciiTheme="minorHAnsi" w:eastAsiaTheme="minorEastAsia" w:hAnsiTheme="minorHAnsi" w:cstheme="minorBidi"/>
          <w:b w:val="0"/>
          <w:noProof/>
          <w:sz w:val="22"/>
          <w:szCs w:val="22"/>
          <w:lang w:val="en-CA" w:eastAsia="en-CA"/>
        </w:rPr>
      </w:pPr>
      <w:r>
        <w:rPr>
          <w:noProof/>
        </w:rPr>
        <w:t>Chapter 1: Fish, Forest, Fungi: literature review, context, and research questions</w:t>
      </w:r>
      <w:r>
        <w:rPr>
          <w:noProof/>
        </w:rPr>
        <w:tab/>
      </w:r>
      <w:r>
        <w:rPr>
          <w:noProof/>
        </w:rPr>
        <w:fldChar w:fldCharType="begin"/>
      </w:r>
      <w:r>
        <w:rPr>
          <w:noProof/>
        </w:rPr>
        <w:instrText xml:space="preserve"> PAGEREF _Toc99385401 \h </w:instrText>
      </w:r>
      <w:r>
        <w:rPr>
          <w:noProof/>
        </w:rPr>
      </w:r>
      <w:r>
        <w:rPr>
          <w:noProof/>
        </w:rPr>
        <w:fldChar w:fldCharType="separate"/>
      </w:r>
      <w:r w:rsidR="000667DB">
        <w:rPr>
          <w:noProof/>
        </w:rPr>
        <w:t>1</w:t>
      </w:r>
      <w:r>
        <w:rPr>
          <w:noProof/>
        </w:rPr>
        <w:fldChar w:fldCharType="end"/>
      </w:r>
    </w:p>
    <w:p w14:paraId="45CDC481" w14:textId="76AF3115"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Pr>
          <w:noProof/>
        </w:rPr>
        <w:t>1.1</w:t>
      </w:r>
      <w:r>
        <w:rPr>
          <w:rFonts w:asciiTheme="minorHAnsi" w:eastAsiaTheme="minorEastAsia" w:hAnsiTheme="minorHAnsi" w:cstheme="minorBidi"/>
          <w:noProof/>
          <w:sz w:val="22"/>
          <w:lang w:val="en-CA" w:eastAsia="en-CA"/>
        </w:rPr>
        <w:tab/>
      </w:r>
      <w:r>
        <w:rPr>
          <w:noProof/>
        </w:rPr>
        <w:t>Introduction</w:t>
      </w:r>
      <w:r>
        <w:rPr>
          <w:noProof/>
        </w:rPr>
        <w:tab/>
      </w:r>
      <w:r>
        <w:rPr>
          <w:noProof/>
        </w:rPr>
        <w:fldChar w:fldCharType="begin"/>
      </w:r>
      <w:r>
        <w:rPr>
          <w:noProof/>
        </w:rPr>
        <w:instrText xml:space="preserve"> PAGEREF _Toc99385402 \h </w:instrText>
      </w:r>
      <w:r>
        <w:rPr>
          <w:noProof/>
        </w:rPr>
      </w:r>
      <w:r>
        <w:rPr>
          <w:noProof/>
        </w:rPr>
        <w:fldChar w:fldCharType="separate"/>
      </w:r>
      <w:r w:rsidR="000667DB">
        <w:rPr>
          <w:noProof/>
        </w:rPr>
        <w:t>1</w:t>
      </w:r>
      <w:r>
        <w:rPr>
          <w:noProof/>
        </w:rPr>
        <w:fldChar w:fldCharType="end"/>
      </w:r>
    </w:p>
    <w:p w14:paraId="01F853A5" w14:textId="67ECED9C"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Pr>
          <w:noProof/>
        </w:rPr>
        <w:t>1.2</w:t>
      </w:r>
      <w:r>
        <w:rPr>
          <w:rFonts w:asciiTheme="minorHAnsi" w:eastAsiaTheme="minorEastAsia" w:hAnsiTheme="minorHAnsi" w:cstheme="minorBidi"/>
          <w:noProof/>
          <w:sz w:val="22"/>
          <w:lang w:val="en-CA" w:eastAsia="en-CA"/>
        </w:rPr>
        <w:tab/>
      </w:r>
      <w:r>
        <w:rPr>
          <w:noProof/>
        </w:rPr>
        <w:t>The fish: salmon in context</w:t>
      </w:r>
      <w:r>
        <w:rPr>
          <w:noProof/>
        </w:rPr>
        <w:tab/>
      </w:r>
      <w:r>
        <w:rPr>
          <w:noProof/>
        </w:rPr>
        <w:fldChar w:fldCharType="begin"/>
      </w:r>
      <w:r>
        <w:rPr>
          <w:noProof/>
        </w:rPr>
        <w:instrText xml:space="preserve"> PAGEREF _Toc99385403 \h </w:instrText>
      </w:r>
      <w:r>
        <w:rPr>
          <w:noProof/>
        </w:rPr>
      </w:r>
      <w:r>
        <w:rPr>
          <w:noProof/>
        </w:rPr>
        <w:fldChar w:fldCharType="separate"/>
      </w:r>
      <w:r w:rsidR="000667DB">
        <w:rPr>
          <w:noProof/>
        </w:rPr>
        <w:t>2</w:t>
      </w:r>
      <w:r>
        <w:rPr>
          <w:noProof/>
        </w:rPr>
        <w:fldChar w:fldCharType="end"/>
      </w:r>
    </w:p>
    <w:p w14:paraId="2EAD9F0F" w14:textId="305D2952"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Pr>
          <w:noProof/>
        </w:rPr>
        <w:t>1.3</w:t>
      </w:r>
      <w:r>
        <w:rPr>
          <w:rFonts w:asciiTheme="minorHAnsi" w:eastAsiaTheme="minorEastAsia" w:hAnsiTheme="minorHAnsi" w:cstheme="minorBidi"/>
          <w:noProof/>
          <w:sz w:val="22"/>
          <w:lang w:val="en-CA" w:eastAsia="en-CA"/>
        </w:rPr>
        <w:tab/>
      </w:r>
      <w:r>
        <w:rPr>
          <w:noProof/>
        </w:rPr>
        <w:t>Salmon streams and salmon lakes: aquatic effects of marine-derived nutrients</w:t>
      </w:r>
      <w:r>
        <w:rPr>
          <w:noProof/>
        </w:rPr>
        <w:tab/>
      </w:r>
      <w:r>
        <w:rPr>
          <w:noProof/>
        </w:rPr>
        <w:fldChar w:fldCharType="begin"/>
      </w:r>
      <w:r>
        <w:rPr>
          <w:noProof/>
        </w:rPr>
        <w:instrText xml:space="preserve"> PAGEREF _Toc99385404 \h </w:instrText>
      </w:r>
      <w:r>
        <w:rPr>
          <w:noProof/>
        </w:rPr>
      </w:r>
      <w:r>
        <w:rPr>
          <w:noProof/>
        </w:rPr>
        <w:fldChar w:fldCharType="separate"/>
      </w:r>
      <w:r w:rsidR="000667DB">
        <w:rPr>
          <w:noProof/>
        </w:rPr>
        <w:t>5</w:t>
      </w:r>
      <w:r>
        <w:rPr>
          <w:noProof/>
        </w:rPr>
        <w:fldChar w:fldCharType="end"/>
      </w:r>
    </w:p>
    <w:p w14:paraId="55BBCC2E" w14:textId="05673FBA"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Pr>
          <w:noProof/>
        </w:rPr>
        <w:t>1.4</w:t>
      </w:r>
      <w:r>
        <w:rPr>
          <w:rFonts w:asciiTheme="minorHAnsi" w:eastAsiaTheme="minorEastAsia" w:hAnsiTheme="minorHAnsi" w:cstheme="minorBidi"/>
          <w:noProof/>
          <w:sz w:val="22"/>
          <w:lang w:val="en-CA" w:eastAsia="en-CA"/>
        </w:rPr>
        <w:tab/>
      </w:r>
      <w:r>
        <w:rPr>
          <w:noProof/>
        </w:rPr>
        <w:t>Salmon forests: terrestrial effects of MDN</w:t>
      </w:r>
      <w:r>
        <w:rPr>
          <w:noProof/>
        </w:rPr>
        <w:tab/>
      </w:r>
      <w:r>
        <w:rPr>
          <w:noProof/>
        </w:rPr>
        <w:fldChar w:fldCharType="begin"/>
      </w:r>
      <w:r>
        <w:rPr>
          <w:noProof/>
        </w:rPr>
        <w:instrText xml:space="preserve"> PAGEREF _Toc99385405 \h </w:instrText>
      </w:r>
      <w:r>
        <w:rPr>
          <w:noProof/>
        </w:rPr>
      </w:r>
      <w:r>
        <w:rPr>
          <w:noProof/>
        </w:rPr>
        <w:fldChar w:fldCharType="separate"/>
      </w:r>
      <w:r w:rsidR="000667DB">
        <w:rPr>
          <w:noProof/>
        </w:rPr>
        <w:t>10</w:t>
      </w:r>
      <w:r>
        <w:rPr>
          <w:noProof/>
        </w:rPr>
        <w:fldChar w:fldCharType="end"/>
      </w:r>
    </w:p>
    <w:p w14:paraId="2094E75D" w14:textId="74EFC185"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1.4.1</w:t>
      </w:r>
      <w:r>
        <w:rPr>
          <w:rFonts w:asciiTheme="minorHAnsi" w:eastAsiaTheme="minorEastAsia" w:hAnsiTheme="minorHAnsi" w:cstheme="minorBidi"/>
          <w:noProof/>
          <w:sz w:val="22"/>
          <w:lang w:val="en-CA" w:eastAsia="en-CA"/>
        </w:rPr>
        <w:tab/>
      </w:r>
      <w:r>
        <w:rPr>
          <w:noProof/>
        </w:rPr>
        <w:t>From stream to forest</w:t>
      </w:r>
      <w:r>
        <w:rPr>
          <w:noProof/>
        </w:rPr>
        <w:tab/>
      </w:r>
      <w:r>
        <w:rPr>
          <w:noProof/>
        </w:rPr>
        <w:fldChar w:fldCharType="begin"/>
      </w:r>
      <w:r>
        <w:rPr>
          <w:noProof/>
        </w:rPr>
        <w:instrText xml:space="preserve"> PAGEREF _Toc99385406 \h </w:instrText>
      </w:r>
      <w:r>
        <w:rPr>
          <w:noProof/>
        </w:rPr>
      </w:r>
      <w:r>
        <w:rPr>
          <w:noProof/>
        </w:rPr>
        <w:fldChar w:fldCharType="separate"/>
      </w:r>
      <w:r w:rsidR="000667DB">
        <w:rPr>
          <w:noProof/>
        </w:rPr>
        <w:t>10</w:t>
      </w:r>
      <w:r>
        <w:rPr>
          <w:noProof/>
        </w:rPr>
        <w:fldChar w:fldCharType="end"/>
      </w:r>
    </w:p>
    <w:p w14:paraId="0B7CAEC9" w14:textId="28CAEECA"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1.4.2</w:t>
      </w:r>
      <w:r>
        <w:rPr>
          <w:rFonts w:asciiTheme="minorHAnsi" w:eastAsiaTheme="minorEastAsia" w:hAnsiTheme="minorHAnsi" w:cstheme="minorBidi"/>
          <w:noProof/>
          <w:sz w:val="22"/>
          <w:lang w:val="en-CA" w:eastAsia="en-CA"/>
        </w:rPr>
        <w:tab/>
      </w:r>
      <w:r>
        <w:rPr>
          <w:noProof/>
        </w:rPr>
        <w:t>Effects on animals</w:t>
      </w:r>
      <w:r>
        <w:rPr>
          <w:noProof/>
        </w:rPr>
        <w:tab/>
      </w:r>
      <w:r>
        <w:rPr>
          <w:noProof/>
        </w:rPr>
        <w:fldChar w:fldCharType="begin"/>
      </w:r>
      <w:r>
        <w:rPr>
          <w:noProof/>
        </w:rPr>
        <w:instrText xml:space="preserve"> PAGEREF _Toc99385407 \h </w:instrText>
      </w:r>
      <w:r>
        <w:rPr>
          <w:noProof/>
        </w:rPr>
      </w:r>
      <w:r>
        <w:rPr>
          <w:noProof/>
        </w:rPr>
        <w:fldChar w:fldCharType="separate"/>
      </w:r>
      <w:r w:rsidR="000667DB">
        <w:rPr>
          <w:noProof/>
        </w:rPr>
        <w:t>11</w:t>
      </w:r>
      <w:r>
        <w:rPr>
          <w:noProof/>
        </w:rPr>
        <w:fldChar w:fldCharType="end"/>
      </w:r>
    </w:p>
    <w:p w14:paraId="4949F9E2" w14:textId="47A74872"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1.4.3</w:t>
      </w:r>
      <w:r>
        <w:rPr>
          <w:rFonts w:asciiTheme="minorHAnsi" w:eastAsiaTheme="minorEastAsia" w:hAnsiTheme="minorHAnsi" w:cstheme="minorBidi"/>
          <w:noProof/>
          <w:sz w:val="22"/>
          <w:lang w:val="en-CA" w:eastAsia="en-CA"/>
        </w:rPr>
        <w:tab/>
      </w:r>
      <w:r>
        <w:rPr>
          <w:noProof/>
        </w:rPr>
        <w:t>Effects on terrestrial plants</w:t>
      </w:r>
      <w:r>
        <w:rPr>
          <w:noProof/>
        </w:rPr>
        <w:tab/>
      </w:r>
      <w:r>
        <w:rPr>
          <w:noProof/>
        </w:rPr>
        <w:fldChar w:fldCharType="begin"/>
      </w:r>
      <w:r>
        <w:rPr>
          <w:noProof/>
        </w:rPr>
        <w:instrText xml:space="preserve"> PAGEREF _Toc99385408 \h </w:instrText>
      </w:r>
      <w:r>
        <w:rPr>
          <w:noProof/>
        </w:rPr>
      </w:r>
      <w:r>
        <w:rPr>
          <w:noProof/>
        </w:rPr>
        <w:fldChar w:fldCharType="separate"/>
      </w:r>
      <w:r w:rsidR="000667DB">
        <w:rPr>
          <w:noProof/>
        </w:rPr>
        <w:t>13</w:t>
      </w:r>
      <w:r>
        <w:rPr>
          <w:noProof/>
        </w:rPr>
        <w:fldChar w:fldCharType="end"/>
      </w:r>
    </w:p>
    <w:p w14:paraId="36043B07" w14:textId="5F8E5A31"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1.4.4</w:t>
      </w:r>
      <w:r>
        <w:rPr>
          <w:rFonts w:asciiTheme="minorHAnsi" w:eastAsiaTheme="minorEastAsia" w:hAnsiTheme="minorHAnsi" w:cstheme="minorBidi"/>
          <w:noProof/>
          <w:sz w:val="22"/>
          <w:lang w:val="en-CA" w:eastAsia="en-CA"/>
        </w:rPr>
        <w:tab/>
      </w:r>
      <w:r>
        <w:rPr>
          <w:noProof/>
        </w:rPr>
        <w:t>Effects on soils</w:t>
      </w:r>
      <w:r>
        <w:rPr>
          <w:noProof/>
        </w:rPr>
        <w:tab/>
      </w:r>
      <w:r>
        <w:rPr>
          <w:noProof/>
        </w:rPr>
        <w:fldChar w:fldCharType="begin"/>
      </w:r>
      <w:r>
        <w:rPr>
          <w:noProof/>
        </w:rPr>
        <w:instrText xml:space="preserve"> PAGEREF _Toc99385409 \h </w:instrText>
      </w:r>
      <w:r>
        <w:rPr>
          <w:noProof/>
        </w:rPr>
      </w:r>
      <w:r>
        <w:rPr>
          <w:noProof/>
        </w:rPr>
        <w:fldChar w:fldCharType="separate"/>
      </w:r>
      <w:r w:rsidR="000667DB">
        <w:rPr>
          <w:noProof/>
        </w:rPr>
        <w:t>15</w:t>
      </w:r>
      <w:r>
        <w:rPr>
          <w:noProof/>
        </w:rPr>
        <w:fldChar w:fldCharType="end"/>
      </w:r>
    </w:p>
    <w:p w14:paraId="5B5952E8" w14:textId="3722CECD"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Pr>
          <w:noProof/>
        </w:rPr>
        <w:t>1.5</w:t>
      </w:r>
      <w:r>
        <w:rPr>
          <w:rFonts w:asciiTheme="minorHAnsi" w:eastAsiaTheme="minorEastAsia" w:hAnsiTheme="minorHAnsi" w:cstheme="minorBidi"/>
          <w:noProof/>
          <w:sz w:val="22"/>
          <w:lang w:val="en-CA" w:eastAsia="en-CA"/>
        </w:rPr>
        <w:tab/>
      </w:r>
      <w:r>
        <w:rPr>
          <w:noProof/>
        </w:rPr>
        <w:t>Soil metabolism</w:t>
      </w:r>
      <w:r>
        <w:rPr>
          <w:noProof/>
        </w:rPr>
        <w:tab/>
      </w:r>
      <w:r>
        <w:rPr>
          <w:noProof/>
        </w:rPr>
        <w:fldChar w:fldCharType="begin"/>
      </w:r>
      <w:r>
        <w:rPr>
          <w:noProof/>
        </w:rPr>
        <w:instrText xml:space="preserve"> PAGEREF _Toc99385410 \h </w:instrText>
      </w:r>
      <w:r>
        <w:rPr>
          <w:noProof/>
        </w:rPr>
      </w:r>
      <w:r>
        <w:rPr>
          <w:noProof/>
        </w:rPr>
        <w:fldChar w:fldCharType="separate"/>
      </w:r>
      <w:r w:rsidR="000667DB">
        <w:rPr>
          <w:noProof/>
        </w:rPr>
        <w:t>18</w:t>
      </w:r>
      <w:r>
        <w:rPr>
          <w:noProof/>
        </w:rPr>
        <w:fldChar w:fldCharType="end"/>
      </w:r>
    </w:p>
    <w:p w14:paraId="0CCE868B" w14:textId="1EFA22A2"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1.5.1</w:t>
      </w:r>
      <w:r>
        <w:rPr>
          <w:rFonts w:asciiTheme="minorHAnsi" w:eastAsiaTheme="minorEastAsia" w:hAnsiTheme="minorHAnsi" w:cstheme="minorBidi"/>
          <w:noProof/>
          <w:sz w:val="22"/>
          <w:lang w:val="en-CA" w:eastAsia="en-CA"/>
        </w:rPr>
        <w:tab/>
      </w:r>
      <w:r>
        <w:rPr>
          <w:noProof/>
        </w:rPr>
        <w:t>Mycorrhizal Fungi</w:t>
      </w:r>
      <w:r>
        <w:rPr>
          <w:noProof/>
        </w:rPr>
        <w:tab/>
      </w:r>
      <w:r>
        <w:rPr>
          <w:noProof/>
        </w:rPr>
        <w:fldChar w:fldCharType="begin"/>
      </w:r>
      <w:r>
        <w:rPr>
          <w:noProof/>
        </w:rPr>
        <w:instrText xml:space="preserve"> PAGEREF _Toc99385411 \h </w:instrText>
      </w:r>
      <w:r>
        <w:rPr>
          <w:noProof/>
        </w:rPr>
      </w:r>
      <w:r>
        <w:rPr>
          <w:noProof/>
        </w:rPr>
        <w:fldChar w:fldCharType="separate"/>
      </w:r>
      <w:r w:rsidR="000667DB">
        <w:rPr>
          <w:noProof/>
        </w:rPr>
        <w:t>20</w:t>
      </w:r>
      <w:r>
        <w:rPr>
          <w:noProof/>
        </w:rPr>
        <w:fldChar w:fldCharType="end"/>
      </w:r>
    </w:p>
    <w:p w14:paraId="6A0C4A6D" w14:textId="5524F282"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1.5.2</w:t>
      </w:r>
      <w:r>
        <w:rPr>
          <w:rFonts w:asciiTheme="minorHAnsi" w:eastAsiaTheme="minorEastAsia" w:hAnsiTheme="minorHAnsi" w:cstheme="minorBidi"/>
          <w:noProof/>
          <w:sz w:val="22"/>
          <w:lang w:val="en-CA" w:eastAsia="en-CA"/>
        </w:rPr>
        <w:tab/>
      </w:r>
      <w:r>
        <w:rPr>
          <w:noProof/>
        </w:rPr>
        <w:t>Common Mycorrhizal Networks</w:t>
      </w:r>
      <w:r>
        <w:rPr>
          <w:noProof/>
        </w:rPr>
        <w:tab/>
      </w:r>
      <w:r>
        <w:rPr>
          <w:noProof/>
        </w:rPr>
        <w:fldChar w:fldCharType="begin"/>
      </w:r>
      <w:r>
        <w:rPr>
          <w:noProof/>
        </w:rPr>
        <w:instrText xml:space="preserve"> PAGEREF _Toc99385412 \h </w:instrText>
      </w:r>
      <w:r>
        <w:rPr>
          <w:noProof/>
        </w:rPr>
      </w:r>
      <w:r>
        <w:rPr>
          <w:noProof/>
        </w:rPr>
        <w:fldChar w:fldCharType="separate"/>
      </w:r>
      <w:r w:rsidR="000667DB">
        <w:rPr>
          <w:noProof/>
        </w:rPr>
        <w:t>22</w:t>
      </w:r>
      <w:r>
        <w:rPr>
          <w:noProof/>
        </w:rPr>
        <w:fldChar w:fldCharType="end"/>
      </w:r>
    </w:p>
    <w:p w14:paraId="74901FD2" w14:textId="718B3BAC"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Pr>
          <w:noProof/>
        </w:rPr>
        <w:t>1.6</w:t>
      </w:r>
      <w:r>
        <w:rPr>
          <w:rFonts w:asciiTheme="minorHAnsi" w:eastAsiaTheme="minorEastAsia" w:hAnsiTheme="minorHAnsi" w:cstheme="minorBidi"/>
          <w:noProof/>
          <w:sz w:val="22"/>
          <w:lang w:val="en-CA" w:eastAsia="en-CA"/>
        </w:rPr>
        <w:tab/>
      </w:r>
      <w:r>
        <w:rPr>
          <w:noProof/>
        </w:rPr>
        <w:t>Summary and motivation</w:t>
      </w:r>
      <w:r>
        <w:rPr>
          <w:noProof/>
        </w:rPr>
        <w:tab/>
      </w:r>
      <w:r>
        <w:rPr>
          <w:noProof/>
        </w:rPr>
        <w:fldChar w:fldCharType="begin"/>
      </w:r>
      <w:r>
        <w:rPr>
          <w:noProof/>
        </w:rPr>
        <w:instrText xml:space="preserve"> PAGEREF _Toc99385413 \h </w:instrText>
      </w:r>
      <w:r>
        <w:rPr>
          <w:noProof/>
        </w:rPr>
      </w:r>
      <w:r>
        <w:rPr>
          <w:noProof/>
        </w:rPr>
        <w:fldChar w:fldCharType="separate"/>
      </w:r>
      <w:r w:rsidR="000667DB">
        <w:rPr>
          <w:noProof/>
        </w:rPr>
        <w:t>24</w:t>
      </w:r>
      <w:r>
        <w:rPr>
          <w:noProof/>
        </w:rPr>
        <w:fldChar w:fldCharType="end"/>
      </w:r>
    </w:p>
    <w:p w14:paraId="5821AE87" w14:textId="2DBB471F"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Pr>
          <w:noProof/>
        </w:rPr>
        <w:t>1.7</w:t>
      </w:r>
      <w:r>
        <w:rPr>
          <w:rFonts w:asciiTheme="minorHAnsi" w:eastAsiaTheme="minorEastAsia" w:hAnsiTheme="minorHAnsi" w:cstheme="minorBidi"/>
          <w:noProof/>
          <w:sz w:val="22"/>
          <w:lang w:val="en-CA" w:eastAsia="en-CA"/>
        </w:rPr>
        <w:tab/>
      </w:r>
      <w:r>
        <w:rPr>
          <w:noProof/>
        </w:rPr>
        <w:t>Main Questions and approach</w:t>
      </w:r>
      <w:r>
        <w:rPr>
          <w:noProof/>
        </w:rPr>
        <w:tab/>
      </w:r>
      <w:r>
        <w:rPr>
          <w:noProof/>
        </w:rPr>
        <w:fldChar w:fldCharType="begin"/>
      </w:r>
      <w:r>
        <w:rPr>
          <w:noProof/>
        </w:rPr>
        <w:instrText xml:space="preserve"> PAGEREF _Toc99385414 \h </w:instrText>
      </w:r>
      <w:r>
        <w:rPr>
          <w:noProof/>
        </w:rPr>
      </w:r>
      <w:r>
        <w:rPr>
          <w:noProof/>
        </w:rPr>
        <w:fldChar w:fldCharType="separate"/>
      </w:r>
      <w:r w:rsidR="000667DB">
        <w:rPr>
          <w:noProof/>
        </w:rPr>
        <w:t>25</w:t>
      </w:r>
      <w:r>
        <w:rPr>
          <w:noProof/>
        </w:rPr>
        <w:fldChar w:fldCharType="end"/>
      </w:r>
    </w:p>
    <w:p w14:paraId="1F3158F9" w14:textId="28CDB1E5"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Pr>
          <w:noProof/>
        </w:rPr>
        <w:t>1.8</w:t>
      </w:r>
      <w:r>
        <w:rPr>
          <w:rFonts w:asciiTheme="minorHAnsi" w:eastAsiaTheme="minorEastAsia" w:hAnsiTheme="minorHAnsi" w:cstheme="minorBidi"/>
          <w:noProof/>
          <w:sz w:val="22"/>
          <w:lang w:val="en-CA" w:eastAsia="en-CA"/>
        </w:rPr>
        <w:tab/>
      </w:r>
      <w:r>
        <w:rPr>
          <w:noProof/>
        </w:rPr>
        <w:t>Thesis outline</w:t>
      </w:r>
      <w:r>
        <w:rPr>
          <w:noProof/>
        </w:rPr>
        <w:tab/>
      </w:r>
      <w:r>
        <w:rPr>
          <w:noProof/>
        </w:rPr>
        <w:fldChar w:fldCharType="begin"/>
      </w:r>
      <w:r>
        <w:rPr>
          <w:noProof/>
        </w:rPr>
        <w:instrText xml:space="preserve"> PAGEREF _Toc99385415 \h </w:instrText>
      </w:r>
      <w:r>
        <w:rPr>
          <w:noProof/>
        </w:rPr>
      </w:r>
      <w:r>
        <w:rPr>
          <w:noProof/>
        </w:rPr>
        <w:fldChar w:fldCharType="separate"/>
      </w:r>
      <w:r w:rsidR="000667DB">
        <w:rPr>
          <w:noProof/>
        </w:rPr>
        <w:t>26</w:t>
      </w:r>
      <w:r>
        <w:rPr>
          <w:noProof/>
        </w:rPr>
        <w:fldChar w:fldCharType="end"/>
      </w:r>
    </w:p>
    <w:p w14:paraId="432EF976" w14:textId="6AD77517"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Pr>
          <w:noProof/>
        </w:rPr>
        <w:lastRenderedPageBreak/>
        <w:t>1.9</w:t>
      </w:r>
      <w:r>
        <w:rPr>
          <w:rFonts w:asciiTheme="minorHAnsi" w:eastAsiaTheme="minorEastAsia" w:hAnsiTheme="minorHAnsi" w:cstheme="minorBidi"/>
          <w:noProof/>
          <w:sz w:val="22"/>
          <w:lang w:val="en-CA" w:eastAsia="en-CA"/>
        </w:rPr>
        <w:tab/>
      </w:r>
      <w:r>
        <w:rPr>
          <w:noProof/>
        </w:rPr>
        <w:t>Tables and Figures</w:t>
      </w:r>
      <w:r>
        <w:rPr>
          <w:noProof/>
        </w:rPr>
        <w:tab/>
      </w:r>
      <w:r>
        <w:rPr>
          <w:noProof/>
        </w:rPr>
        <w:fldChar w:fldCharType="begin"/>
      </w:r>
      <w:r>
        <w:rPr>
          <w:noProof/>
        </w:rPr>
        <w:instrText xml:space="preserve"> PAGEREF _Toc99385416 \h </w:instrText>
      </w:r>
      <w:r>
        <w:rPr>
          <w:noProof/>
        </w:rPr>
      </w:r>
      <w:r>
        <w:rPr>
          <w:noProof/>
        </w:rPr>
        <w:fldChar w:fldCharType="separate"/>
      </w:r>
      <w:r w:rsidR="000667DB">
        <w:rPr>
          <w:noProof/>
        </w:rPr>
        <w:t>29</w:t>
      </w:r>
      <w:r>
        <w:rPr>
          <w:noProof/>
        </w:rPr>
        <w:fldChar w:fldCharType="end"/>
      </w:r>
    </w:p>
    <w:p w14:paraId="7C24F5C3" w14:textId="2031CB18" w:rsidR="00276430" w:rsidRDefault="00276430">
      <w:pPr>
        <w:pStyle w:val="TOC1"/>
        <w:rPr>
          <w:rFonts w:asciiTheme="minorHAnsi" w:eastAsiaTheme="minorEastAsia" w:hAnsiTheme="minorHAnsi" w:cstheme="minorBidi"/>
          <w:b w:val="0"/>
          <w:noProof/>
          <w:sz w:val="22"/>
          <w:szCs w:val="22"/>
          <w:lang w:val="en-CA" w:eastAsia="en-CA"/>
        </w:rPr>
      </w:pPr>
      <w:r>
        <w:rPr>
          <w:noProof/>
        </w:rPr>
        <w:t>Chapter 2: The effects of marine-derived nutrients on soil chemistry</w:t>
      </w:r>
      <w:r>
        <w:rPr>
          <w:noProof/>
        </w:rPr>
        <w:tab/>
      </w:r>
      <w:r>
        <w:rPr>
          <w:noProof/>
        </w:rPr>
        <w:fldChar w:fldCharType="begin"/>
      </w:r>
      <w:r>
        <w:rPr>
          <w:noProof/>
        </w:rPr>
        <w:instrText xml:space="preserve"> PAGEREF _Toc99385417 \h </w:instrText>
      </w:r>
      <w:r>
        <w:rPr>
          <w:noProof/>
        </w:rPr>
      </w:r>
      <w:r>
        <w:rPr>
          <w:noProof/>
        </w:rPr>
        <w:fldChar w:fldCharType="separate"/>
      </w:r>
      <w:r w:rsidR="000667DB">
        <w:rPr>
          <w:noProof/>
        </w:rPr>
        <w:t>34</w:t>
      </w:r>
      <w:r>
        <w:rPr>
          <w:noProof/>
        </w:rPr>
        <w:fldChar w:fldCharType="end"/>
      </w:r>
    </w:p>
    <w:p w14:paraId="30F52823" w14:textId="5EF97863"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sidRPr="00486000">
        <w:rPr>
          <w:noProof/>
          <w:lang w:val="en-CA"/>
        </w:rPr>
        <w:t>2.1</w:t>
      </w:r>
      <w:r>
        <w:rPr>
          <w:rFonts w:asciiTheme="minorHAnsi" w:eastAsiaTheme="minorEastAsia" w:hAnsiTheme="minorHAnsi" w:cstheme="minorBidi"/>
          <w:noProof/>
          <w:sz w:val="22"/>
          <w:lang w:val="en-CA" w:eastAsia="en-CA"/>
        </w:rPr>
        <w:tab/>
      </w:r>
      <w:r w:rsidRPr="00486000">
        <w:rPr>
          <w:noProof/>
          <w:lang w:val="en-CA"/>
        </w:rPr>
        <w:t>Introduction</w:t>
      </w:r>
      <w:r>
        <w:rPr>
          <w:noProof/>
        </w:rPr>
        <w:tab/>
      </w:r>
      <w:r>
        <w:rPr>
          <w:noProof/>
        </w:rPr>
        <w:fldChar w:fldCharType="begin"/>
      </w:r>
      <w:r>
        <w:rPr>
          <w:noProof/>
        </w:rPr>
        <w:instrText xml:space="preserve"> PAGEREF _Toc99385418 \h </w:instrText>
      </w:r>
      <w:r>
        <w:rPr>
          <w:noProof/>
        </w:rPr>
      </w:r>
      <w:r>
        <w:rPr>
          <w:noProof/>
        </w:rPr>
        <w:fldChar w:fldCharType="separate"/>
      </w:r>
      <w:r w:rsidR="000667DB">
        <w:rPr>
          <w:noProof/>
        </w:rPr>
        <w:t>34</w:t>
      </w:r>
      <w:r>
        <w:rPr>
          <w:noProof/>
        </w:rPr>
        <w:fldChar w:fldCharType="end"/>
      </w:r>
    </w:p>
    <w:p w14:paraId="48118894" w14:textId="5C0F68F1"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sidRPr="00486000">
        <w:rPr>
          <w:noProof/>
          <w:lang w:val="en-CA"/>
        </w:rPr>
        <w:t>2.2</w:t>
      </w:r>
      <w:r>
        <w:rPr>
          <w:rFonts w:asciiTheme="minorHAnsi" w:eastAsiaTheme="minorEastAsia" w:hAnsiTheme="minorHAnsi" w:cstheme="minorBidi"/>
          <w:noProof/>
          <w:sz w:val="22"/>
          <w:lang w:val="en-CA" w:eastAsia="en-CA"/>
        </w:rPr>
        <w:tab/>
      </w:r>
      <w:r w:rsidRPr="00486000">
        <w:rPr>
          <w:noProof/>
          <w:lang w:val="en-CA"/>
        </w:rPr>
        <w:t>Materials and Methods</w:t>
      </w:r>
      <w:r>
        <w:rPr>
          <w:noProof/>
        </w:rPr>
        <w:tab/>
      </w:r>
      <w:r>
        <w:rPr>
          <w:noProof/>
        </w:rPr>
        <w:fldChar w:fldCharType="begin"/>
      </w:r>
      <w:r>
        <w:rPr>
          <w:noProof/>
        </w:rPr>
        <w:instrText xml:space="preserve"> PAGEREF _Toc99385419 \h </w:instrText>
      </w:r>
      <w:r>
        <w:rPr>
          <w:noProof/>
        </w:rPr>
      </w:r>
      <w:r>
        <w:rPr>
          <w:noProof/>
        </w:rPr>
        <w:fldChar w:fldCharType="separate"/>
      </w:r>
      <w:r w:rsidR="000667DB">
        <w:rPr>
          <w:noProof/>
        </w:rPr>
        <w:t>39</w:t>
      </w:r>
      <w:r>
        <w:rPr>
          <w:noProof/>
        </w:rPr>
        <w:fldChar w:fldCharType="end"/>
      </w:r>
    </w:p>
    <w:p w14:paraId="63B162A4" w14:textId="005C11E9"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sidRPr="00486000">
        <w:rPr>
          <w:noProof/>
          <w:lang w:val="en-CA"/>
        </w:rPr>
        <w:t>2.3</w:t>
      </w:r>
      <w:r>
        <w:rPr>
          <w:rFonts w:asciiTheme="minorHAnsi" w:eastAsiaTheme="minorEastAsia" w:hAnsiTheme="minorHAnsi" w:cstheme="minorBidi"/>
          <w:noProof/>
          <w:sz w:val="22"/>
          <w:lang w:val="en-CA" w:eastAsia="en-CA"/>
        </w:rPr>
        <w:tab/>
      </w:r>
      <w:r w:rsidRPr="00486000">
        <w:rPr>
          <w:noProof/>
          <w:lang w:val="en-CA"/>
        </w:rPr>
        <w:t>Results</w:t>
      </w:r>
      <w:r>
        <w:rPr>
          <w:noProof/>
        </w:rPr>
        <w:tab/>
      </w:r>
      <w:r>
        <w:rPr>
          <w:noProof/>
        </w:rPr>
        <w:fldChar w:fldCharType="begin"/>
      </w:r>
      <w:r>
        <w:rPr>
          <w:noProof/>
        </w:rPr>
        <w:instrText xml:space="preserve"> PAGEREF _Toc99385420 \h </w:instrText>
      </w:r>
      <w:r>
        <w:rPr>
          <w:noProof/>
        </w:rPr>
      </w:r>
      <w:r>
        <w:rPr>
          <w:noProof/>
        </w:rPr>
        <w:fldChar w:fldCharType="separate"/>
      </w:r>
      <w:r w:rsidR="000667DB">
        <w:rPr>
          <w:noProof/>
        </w:rPr>
        <w:t>46</w:t>
      </w:r>
      <w:r>
        <w:rPr>
          <w:noProof/>
        </w:rPr>
        <w:fldChar w:fldCharType="end"/>
      </w:r>
    </w:p>
    <w:p w14:paraId="2722155B" w14:textId="7B29E722"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2.3.1</w:t>
      </w:r>
      <w:r>
        <w:rPr>
          <w:rFonts w:asciiTheme="minorHAnsi" w:eastAsiaTheme="minorEastAsia" w:hAnsiTheme="minorHAnsi" w:cstheme="minorBidi"/>
          <w:noProof/>
          <w:sz w:val="22"/>
          <w:lang w:val="en-CA" w:eastAsia="en-CA"/>
        </w:rPr>
        <w:tab/>
      </w:r>
      <w:r>
        <w:rPr>
          <w:noProof/>
        </w:rPr>
        <w:t>Aggregate soil chemistry (Figure 2</w:t>
      </w:r>
      <w:r>
        <w:rPr>
          <w:noProof/>
        </w:rPr>
        <w:noBreakHyphen/>
        <w:t>1)</w:t>
      </w:r>
      <w:r>
        <w:rPr>
          <w:noProof/>
        </w:rPr>
        <w:tab/>
      </w:r>
      <w:r>
        <w:rPr>
          <w:noProof/>
        </w:rPr>
        <w:fldChar w:fldCharType="begin"/>
      </w:r>
      <w:r>
        <w:rPr>
          <w:noProof/>
        </w:rPr>
        <w:instrText xml:space="preserve"> PAGEREF _Toc99385421 \h </w:instrText>
      </w:r>
      <w:r>
        <w:rPr>
          <w:noProof/>
        </w:rPr>
      </w:r>
      <w:r>
        <w:rPr>
          <w:noProof/>
        </w:rPr>
        <w:fldChar w:fldCharType="separate"/>
      </w:r>
      <w:r w:rsidR="000667DB">
        <w:rPr>
          <w:noProof/>
        </w:rPr>
        <w:t>46</w:t>
      </w:r>
      <w:r>
        <w:rPr>
          <w:noProof/>
        </w:rPr>
        <w:fldChar w:fldCharType="end"/>
      </w:r>
    </w:p>
    <w:p w14:paraId="619A0D7D" w14:textId="1AB3A769"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2.3.2</w:t>
      </w:r>
      <w:r>
        <w:rPr>
          <w:rFonts w:asciiTheme="minorHAnsi" w:eastAsiaTheme="minorEastAsia" w:hAnsiTheme="minorHAnsi" w:cstheme="minorBidi"/>
          <w:noProof/>
          <w:sz w:val="22"/>
          <w:lang w:val="en-CA" w:eastAsia="en-CA"/>
        </w:rPr>
        <w:tab/>
      </w:r>
      <w:r>
        <w:rPr>
          <w:noProof/>
        </w:rPr>
        <w:t>Nitrogenous compounds (Figure 2</w:t>
      </w:r>
      <w:r>
        <w:rPr>
          <w:noProof/>
        </w:rPr>
        <w:noBreakHyphen/>
        <w:t>2)</w:t>
      </w:r>
      <w:r>
        <w:rPr>
          <w:noProof/>
        </w:rPr>
        <w:tab/>
      </w:r>
      <w:r>
        <w:rPr>
          <w:noProof/>
        </w:rPr>
        <w:fldChar w:fldCharType="begin"/>
      </w:r>
      <w:r>
        <w:rPr>
          <w:noProof/>
        </w:rPr>
        <w:instrText xml:space="preserve"> PAGEREF _Toc99385422 \h </w:instrText>
      </w:r>
      <w:r>
        <w:rPr>
          <w:noProof/>
        </w:rPr>
      </w:r>
      <w:r>
        <w:rPr>
          <w:noProof/>
        </w:rPr>
        <w:fldChar w:fldCharType="separate"/>
      </w:r>
      <w:r w:rsidR="000667DB">
        <w:rPr>
          <w:noProof/>
        </w:rPr>
        <w:t>47</w:t>
      </w:r>
      <w:r>
        <w:rPr>
          <w:noProof/>
        </w:rPr>
        <w:fldChar w:fldCharType="end"/>
      </w:r>
    </w:p>
    <w:p w14:paraId="6E044E8C" w14:textId="608B2914"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2.3.3</w:t>
      </w:r>
      <w:r>
        <w:rPr>
          <w:rFonts w:asciiTheme="minorHAnsi" w:eastAsiaTheme="minorEastAsia" w:hAnsiTheme="minorHAnsi" w:cstheme="minorBidi"/>
          <w:noProof/>
          <w:sz w:val="22"/>
          <w:lang w:val="en-CA" w:eastAsia="en-CA"/>
        </w:rPr>
        <w:tab/>
      </w:r>
      <w:r>
        <w:rPr>
          <w:noProof/>
        </w:rPr>
        <w:t>Organics (Figure 2</w:t>
      </w:r>
      <w:r>
        <w:rPr>
          <w:noProof/>
        </w:rPr>
        <w:noBreakHyphen/>
        <w:t>3)</w:t>
      </w:r>
      <w:r>
        <w:rPr>
          <w:noProof/>
        </w:rPr>
        <w:tab/>
      </w:r>
      <w:r>
        <w:rPr>
          <w:noProof/>
        </w:rPr>
        <w:fldChar w:fldCharType="begin"/>
      </w:r>
      <w:r>
        <w:rPr>
          <w:noProof/>
        </w:rPr>
        <w:instrText xml:space="preserve"> PAGEREF _Toc99385423 \h </w:instrText>
      </w:r>
      <w:r>
        <w:rPr>
          <w:noProof/>
        </w:rPr>
      </w:r>
      <w:r>
        <w:rPr>
          <w:noProof/>
        </w:rPr>
        <w:fldChar w:fldCharType="separate"/>
      </w:r>
      <w:r w:rsidR="000667DB">
        <w:rPr>
          <w:noProof/>
        </w:rPr>
        <w:t>47</w:t>
      </w:r>
      <w:r>
        <w:rPr>
          <w:noProof/>
        </w:rPr>
        <w:fldChar w:fldCharType="end"/>
      </w:r>
    </w:p>
    <w:p w14:paraId="36463E68" w14:textId="6BF29F15"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2.3.4</w:t>
      </w:r>
      <w:r>
        <w:rPr>
          <w:rFonts w:asciiTheme="minorHAnsi" w:eastAsiaTheme="minorEastAsia" w:hAnsiTheme="minorHAnsi" w:cstheme="minorBidi"/>
          <w:noProof/>
          <w:sz w:val="22"/>
          <w:lang w:val="en-CA" w:eastAsia="en-CA"/>
        </w:rPr>
        <w:tab/>
      </w:r>
      <w:r>
        <w:rPr>
          <w:noProof/>
        </w:rPr>
        <w:t>Exchangeable cations (Figure 2</w:t>
      </w:r>
      <w:r>
        <w:rPr>
          <w:noProof/>
        </w:rPr>
        <w:noBreakHyphen/>
        <w:t>4)</w:t>
      </w:r>
      <w:r>
        <w:rPr>
          <w:noProof/>
        </w:rPr>
        <w:tab/>
      </w:r>
      <w:r>
        <w:rPr>
          <w:noProof/>
        </w:rPr>
        <w:fldChar w:fldCharType="begin"/>
      </w:r>
      <w:r>
        <w:rPr>
          <w:noProof/>
        </w:rPr>
        <w:instrText xml:space="preserve"> PAGEREF _Toc99385424 \h </w:instrText>
      </w:r>
      <w:r>
        <w:rPr>
          <w:noProof/>
        </w:rPr>
      </w:r>
      <w:r>
        <w:rPr>
          <w:noProof/>
        </w:rPr>
        <w:fldChar w:fldCharType="separate"/>
      </w:r>
      <w:r w:rsidR="000667DB">
        <w:rPr>
          <w:noProof/>
        </w:rPr>
        <w:t>48</w:t>
      </w:r>
      <w:r>
        <w:rPr>
          <w:noProof/>
        </w:rPr>
        <w:fldChar w:fldCharType="end"/>
      </w:r>
    </w:p>
    <w:p w14:paraId="3FD4E4D6" w14:textId="5398B118"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2.3.5</w:t>
      </w:r>
      <w:r>
        <w:rPr>
          <w:rFonts w:asciiTheme="minorHAnsi" w:eastAsiaTheme="minorEastAsia" w:hAnsiTheme="minorHAnsi" w:cstheme="minorBidi"/>
          <w:noProof/>
          <w:sz w:val="22"/>
          <w:lang w:val="en-CA" w:eastAsia="en-CA"/>
        </w:rPr>
        <w:tab/>
      </w:r>
      <w:r>
        <w:rPr>
          <w:noProof/>
        </w:rPr>
        <w:t>Metals (Figure 2</w:t>
      </w:r>
      <w:r>
        <w:rPr>
          <w:noProof/>
        </w:rPr>
        <w:noBreakHyphen/>
        <w:t>5) and Ergosterol (Figure 2</w:t>
      </w:r>
      <w:r>
        <w:rPr>
          <w:noProof/>
        </w:rPr>
        <w:noBreakHyphen/>
        <w:t>6)</w:t>
      </w:r>
      <w:r>
        <w:rPr>
          <w:noProof/>
        </w:rPr>
        <w:tab/>
      </w:r>
      <w:r>
        <w:rPr>
          <w:noProof/>
        </w:rPr>
        <w:fldChar w:fldCharType="begin"/>
      </w:r>
      <w:r>
        <w:rPr>
          <w:noProof/>
        </w:rPr>
        <w:instrText xml:space="preserve"> PAGEREF _Toc99385425 \h </w:instrText>
      </w:r>
      <w:r>
        <w:rPr>
          <w:noProof/>
        </w:rPr>
      </w:r>
      <w:r>
        <w:rPr>
          <w:noProof/>
        </w:rPr>
        <w:fldChar w:fldCharType="separate"/>
      </w:r>
      <w:r w:rsidR="000667DB">
        <w:rPr>
          <w:noProof/>
        </w:rPr>
        <w:t>48</w:t>
      </w:r>
      <w:r>
        <w:rPr>
          <w:noProof/>
        </w:rPr>
        <w:fldChar w:fldCharType="end"/>
      </w:r>
    </w:p>
    <w:p w14:paraId="655BC367" w14:textId="519414B6"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2.3.6</w:t>
      </w:r>
      <w:r>
        <w:rPr>
          <w:rFonts w:asciiTheme="minorHAnsi" w:eastAsiaTheme="minorEastAsia" w:hAnsiTheme="minorHAnsi" w:cstheme="minorBidi"/>
          <w:noProof/>
          <w:sz w:val="22"/>
          <w:lang w:val="en-CA" w:eastAsia="en-CA"/>
        </w:rPr>
        <w:tab/>
      </w:r>
      <w:r>
        <w:rPr>
          <w:noProof/>
        </w:rPr>
        <w:t>Exploratory analysis (Figure 2</w:t>
      </w:r>
      <w:r>
        <w:rPr>
          <w:noProof/>
        </w:rPr>
        <w:noBreakHyphen/>
        <w:t>7)</w:t>
      </w:r>
      <w:r>
        <w:rPr>
          <w:noProof/>
        </w:rPr>
        <w:tab/>
      </w:r>
      <w:r>
        <w:rPr>
          <w:noProof/>
        </w:rPr>
        <w:fldChar w:fldCharType="begin"/>
      </w:r>
      <w:r>
        <w:rPr>
          <w:noProof/>
        </w:rPr>
        <w:instrText xml:space="preserve"> PAGEREF _Toc99385426 \h </w:instrText>
      </w:r>
      <w:r>
        <w:rPr>
          <w:noProof/>
        </w:rPr>
      </w:r>
      <w:r>
        <w:rPr>
          <w:noProof/>
        </w:rPr>
        <w:fldChar w:fldCharType="separate"/>
      </w:r>
      <w:r w:rsidR="000667DB">
        <w:rPr>
          <w:noProof/>
        </w:rPr>
        <w:t>49</w:t>
      </w:r>
      <w:r>
        <w:rPr>
          <w:noProof/>
        </w:rPr>
        <w:fldChar w:fldCharType="end"/>
      </w:r>
    </w:p>
    <w:p w14:paraId="0C642235" w14:textId="388EE960"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2.3.7</w:t>
      </w:r>
      <w:r>
        <w:rPr>
          <w:rFonts w:asciiTheme="minorHAnsi" w:eastAsiaTheme="minorEastAsia" w:hAnsiTheme="minorHAnsi" w:cstheme="minorBidi"/>
          <w:noProof/>
          <w:sz w:val="22"/>
          <w:lang w:val="en-CA" w:eastAsia="en-CA"/>
        </w:rPr>
        <w:tab/>
      </w:r>
      <w:r>
        <w:rPr>
          <w:noProof/>
        </w:rPr>
        <w:t>Calcium to aluminum ratio and regional comparisons</w:t>
      </w:r>
      <w:r>
        <w:rPr>
          <w:noProof/>
        </w:rPr>
        <w:tab/>
      </w:r>
      <w:r>
        <w:rPr>
          <w:noProof/>
        </w:rPr>
        <w:fldChar w:fldCharType="begin"/>
      </w:r>
      <w:r>
        <w:rPr>
          <w:noProof/>
        </w:rPr>
        <w:instrText xml:space="preserve"> PAGEREF _Toc99385427 \h </w:instrText>
      </w:r>
      <w:r>
        <w:rPr>
          <w:noProof/>
        </w:rPr>
      </w:r>
      <w:r>
        <w:rPr>
          <w:noProof/>
        </w:rPr>
        <w:fldChar w:fldCharType="separate"/>
      </w:r>
      <w:r w:rsidR="000667DB">
        <w:rPr>
          <w:noProof/>
        </w:rPr>
        <w:t>49</w:t>
      </w:r>
      <w:r>
        <w:rPr>
          <w:noProof/>
        </w:rPr>
        <w:fldChar w:fldCharType="end"/>
      </w:r>
    </w:p>
    <w:p w14:paraId="78811248" w14:textId="4071182E"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sidRPr="00486000">
        <w:rPr>
          <w:noProof/>
          <w:lang w:val="en-CA"/>
        </w:rPr>
        <w:t>2.4</w:t>
      </w:r>
      <w:r>
        <w:rPr>
          <w:rFonts w:asciiTheme="minorHAnsi" w:eastAsiaTheme="minorEastAsia" w:hAnsiTheme="minorHAnsi" w:cstheme="minorBidi"/>
          <w:noProof/>
          <w:sz w:val="22"/>
          <w:lang w:val="en-CA" w:eastAsia="en-CA"/>
        </w:rPr>
        <w:tab/>
      </w:r>
      <w:r w:rsidRPr="00486000">
        <w:rPr>
          <w:noProof/>
          <w:lang w:val="en-CA"/>
        </w:rPr>
        <w:t>Discussion</w:t>
      </w:r>
      <w:r>
        <w:rPr>
          <w:noProof/>
        </w:rPr>
        <w:tab/>
      </w:r>
      <w:r>
        <w:rPr>
          <w:noProof/>
        </w:rPr>
        <w:fldChar w:fldCharType="begin"/>
      </w:r>
      <w:r>
        <w:rPr>
          <w:noProof/>
        </w:rPr>
        <w:instrText xml:space="preserve"> PAGEREF _Toc99385428 \h </w:instrText>
      </w:r>
      <w:r>
        <w:rPr>
          <w:noProof/>
        </w:rPr>
      </w:r>
      <w:r>
        <w:rPr>
          <w:noProof/>
        </w:rPr>
        <w:fldChar w:fldCharType="separate"/>
      </w:r>
      <w:r w:rsidR="000667DB">
        <w:rPr>
          <w:noProof/>
        </w:rPr>
        <w:t>50</w:t>
      </w:r>
      <w:r>
        <w:rPr>
          <w:noProof/>
        </w:rPr>
        <w:fldChar w:fldCharType="end"/>
      </w:r>
    </w:p>
    <w:p w14:paraId="0AA75BDB" w14:textId="5C3FD0D6"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Pr>
          <w:noProof/>
        </w:rPr>
        <w:t>2.5</w:t>
      </w:r>
      <w:r>
        <w:rPr>
          <w:rFonts w:asciiTheme="minorHAnsi" w:eastAsiaTheme="minorEastAsia" w:hAnsiTheme="minorHAnsi" w:cstheme="minorBidi"/>
          <w:noProof/>
          <w:sz w:val="22"/>
          <w:lang w:val="en-CA" w:eastAsia="en-CA"/>
        </w:rPr>
        <w:tab/>
      </w:r>
      <w:r>
        <w:rPr>
          <w:noProof/>
        </w:rPr>
        <w:t>Conclusion</w:t>
      </w:r>
      <w:r>
        <w:rPr>
          <w:noProof/>
        </w:rPr>
        <w:tab/>
      </w:r>
      <w:r>
        <w:rPr>
          <w:noProof/>
        </w:rPr>
        <w:fldChar w:fldCharType="begin"/>
      </w:r>
      <w:r>
        <w:rPr>
          <w:noProof/>
        </w:rPr>
        <w:instrText xml:space="preserve"> PAGEREF _Toc99385429 \h </w:instrText>
      </w:r>
      <w:r>
        <w:rPr>
          <w:noProof/>
        </w:rPr>
      </w:r>
      <w:r>
        <w:rPr>
          <w:noProof/>
        </w:rPr>
        <w:fldChar w:fldCharType="separate"/>
      </w:r>
      <w:r w:rsidR="000667DB">
        <w:rPr>
          <w:noProof/>
        </w:rPr>
        <w:t>57</w:t>
      </w:r>
      <w:r>
        <w:rPr>
          <w:noProof/>
        </w:rPr>
        <w:fldChar w:fldCharType="end"/>
      </w:r>
    </w:p>
    <w:p w14:paraId="517B923C" w14:textId="63005245"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Pr>
          <w:noProof/>
        </w:rPr>
        <w:t>2.6</w:t>
      </w:r>
      <w:r>
        <w:rPr>
          <w:rFonts w:asciiTheme="minorHAnsi" w:eastAsiaTheme="minorEastAsia" w:hAnsiTheme="minorHAnsi" w:cstheme="minorBidi"/>
          <w:noProof/>
          <w:sz w:val="22"/>
          <w:lang w:val="en-CA" w:eastAsia="en-CA"/>
        </w:rPr>
        <w:tab/>
      </w:r>
      <w:r>
        <w:rPr>
          <w:noProof/>
        </w:rPr>
        <w:t>Tables and Figures</w:t>
      </w:r>
      <w:r>
        <w:rPr>
          <w:noProof/>
        </w:rPr>
        <w:tab/>
      </w:r>
      <w:r>
        <w:rPr>
          <w:noProof/>
        </w:rPr>
        <w:fldChar w:fldCharType="begin"/>
      </w:r>
      <w:r>
        <w:rPr>
          <w:noProof/>
        </w:rPr>
        <w:instrText xml:space="preserve"> PAGEREF _Toc99385430 \h </w:instrText>
      </w:r>
      <w:r>
        <w:rPr>
          <w:noProof/>
        </w:rPr>
      </w:r>
      <w:r>
        <w:rPr>
          <w:noProof/>
        </w:rPr>
        <w:fldChar w:fldCharType="separate"/>
      </w:r>
      <w:r w:rsidR="000667DB">
        <w:rPr>
          <w:noProof/>
        </w:rPr>
        <w:t>58</w:t>
      </w:r>
      <w:r>
        <w:rPr>
          <w:noProof/>
        </w:rPr>
        <w:fldChar w:fldCharType="end"/>
      </w:r>
    </w:p>
    <w:p w14:paraId="0CA5F20C" w14:textId="0B49B3A7" w:rsidR="00276430" w:rsidRDefault="00276430">
      <w:pPr>
        <w:pStyle w:val="TOC1"/>
        <w:rPr>
          <w:rFonts w:asciiTheme="minorHAnsi" w:eastAsiaTheme="minorEastAsia" w:hAnsiTheme="minorHAnsi" w:cstheme="minorBidi"/>
          <w:b w:val="0"/>
          <w:noProof/>
          <w:sz w:val="22"/>
          <w:szCs w:val="22"/>
          <w:lang w:val="en-CA" w:eastAsia="en-CA"/>
        </w:rPr>
      </w:pPr>
      <w:r>
        <w:rPr>
          <w:noProof/>
        </w:rPr>
        <w:t>Chapter 3:</w:t>
      </w:r>
      <w:r w:rsidRPr="00486000">
        <w:rPr>
          <w:b w:val="0"/>
          <w:noProof/>
        </w:rPr>
        <w:t xml:space="preserve"> Sporocarp </w:t>
      </w:r>
      <w:r w:rsidRPr="00486000">
        <w:rPr>
          <w:b w:val="0"/>
          <w:noProof/>
          <w:vertAlign w:val="superscript"/>
        </w:rPr>
        <w:t>15</w:t>
      </w:r>
      <w:r w:rsidRPr="00486000">
        <w:rPr>
          <w:b w:val="0"/>
          <w:noProof/>
        </w:rPr>
        <w:t>N natural abundance along a gradient of salmon</w:t>
      </w:r>
      <w:r>
        <w:rPr>
          <w:noProof/>
        </w:rPr>
        <w:t xml:space="preserve"> </w:t>
      </w:r>
      <w:r w:rsidRPr="00486000">
        <w:rPr>
          <w:b w:val="0"/>
          <w:noProof/>
        </w:rPr>
        <w:t>density</w:t>
      </w:r>
      <w:r>
        <w:rPr>
          <w:noProof/>
        </w:rPr>
        <w:tab/>
      </w:r>
      <w:r>
        <w:rPr>
          <w:noProof/>
        </w:rPr>
        <w:fldChar w:fldCharType="begin"/>
      </w:r>
      <w:r>
        <w:rPr>
          <w:noProof/>
        </w:rPr>
        <w:instrText xml:space="preserve"> PAGEREF _Toc99385431 \h </w:instrText>
      </w:r>
      <w:r>
        <w:rPr>
          <w:noProof/>
        </w:rPr>
      </w:r>
      <w:r>
        <w:rPr>
          <w:noProof/>
        </w:rPr>
        <w:fldChar w:fldCharType="separate"/>
      </w:r>
      <w:r w:rsidR="000667DB">
        <w:rPr>
          <w:noProof/>
        </w:rPr>
        <w:t>82</w:t>
      </w:r>
      <w:r>
        <w:rPr>
          <w:noProof/>
        </w:rPr>
        <w:fldChar w:fldCharType="end"/>
      </w:r>
    </w:p>
    <w:p w14:paraId="55437F90" w14:textId="651C91F7"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sidRPr="00486000">
        <w:rPr>
          <w:noProof/>
          <w:lang w:val="en-CA"/>
        </w:rPr>
        <w:t>3.1</w:t>
      </w:r>
      <w:r>
        <w:rPr>
          <w:rFonts w:asciiTheme="minorHAnsi" w:eastAsiaTheme="minorEastAsia" w:hAnsiTheme="minorHAnsi" w:cstheme="minorBidi"/>
          <w:noProof/>
          <w:sz w:val="22"/>
          <w:lang w:val="en-CA" w:eastAsia="en-CA"/>
        </w:rPr>
        <w:tab/>
      </w:r>
      <w:r w:rsidRPr="00486000">
        <w:rPr>
          <w:noProof/>
          <w:lang w:val="en-CA"/>
        </w:rPr>
        <w:t>Introduction</w:t>
      </w:r>
      <w:r>
        <w:rPr>
          <w:noProof/>
        </w:rPr>
        <w:tab/>
      </w:r>
      <w:r>
        <w:rPr>
          <w:noProof/>
        </w:rPr>
        <w:fldChar w:fldCharType="begin"/>
      </w:r>
      <w:r>
        <w:rPr>
          <w:noProof/>
        </w:rPr>
        <w:instrText xml:space="preserve"> PAGEREF _Toc99385432 \h </w:instrText>
      </w:r>
      <w:r>
        <w:rPr>
          <w:noProof/>
        </w:rPr>
      </w:r>
      <w:r>
        <w:rPr>
          <w:noProof/>
        </w:rPr>
        <w:fldChar w:fldCharType="separate"/>
      </w:r>
      <w:r w:rsidR="000667DB">
        <w:rPr>
          <w:noProof/>
        </w:rPr>
        <w:t>82</w:t>
      </w:r>
      <w:r>
        <w:rPr>
          <w:noProof/>
        </w:rPr>
        <w:fldChar w:fldCharType="end"/>
      </w:r>
    </w:p>
    <w:p w14:paraId="1981A2EA" w14:textId="0DCDA61A"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sidRPr="00486000">
        <w:rPr>
          <w:noProof/>
          <w:lang w:val="en-CA"/>
        </w:rPr>
        <w:t>3.2</w:t>
      </w:r>
      <w:r>
        <w:rPr>
          <w:rFonts w:asciiTheme="minorHAnsi" w:eastAsiaTheme="minorEastAsia" w:hAnsiTheme="minorHAnsi" w:cstheme="minorBidi"/>
          <w:noProof/>
          <w:sz w:val="22"/>
          <w:lang w:val="en-CA" w:eastAsia="en-CA"/>
        </w:rPr>
        <w:tab/>
      </w:r>
      <w:r w:rsidRPr="00486000">
        <w:rPr>
          <w:noProof/>
          <w:lang w:val="en-CA"/>
        </w:rPr>
        <w:t>Materials and Methods</w:t>
      </w:r>
      <w:r>
        <w:rPr>
          <w:noProof/>
        </w:rPr>
        <w:tab/>
      </w:r>
      <w:r>
        <w:rPr>
          <w:noProof/>
        </w:rPr>
        <w:fldChar w:fldCharType="begin"/>
      </w:r>
      <w:r>
        <w:rPr>
          <w:noProof/>
        </w:rPr>
        <w:instrText xml:space="preserve"> PAGEREF _Toc99385433 \h </w:instrText>
      </w:r>
      <w:r>
        <w:rPr>
          <w:noProof/>
        </w:rPr>
      </w:r>
      <w:r>
        <w:rPr>
          <w:noProof/>
        </w:rPr>
        <w:fldChar w:fldCharType="separate"/>
      </w:r>
      <w:r w:rsidR="000667DB">
        <w:rPr>
          <w:noProof/>
        </w:rPr>
        <w:t>87</w:t>
      </w:r>
      <w:r>
        <w:rPr>
          <w:noProof/>
        </w:rPr>
        <w:fldChar w:fldCharType="end"/>
      </w:r>
    </w:p>
    <w:p w14:paraId="1D539831" w14:textId="69EF675D"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sidRPr="00486000">
        <w:rPr>
          <w:noProof/>
          <w:lang w:val="en-CA"/>
        </w:rPr>
        <w:t>3.3</w:t>
      </w:r>
      <w:r>
        <w:rPr>
          <w:rFonts w:asciiTheme="minorHAnsi" w:eastAsiaTheme="minorEastAsia" w:hAnsiTheme="minorHAnsi" w:cstheme="minorBidi"/>
          <w:noProof/>
          <w:sz w:val="22"/>
          <w:lang w:val="en-CA" w:eastAsia="en-CA"/>
        </w:rPr>
        <w:tab/>
      </w:r>
      <w:r w:rsidRPr="00486000">
        <w:rPr>
          <w:noProof/>
          <w:lang w:val="en-CA"/>
        </w:rPr>
        <w:t>Results</w:t>
      </w:r>
      <w:r>
        <w:rPr>
          <w:noProof/>
        </w:rPr>
        <w:tab/>
      </w:r>
      <w:r>
        <w:rPr>
          <w:noProof/>
        </w:rPr>
        <w:fldChar w:fldCharType="begin"/>
      </w:r>
      <w:r>
        <w:rPr>
          <w:noProof/>
        </w:rPr>
        <w:instrText xml:space="preserve"> PAGEREF _Toc99385434 \h </w:instrText>
      </w:r>
      <w:r>
        <w:rPr>
          <w:noProof/>
        </w:rPr>
      </w:r>
      <w:r>
        <w:rPr>
          <w:noProof/>
        </w:rPr>
        <w:fldChar w:fldCharType="separate"/>
      </w:r>
      <w:r w:rsidR="000667DB">
        <w:rPr>
          <w:noProof/>
        </w:rPr>
        <w:t>92</w:t>
      </w:r>
      <w:r>
        <w:rPr>
          <w:noProof/>
        </w:rPr>
        <w:fldChar w:fldCharType="end"/>
      </w:r>
    </w:p>
    <w:p w14:paraId="2B025795" w14:textId="3436FE99"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sidRPr="00486000">
        <w:rPr>
          <w:noProof/>
          <w:lang w:val="en-CA"/>
        </w:rPr>
        <w:t>3.4</w:t>
      </w:r>
      <w:r>
        <w:rPr>
          <w:rFonts w:asciiTheme="minorHAnsi" w:eastAsiaTheme="minorEastAsia" w:hAnsiTheme="minorHAnsi" w:cstheme="minorBidi"/>
          <w:noProof/>
          <w:sz w:val="22"/>
          <w:lang w:val="en-CA" w:eastAsia="en-CA"/>
        </w:rPr>
        <w:tab/>
      </w:r>
      <w:r w:rsidRPr="00486000">
        <w:rPr>
          <w:noProof/>
          <w:lang w:val="en-CA"/>
        </w:rPr>
        <w:t>Discussion</w:t>
      </w:r>
      <w:r>
        <w:rPr>
          <w:noProof/>
        </w:rPr>
        <w:tab/>
      </w:r>
      <w:r>
        <w:rPr>
          <w:noProof/>
        </w:rPr>
        <w:fldChar w:fldCharType="begin"/>
      </w:r>
      <w:r>
        <w:rPr>
          <w:noProof/>
        </w:rPr>
        <w:instrText xml:space="preserve"> PAGEREF _Toc99385435 \h </w:instrText>
      </w:r>
      <w:r>
        <w:rPr>
          <w:noProof/>
        </w:rPr>
      </w:r>
      <w:r>
        <w:rPr>
          <w:noProof/>
        </w:rPr>
        <w:fldChar w:fldCharType="separate"/>
      </w:r>
      <w:r w:rsidR="000667DB">
        <w:rPr>
          <w:noProof/>
        </w:rPr>
        <w:t>94</w:t>
      </w:r>
      <w:r>
        <w:rPr>
          <w:noProof/>
        </w:rPr>
        <w:fldChar w:fldCharType="end"/>
      </w:r>
    </w:p>
    <w:p w14:paraId="13E6C96C" w14:textId="5FA1EDB1"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3.4.1</w:t>
      </w:r>
      <w:r>
        <w:rPr>
          <w:rFonts w:asciiTheme="minorHAnsi" w:eastAsiaTheme="minorEastAsia" w:hAnsiTheme="minorHAnsi" w:cstheme="minorBidi"/>
          <w:noProof/>
          <w:sz w:val="22"/>
          <w:lang w:val="en-CA" w:eastAsia="en-CA"/>
        </w:rPr>
        <w:tab/>
      </w:r>
      <w:r>
        <w:rPr>
          <w:noProof/>
        </w:rPr>
        <w:t>Nitrogen Isotopes as indicators of N-cycling</w:t>
      </w:r>
      <w:r>
        <w:rPr>
          <w:noProof/>
        </w:rPr>
        <w:tab/>
      </w:r>
      <w:r>
        <w:rPr>
          <w:noProof/>
        </w:rPr>
        <w:fldChar w:fldCharType="begin"/>
      </w:r>
      <w:r>
        <w:rPr>
          <w:noProof/>
        </w:rPr>
        <w:instrText xml:space="preserve"> PAGEREF _Toc99385436 \h </w:instrText>
      </w:r>
      <w:r>
        <w:rPr>
          <w:noProof/>
        </w:rPr>
      </w:r>
      <w:r>
        <w:rPr>
          <w:noProof/>
        </w:rPr>
        <w:fldChar w:fldCharType="separate"/>
      </w:r>
      <w:r w:rsidR="000667DB">
        <w:rPr>
          <w:noProof/>
        </w:rPr>
        <w:t>94</w:t>
      </w:r>
      <w:r>
        <w:rPr>
          <w:noProof/>
        </w:rPr>
        <w:fldChar w:fldCharType="end"/>
      </w:r>
    </w:p>
    <w:p w14:paraId="17C9E2FE" w14:textId="482BEFB0"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3.4.2</w:t>
      </w:r>
      <w:r>
        <w:rPr>
          <w:rFonts w:asciiTheme="minorHAnsi" w:eastAsiaTheme="minorEastAsia" w:hAnsiTheme="minorHAnsi" w:cstheme="minorBidi"/>
          <w:noProof/>
          <w:sz w:val="22"/>
          <w:lang w:val="en-CA" w:eastAsia="en-CA"/>
        </w:rPr>
        <w:tab/>
      </w:r>
      <w:r>
        <w:rPr>
          <w:noProof/>
        </w:rPr>
        <w:t>Effects of MDN on Nitrogen Concentrations</w:t>
      </w:r>
      <w:r>
        <w:rPr>
          <w:noProof/>
        </w:rPr>
        <w:tab/>
      </w:r>
      <w:r>
        <w:rPr>
          <w:noProof/>
        </w:rPr>
        <w:fldChar w:fldCharType="begin"/>
      </w:r>
      <w:r>
        <w:rPr>
          <w:noProof/>
        </w:rPr>
        <w:instrText xml:space="preserve"> PAGEREF _Toc99385437 \h </w:instrText>
      </w:r>
      <w:r>
        <w:rPr>
          <w:noProof/>
        </w:rPr>
      </w:r>
      <w:r>
        <w:rPr>
          <w:noProof/>
        </w:rPr>
        <w:fldChar w:fldCharType="separate"/>
      </w:r>
      <w:r w:rsidR="000667DB">
        <w:rPr>
          <w:noProof/>
        </w:rPr>
        <w:t>98</w:t>
      </w:r>
      <w:r>
        <w:rPr>
          <w:noProof/>
        </w:rPr>
        <w:fldChar w:fldCharType="end"/>
      </w:r>
    </w:p>
    <w:p w14:paraId="3715EAF0" w14:textId="33F7B54E"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3.4.3</w:t>
      </w:r>
      <w:r>
        <w:rPr>
          <w:rFonts w:asciiTheme="minorHAnsi" w:eastAsiaTheme="minorEastAsia" w:hAnsiTheme="minorHAnsi" w:cstheme="minorBidi"/>
          <w:noProof/>
          <w:sz w:val="22"/>
          <w:lang w:val="en-CA" w:eastAsia="en-CA"/>
        </w:rPr>
        <w:tab/>
      </w:r>
      <w:r>
        <w:rPr>
          <w:noProof/>
        </w:rPr>
        <w:t>Effects of MDN on Carbon Cycling</w:t>
      </w:r>
      <w:r>
        <w:rPr>
          <w:noProof/>
        </w:rPr>
        <w:tab/>
      </w:r>
      <w:r>
        <w:rPr>
          <w:noProof/>
        </w:rPr>
        <w:fldChar w:fldCharType="begin"/>
      </w:r>
      <w:r>
        <w:rPr>
          <w:noProof/>
        </w:rPr>
        <w:instrText xml:space="preserve"> PAGEREF _Toc99385438 \h </w:instrText>
      </w:r>
      <w:r>
        <w:rPr>
          <w:noProof/>
        </w:rPr>
      </w:r>
      <w:r>
        <w:rPr>
          <w:noProof/>
        </w:rPr>
        <w:fldChar w:fldCharType="separate"/>
      </w:r>
      <w:r w:rsidR="000667DB">
        <w:rPr>
          <w:noProof/>
        </w:rPr>
        <w:t>100</w:t>
      </w:r>
      <w:r>
        <w:rPr>
          <w:noProof/>
        </w:rPr>
        <w:fldChar w:fldCharType="end"/>
      </w:r>
    </w:p>
    <w:p w14:paraId="5EE2C9A9" w14:textId="4EF14208"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lastRenderedPageBreak/>
        <w:t>3.4.4</w:t>
      </w:r>
      <w:r>
        <w:rPr>
          <w:rFonts w:asciiTheme="minorHAnsi" w:eastAsiaTheme="minorEastAsia" w:hAnsiTheme="minorHAnsi" w:cstheme="minorBidi"/>
          <w:noProof/>
          <w:sz w:val="22"/>
          <w:lang w:val="en-CA" w:eastAsia="en-CA"/>
        </w:rPr>
        <w:tab/>
      </w:r>
      <w:r w:rsidRPr="00486000">
        <w:rPr>
          <w:noProof/>
          <w:vertAlign w:val="superscript"/>
        </w:rPr>
        <w:t>15</w:t>
      </w:r>
      <w:r>
        <w:rPr>
          <w:noProof/>
        </w:rPr>
        <w:t>N and sporocarp taxonomic identity:</w:t>
      </w:r>
      <w:r>
        <w:rPr>
          <w:noProof/>
        </w:rPr>
        <w:tab/>
      </w:r>
      <w:r>
        <w:rPr>
          <w:noProof/>
        </w:rPr>
        <w:fldChar w:fldCharType="begin"/>
      </w:r>
      <w:r>
        <w:rPr>
          <w:noProof/>
        </w:rPr>
        <w:instrText xml:space="preserve"> PAGEREF _Toc99385439 \h </w:instrText>
      </w:r>
      <w:r>
        <w:rPr>
          <w:noProof/>
        </w:rPr>
      </w:r>
      <w:r>
        <w:rPr>
          <w:noProof/>
        </w:rPr>
        <w:fldChar w:fldCharType="separate"/>
      </w:r>
      <w:r w:rsidR="000667DB">
        <w:rPr>
          <w:noProof/>
        </w:rPr>
        <w:t>101</w:t>
      </w:r>
      <w:r>
        <w:rPr>
          <w:noProof/>
        </w:rPr>
        <w:fldChar w:fldCharType="end"/>
      </w:r>
    </w:p>
    <w:p w14:paraId="3D5F3562" w14:textId="5AEDCDAC"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sidRPr="00486000">
        <w:rPr>
          <w:noProof/>
          <w:lang w:val="en-CA"/>
        </w:rPr>
        <w:t>3.5</w:t>
      </w:r>
      <w:r>
        <w:rPr>
          <w:rFonts w:asciiTheme="minorHAnsi" w:eastAsiaTheme="minorEastAsia" w:hAnsiTheme="minorHAnsi" w:cstheme="minorBidi"/>
          <w:noProof/>
          <w:sz w:val="22"/>
          <w:lang w:val="en-CA" w:eastAsia="en-CA"/>
        </w:rPr>
        <w:tab/>
      </w:r>
      <w:r w:rsidRPr="00486000">
        <w:rPr>
          <w:noProof/>
          <w:lang w:val="en-CA"/>
        </w:rPr>
        <w:t>Conclusion</w:t>
      </w:r>
      <w:r>
        <w:rPr>
          <w:noProof/>
        </w:rPr>
        <w:tab/>
      </w:r>
      <w:r>
        <w:rPr>
          <w:noProof/>
        </w:rPr>
        <w:fldChar w:fldCharType="begin"/>
      </w:r>
      <w:r>
        <w:rPr>
          <w:noProof/>
        </w:rPr>
        <w:instrText xml:space="preserve"> PAGEREF _Toc99385440 \h </w:instrText>
      </w:r>
      <w:r>
        <w:rPr>
          <w:noProof/>
        </w:rPr>
      </w:r>
      <w:r>
        <w:rPr>
          <w:noProof/>
        </w:rPr>
        <w:fldChar w:fldCharType="separate"/>
      </w:r>
      <w:r w:rsidR="000667DB">
        <w:rPr>
          <w:noProof/>
        </w:rPr>
        <w:t>101</w:t>
      </w:r>
      <w:r>
        <w:rPr>
          <w:noProof/>
        </w:rPr>
        <w:fldChar w:fldCharType="end"/>
      </w:r>
    </w:p>
    <w:p w14:paraId="088FB40A" w14:textId="1CAB2E6C"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Pr>
          <w:noProof/>
        </w:rPr>
        <w:t>3.6</w:t>
      </w:r>
      <w:r>
        <w:rPr>
          <w:rFonts w:asciiTheme="minorHAnsi" w:eastAsiaTheme="minorEastAsia" w:hAnsiTheme="minorHAnsi" w:cstheme="minorBidi"/>
          <w:noProof/>
          <w:sz w:val="22"/>
          <w:lang w:val="en-CA" w:eastAsia="en-CA"/>
        </w:rPr>
        <w:tab/>
      </w:r>
      <w:r>
        <w:rPr>
          <w:noProof/>
        </w:rPr>
        <w:t>Tables and Figures</w:t>
      </w:r>
      <w:r>
        <w:rPr>
          <w:noProof/>
        </w:rPr>
        <w:tab/>
      </w:r>
      <w:r>
        <w:rPr>
          <w:noProof/>
        </w:rPr>
        <w:fldChar w:fldCharType="begin"/>
      </w:r>
      <w:r>
        <w:rPr>
          <w:noProof/>
        </w:rPr>
        <w:instrText xml:space="preserve"> PAGEREF _Toc99385441 \h </w:instrText>
      </w:r>
      <w:r>
        <w:rPr>
          <w:noProof/>
        </w:rPr>
      </w:r>
      <w:r>
        <w:rPr>
          <w:noProof/>
        </w:rPr>
        <w:fldChar w:fldCharType="separate"/>
      </w:r>
      <w:r w:rsidR="000667DB">
        <w:rPr>
          <w:noProof/>
        </w:rPr>
        <w:t>104</w:t>
      </w:r>
      <w:r>
        <w:rPr>
          <w:noProof/>
        </w:rPr>
        <w:fldChar w:fldCharType="end"/>
      </w:r>
    </w:p>
    <w:p w14:paraId="0BFAA965" w14:textId="739ACF45" w:rsidR="00276430" w:rsidRDefault="00276430">
      <w:pPr>
        <w:pStyle w:val="TOC1"/>
        <w:rPr>
          <w:rFonts w:asciiTheme="minorHAnsi" w:eastAsiaTheme="minorEastAsia" w:hAnsiTheme="minorHAnsi" w:cstheme="minorBidi"/>
          <w:b w:val="0"/>
          <w:noProof/>
          <w:sz w:val="22"/>
          <w:szCs w:val="22"/>
          <w:lang w:val="en-CA" w:eastAsia="en-CA"/>
        </w:rPr>
      </w:pPr>
      <w:r>
        <w:rPr>
          <w:noProof/>
        </w:rPr>
        <w:t>Chapter 4:</w:t>
      </w:r>
      <w:r w:rsidRPr="00486000">
        <w:rPr>
          <w:b w:val="0"/>
          <w:noProof/>
        </w:rPr>
        <w:t xml:space="preserve"> Salmon density influences soil fungal microbiome diversity and community composition</w:t>
      </w:r>
      <w:r>
        <w:rPr>
          <w:noProof/>
        </w:rPr>
        <w:tab/>
      </w:r>
      <w:r>
        <w:rPr>
          <w:noProof/>
        </w:rPr>
        <w:fldChar w:fldCharType="begin"/>
      </w:r>
      <w:r>
        <w:rPr>
          <w:noProof/>
        </w:rPr>
        <w:instrText xml:space="preserve"> PAGEREF _Toc99385442 \h </w:instrText>
      </w:r>
      <w:r>
        <w:rPr>
          <w:noProof/>
        </w:rPr>
      </w:r>
      <w:r>
        <w:rPr>
          <w:noProof/>
        </w:rPr>
        <w:fldChar w:fldCharType="separate"/>
      </w:r>
      <w:r w:rsidR="000667DB">
        <w:rPr>
          <w:noProof/>
        </w:rPr>
        <w:t>114</w:t>
      </w:r>
      <w:r>
        <w:rPr>
          <w:noProof/>
        </w:rPr>
        <w:fldChar w:fldCharType="end"/>
      </w:r>
    </w:p>
    <w:p w14:paraId="2A413F4A" w14:textId="675767C8"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sidRPr="00486000">
        <w:rPr>
          <w:noProof/>
          <w:lang w:val="en-CA"/>
        </w:rPr>
        <w:t>4.1</w:t>
      </w:r>
      <w:r>
        <w:rPr>
          <w:rFonts w:asciiTheme="minorHAnsi" w:eastAsiaTheme="minorEastAsia" w:hAnsiTheme="minorHAnsi" w:cstheme="minorBidi"/>
          <w:noProof/>
          <w:sz w:val="22"/>
          <w:lang w:val="en-CA" w:eastAsia="en-CA"/>
        </w:rPr>
        <w:tab/>
      </w:r>
      <w:r w:rsidRPr="00486000">
        <w:rPr>
          <w:noProof/>
          <w:lang w:val="en-CA"/>
        </w:rPr>
        <w:t>Introduction</w:t>
      </w:r>
      <w:r>
        <w:rPr>
          <w:noProof/>
        </w:rPr>
        <w:tab/>
      </w:r>
      <w:r>
        <w:rPr>
          <w:noProof/>
        </w:rPr>
        <w:fldChar w:fldCharType="begin"/>
      </w:r>
      <w:r>
        <w:rPr>
          <w:noProof/>
        </w:rPr>
        <w:instrText xml:space="preserve"> PAGEREF _Toc99385443 \h </w:instrText>
      </w:r>
      <w:r>
        <w:rPr>
          <w:noProof/>
        </w:rPr>
      </w:r>
      <w:r>
        <w:rPr>
          <w:noProof/>
        </w:rPr>
        <w:fldChar w:fldCharType="separate"/>
      </w:r>
      <w:r w:rsidR="000667DB">
        <w:rPr>
          <w:noProof/>
        </w:rPr>
        <w:t>114</w:t>
      </w:r>
      <w:r>
        <w:rPr>
          <w:noProof/>
        </w:rPr>
        <w:fldChar w:fldCharType="end"/>
      </w:r>
    </w:p>
    <w:p w14:paraId="2425CB2F" w14:textId="59DB136B"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sidRPr="00486000">
        <w:rPr>
          <w:noProof/>
          <w:lang w:val="en-CA"/>
        </w:rPr>
        <w:t>4.2</w:t>
      </w:r>
      <w:r>
        <w:rPr>
          <w:rFonts w:asciiTheme="minorHAnsi" w:eastAsiaTheme="minorEastAsia" w:hAnsiTheme="minorHAnsi" w:cstheme="minorBidi"/>
          <w:noProof/>
          <w:sz w:val="22"/>
          <w:lang w:val="en-CA" w:eastAsia="en-CA"/>
        </w:rPr>
        <w:tab/>
      </w:r>
      <w:r w:rsidRPr="00486000">
        <w:rPr>
          <w:noProof/>
          <w:lang w:val="en-CA"/>
        </w:rPr>
        <w:t>Materials and Methods</w:t>
      </w:r>
      <w:r>
        <w:rPr>
          <w:noProof/>
        </w:rPr>
        <w:tab/>
      </w:r>
      <w:r>
        <w:rPr>
          <w:noProof/>
        </w:rPr>
        <w:fldChar w:fldCharType="begin"/>
      </w:r>
      <w:r>
        <w:rPr>
          <w:noProof/>
        </w:rPr>
        <w:instrText xml:space="preserve"> PAGEREF _Toc99385444 \h </w:instrText>
      </w:r>
      <w:r>
        <w:rPr>
          <w:noProof/>
        </w:rPr>
      </w:r>
      <w:r>
        <w:rPr>
          <w:noProof/>
        </w:rPr>
        <w:fldChar w:fldCharType="separate"/>
      </w:r>
      <w:r w:rsidR="000667DB">
        <w:rPr>
          <w:noProof/>
        </w:rPr>
        <w:t>118</w:t>
      </w:r>
      <w:r>
        <w:rPr>
          <w:noProof/>
        </w:rPr>
        <w:fldChar w:fldCharType="end"/>
      </w:r>
    </w:p>
    <w:p w14:paraId="58F0809F" w14:textId="3668EF36"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4.2.1</w:t>
      </w:r>
      <w:r>
        <w:rPr>
          <w:rFonts w:asciiTheme="minorHAnsi" w:eastAsiaTheme="minorEastAsia" w:hAnsiTheme="minorHAnsi" w:cstheme="minorBidi"/>
          <w:noProof/>
          <w:sz w:val="22"/>
          <w:lang w:val="en-CA" w:eastAsia="en-CA"/>
        </w:rPr>
        <w:tab/>
      </w:r>
      <w:r>
        <w:rPr>
          <w:noProof/>
        </w:rPr>
        <w:t>Study sites</w:t>
      </w:r>
      <w:r>
        <w:rPr>
          <w:noProof/>
        </w:rPr>
        <w:tab/>
      </w:r>
      <w:r>
        <w:rPr>
          <w:noProof/>
        </w:rPr>
        <w:fldChar w:fldCharType="begin"/>
      </w:r>
      <w:r>
        <w:rPr>
          <w:noProof/>
        </w:rPr>
        <w:instrText xml:space="preserve"> PAGEREF _Toc99385445 \h </w:instrText>
      </w:r>
      <w:r>
        <w:rPr>
          <w:noProof/>
        </w:rPr>
      </w:r>
      <w:r>
        <w:rPr>
          <w:noProof/>
        </w:rPr>
        <w:fldChar w:fldCharType="separate"/>
      </w:r>
      <w:r w:rsidR="000667DB">
        <w:rPr>
          <w:noProof/>
        </w:rPr>
        <w:t>118</w:t>
      </w:r>
      <w:r>
        <w:rPr>
          <w:noProof/>
        </w:rPr>
        <w:fldChar w:fldCharType="end"/>
      </w:r>
    </w:p>
    <w:p w14:paraId="1D833698" w14:textId="0DAA4173"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4.2.2</w:t>
      </w:r>
      <w:r>
        <w:rPr>
          <w:rFonts w:asciiTheme="minorHAnsi" w:eastAsiaTheme="minorEastAsia" w:hAnsiTheme="minorHAnsi" w:cstheme="minorBidi"/>
          <w:noProof/>
          <w:sz w:val="22"/>
          <w:lang w:val="en-CA" w:eastAsia="en-CA"/>
        </w:rPr>
        <w:tab/>
      </w:r>
      <w:r>
        <w:rPr>
          <w:noProof/>
        </w:rPr>
        <w:t>Soil sampling</w:t>
      </w:r>
      <w:r>
        <w:rPr>
          <w:noProof/>
        </w:rPr>
        <w:tab/>
      </w:r>
      <w:r>
        <w:rPr>
          <w:noProof/>
        </w:rPr>
        <w:fldChar w:fldCharType="begin"/>
      </w:r>
      <w:r>
        <w:rPr>
          <w:noProof/>
        </w:rPr>
        <w:instrText xml:space="preserve"> PAGEREF _Toc99385446 \h </w:instrText>
      </w:r>
      <w:r>
        <w:rPr>
          <w:noProof/>
        </w:rPr>
      </w:r>
      <w:r>
        <w:rPr>
          <w:noProof/>
        </w:rPr>
        <w:fldChar w:fldCharType="separate"/>
      </w:r>
      <w:r w:rsidR="000667DB">
        <w:rPr>
          <w:noProof/>
        </w:rPr>
        <w:t>119</w:t>
      </w:r>
      <w:r>
        <w:rPr>
          <w:noProof/>
        </w:rPr>
        <w:fldChar w:fldCharType="end"/>
      </w:r>
    </w:p>
    <w:p w14:paraId="4DD22F19" w14:textId="5214AB8B"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4.2.3</w:t>
      </w:r>
      <w:r>
        <w:rPr>
          <w:rFonts w:asciiTheme="minorHAnsi" w:eastAsiaTheme="minorEastAsia" w:hAnsiTheme="minorHAnsi" w:cstheme="minorBidi"/>
          <w:noProof/>
          <w:sz w:val="22"/>
          <w:lang w:val="en-CA" w:eastAsia="en-CA"/>
        </w:rPr>
        <w:tab/>
      </w:r>
      <w:r>
        <w:rPr>
          <w:noProof/>
        </w:rPr>
        <w:t>Plant Community and Watershed Size</w:t>
      </w:r>
      <w:r>
        <w:rPr>
          <w:noProof/>
        </w:rPr>
        <w:tab/>
      </w:r>
      <w:r>
        <w:rPr>
          <w:noProof/>
        </w:rPr>
        <w:fldChar w:fldCharType="begin"/>
      </w:r>
      <w:r>
        <w:rPr>
          <w:noProof/>
        </w:rPr>
        <w:instrText xml:space="preserve"> PAGEREF _Toc99385447 \h </w:instrText>
      </w:r>
      <w:r>
        <w:rPr>
          <w:noProof/>
        </w:rPr>
      </w:r>
      <w:r>
        <w:rPr>
          <w:noProof/>
        </w:rPr>
        <w:fldChar w:fldCharType="separate"/>
      </w:r>
      <w:r w:rsidR="000667DB">
        <w:rPr>
          <w:noProof/>
        </w:rPr>
        <w:t>120</w:t>
      </w:r>
      <w:r>
        <w:rPr>
          <w:noProof/>
        </w:rPr>
        <w:fldChar w:fldCharType="end"/>
      </w:r>
    </w:p>
    <w:p w14:paraId="1365AFAC" w14:textId="40CE2077"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4.2.4</w:t>
      </w:r>
      <w:r>
        <w:rPr>
          <w:rFonts w:asciiTheme="minorHAnsi" w:eastAsiaTheme="minorEastAsia" w:hAnsiTheme="minorHAnsi" w:cstheme="minorBidi"/>
          <w:noProof/>
          <w:sz w:val="22"/>
          <w:lang w:val="en-CA" w:eastAsia="en-CA"/>
        </w:rPr>
        <w:tab/>
      </w:r>
      <w:r>
        <w:rPr>
          <w:noProof/>
        </w:rPr>
        <w:t>Salmon density data</w:t>
      </w:r>
      <w:r>
        <w:rPr>
          <w:noProof/>
        </w:rPr>
        <w:tab/>
      </w:r>
      <w:r>
        <w:rPr>
          <w:noProof/>
        </w:rPr>
        <w:fldChar w:fldCharType="begin"/>
      </w:r>
      <w:r>
        <w:rPr>
          <w:noProof/>
        </w:rPr>
        <w:instrText xml:space="preserve"> PAGEREF _Toc99385448 \h </w:instrText>
      </w:r>
      <w:r>
        <w:rPr>
          <w:noProof/>
        </w:rPr>
      </w:r>
      <w:r>
        <w:rPr>
          <w:noProof/>
        </w:rPr>
        <w:fldChar w:fldCharType="separate"/>
      </w:r>
      <w:r w:rsidR="000667DB">
        <w:rPr>
          <w:noProof/>
        </w:rPr>
        <w:t>121</w:t>
      </w:r>
      <w:r>
        <w:rPr>
          <w:noProof/>
        </w:rPr>
        <w:fldChar w:fldCharType="end"/>
      </w:r>
    </w:p>
    <w:p w14:paraId="3F1107F1" w14:textId="719DC31B"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4.2.5</w:t>
      </w:r>
      <w:r>
        <w:rPr>
          <w:rFonts w:asciiTheme="minorHAnsi" w:eastAsiaTheme="minorEastAsia" w:hAnsiTheme="minorHAnsi" w:cstheme="minorBidi"/>
          <w:noProof/>
          <w:sz w:val="22"/>
          <w:lang w:val="en-CA" w:eastAsia="en-CA"/>
        </w:rPr>
        <w:tab/>
      </w:r>
      <w:r>
        <w:rPr>
          <w:noProof/>
        </w:rPr>
        <w:t>Molecular analysis</w:t>
      </w:r>
      <w:r>
        <w:rPr>
          <w:noProof/>
        </w:rPr>
        <w:tab/>
      </w:r>
      <w:r>
        <w:rPr>
          <w:noProof/>
        </w:rPr>
        <w:fldChar w:fldCharType="begin"/>
      </w:r>
      <w:r>
        <w:rPr>
          <w:noProof/>
        </w:rPr>
        <w:instrText xml:space="preserve"> PAGEREF _Toc99385449 \h </w:instrText>
      </w:r>
      <w:r>
        <w:rPr>
          <w:noProof/>
        </w:rPr>
      </w:r>
      <w:r>
        <w:rPr>
          <w:noProof/>
        </w:rPr>
        <w:fldChar w:fldCharType="separate"/>
      </w:r>
      <w:r w:rsidR="000667DB">
        <w:rPr>
          <w:noProof/>
        </w:rPr>
        <w:t>122</w:t>
      </w:r>
      <w:r>
        <w:rPr>
          <w:noProof/>
        </w:rPr>
        <w:fldChar w:fldCharType="end"/>
      </w:r>
    </w:p>
    <w:p w14:paraId="0B6A73B5" w14:textId="221E0460"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4.2.6</w:t>
      </w:r>
      <w:r>
        <w:rPr>
          <w:rFonts w:asciiTheme="minorHAnsi" w:eastAsiaTheme="minorEastAsia" w:hAnsiTheme="minorHAnsi" w:cstheme="minorBidi"/>
          <w:noProof/>
          <w:sz w:val="22"/>
          <w:lang w:val="en-CA" w:eastAsia="en-CA"/>
        </w:rPr>
        <w:tab/>
      </w:r>
      <w:r>
        <w:rPr>
          <w:noProof/>
        </w:rPr>
        <w:t>Bioinformatics</w:t>
      </w:r>
      <w:r>
        <w:rPr>
          <w:noProof/>
        </w:rPr>
        <w:tab/>
      </w:r>
      <w:r>
        <w:rPr>
          <w:noProof/>
        </w:rPr>
        <w:fldChar w:fldCharType="begin"/>
      </w:r>
      <w:r>
        <w:rPr>
          <w:noProof/>
        </w:rPr>
        <w:instrText xml:space="preserve"> PAGEREF _Toc99385450 \h </w:instrText>
      </w:r>
      <w:r>
        <w:rPr>
          <w:noProof/>
        </w:rPr>
      </w:r>
      <w:r>
        <w:rPr>
          <w:noProof/>
        </w:rPr>
        <w:fldChar w:fldCharType="separate"/>
      </w:r>
      <w:r w:rsidR="000667DB">
        <w:rPr>
          <w:noProof/>
        </w:rPr>
        <w:t>122</w:t>
      </w:r>
      <w:r>
        <w:rPr>
          <w:noProof/>
        </w:rPr>
        <w:fldChar w:fldCharType="end"/>
      </w:r>
    </w:p>
    <w:p w14:paraId="0DE5A15A" w14:textId="6938BF2A"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4.2.7</w:t>
      </w:r>
      <w:r>
        <w:rPr>
          <w:rFonts w:asciiTheme="minorHAnsi" w:eastAsiaTheme="minorEastAsia" w:hAnsiTheme="minorHAnsi" w:cstheme="minorBidi"/>
          <w:noProof/>
          <w:sz w:val="22"/>
          <w:lang w:val="en-CA" w:eastAsia="en-CA"/>
        </w:rPr>
        <w:tab/>
      </w:r>
      <w:r>
        <w:rPr>
          <w:noProof/>
        </w:rPr>
        <w:t>Statistical Analysis</w:t>
      </w:r>
      <w:r>
        <w:rPr>
          <w:noProof/>
        </w:rPr>
        <w:tab/>
      </w:r>
      <w:r>
        <w:rPr>
          <w:noProof/>
        </w:rPr>
        <w:fldChar w:fldCharType="begin"/>
      </w:r>
      <w:r>
        <w:rPr>
          <w:noProof/>
        </w:rPr>
        <w:instrText xml:space="preserve"> PAGEREF _Toc99385451 \h </w:instrText>
      </w:r>
      <w:r>
        <w:rPr>
          <w:noProof/>
        </w:rPr>
      </w:r>
      <w:r>
        <w:rPr>
          <w:noProof/>
        </w:rPr>
        <w:fldChar w:fldCharType="separate"/>
      </w:r>
      <w:r w:rsidR="000667DB">
        <w:rPr>
          <w:noProof/>
        </w:rPr>
        <w:t>123</w:t>
      </w:r>
      <w:r>
        <w:rPr>
          <w:noProof/>
        </w:rPr>
        <w:fldChar w:fldCharType="end"/>
      </w:r>
    </w:p>
    <w:p w14:paraId="3D6BAED2" w14:textId="501ECA32"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sidRPr="00486000">
        <w:rPr>
          <w:noProof/>
          <w:lang w:val="en-CA"/>
        </w:rPr>
        <w:t>4.3</w:t>
      </w:r>
      <w:r>
        <w:rPr>
          <w:rFonts w:asciiTheme="minorHAnsi" w:eastAsiaTheme="minorEastAsia" w:hAnsiTheme="minorHAnsi" w:cstheme="minorBidi"/>
          <w:noProof/>
          <w:sz w:val="22"/>
          <w:lang w:val="en-CA" w:eastAsia="en-CA"/>
        </w:rPr>
        <w:tab/>
      </w:r>
      <w:r w:rsidRPr="00486000">
        <w:rPr>
          <w:noProof/>
          <w:lang w:val="en-CA"/>
        </w:rPr>
        <w:t>Results</w:t>
      </w:r>
      <w:r>
        <w:rPr>
          <w:noProof/>
        </w:rPr>
        <w:tab/>
      </w:r>
      <w:r>
        <w:rPr>
          <w:noProof/>
        </w:rPr>
        <w:fldChar w:fldCharType="begin"/>
      </w:r>
      <w:r>
        <w:rPr>
          <w:noProof/>
        </w:rPr>
        <w:instrText xml:space="preserve"> PAGEREF _Toc99385452 \h </w:instrText>
      </w:r>
      <w:r>
        <w:rPr>
          <w:noProof/>
        </w:rPr>
      </w:r>
      <w:r>
        <w:rPr>
          <w:noProof/>
        </w:rPr>
        <w:fldChar w:fldCharType="separate"/>
      </w:r>
      <w:r w:rsidR="000667DB">
        <w:rPr>
          <w:noProof/>
        </w:rPr>
        <w:t>126</w:t>
      </w:r>
      <w:r>
        <w:rPr>
          <w:noProof/>
        </w:rPr>
        <w:fldChar w:fldCharType="end"/>
      </w:r>
    </w:p>
    <w:p w14:paraId="671E7FCF" w14:textId="51A13515"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4.3.1</w:t>
      </w:r>
      <w:r>
        <w:rPr>
          <w:rFonts w:asciiTheme="minorHAnsi" w:eastAsiaTheme="minorEastAsia" w:hAnsiTheme="minorHAnsi" w:cstheme="minorBidi"/>
          <w:noProof/>
          <w:sz w:val="22"/>
          <w:lang w:val="en-CA" w:eastAsia="en-CA"/>
        </w:rPr>
        <w:tab/>
      </w:r>
      <w:r>
        <w:rPr>
          <w:noProof/>
        </w:rPr>
        <w:t>Sequencing and community composition</w:t>
      </w:r>
      <w:r>
        <w:rPr>
          <w:noProof/>
        </w:rPr>
        <w:tab/>
      </w:r>
      <w:r>
        <w:rPr>
          <w:noProof/>
        </w:rPr>
        <w:fldChar w:fldCharType="begin"/>
      </w:r>
      <w:r>
        <w:rPr>
          <w:noProof/>
        </w:rPr>
        <w:instrText xml:space="preserve"> PAGEREF _Toc99385453 \h </w:instrText>
      </w:r>
      <w:r>
        <w:rPr>
          <w:noProof/>
        </w:rPr>
      </w:r>
      <w:r>
        <w:rPr>
          <w:noProof/>
        </w:rPr>
        <w:fldChar w:fldCharType="separate"/>
      </w:r>
      <w:r w:rsidR="000667DB">
        <w:rPr>
          <w:noProof/>
        </w:rPr>
        <w:t>126</w:t>
      </w:r>
      <w:r>
        <w:rPr>
          <w:noProof/>
        </w:rPr>
        <w:fldChar w:fldCharType="end"/>
      </w:r>
    </w:p>
    <w:p w14:paraId="181A1A05" w14:textId="79DA6677"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lang w:eastAsia="en-CA"/>
        </w:rPr>
        <w:t>4.3.2</w:t>
      </w:r>
      <w:r>
        <w:rPr>
          <w:rFonts w:asciiTheme="minorHAnsi" w:eastAsiaTheme="minorEastAsia" w:hAnsiTheme="minorHAnsi" w:cstheme="minorBidi"/>
          <w:noProof/>
          <w:sz w:val="22"/>
          <w:lang w:val="en-CA" w:eastAsia="en-CA"/>
        </w:rPr>
        <w:tab/>
      </w:r>
      <w:r>
        <w:rPr>
          <w:noProof/>
          <w:lang w:eastAsia="en-CA"/>
        </w:rPr>
        <w:t>Community metrics</w:t>
      </w:r>
      <w:r>
        <w:rPr>
          <w:noProof/>
        </w:rPr>
        <w:tab/>
      </w:r>
      <w:r>
        <w:rPr>
          <w:noProof/>
        </w:rPr>
        <w:fldChar w:fldCharType="begin"/>
      </w:r>
      <w:r>
        <w:rPr>
          <w:noProof/>
        </w:rPr>
        <w:instrText xml:space="preserve"> PAGEREF _Toc99385454 \h </w:instrText>
      </w:r>
      <w:r>
        <w:rPr>
          <w:noProof/>
        </w:rPr>
      </w:r>
      <w:r>
        <w:rPr>
          <w:noProof/>
        </w:rPr>
        <w:fldChar w:fldCharType="separate"/>
      </w:r>
      <w:r w:rsidR="000667DB">
        <w:rPr>
          <w:noProof/>
        </w:rPr>
        <w:t>128</w:t>
      </w:r>
      <w:r>
        <w:rPr>
          <w:noProof/>
        </w:rPr>
        <w:fldChar w:fldCharType="end"/>
      </w:r>
    </w:p>
    <w:p w14:paraId="3C64E1EC" w14:textId="0B583ADA" w:rsidR="00276430" w:rsidRDefault="00276430">
      <w:pPr>
        <w:pStyle w:val="TOC4"/>
        <w:tabs>
          <w:tab w:val="left" w:pos="1680"/>
          <w:tab w:val="right" w:leader="dot" w:pos="9350"/>
        </w:tabs>
        <w:rPr>
          <w:rFonts w:asciiTheme="minorHAnsi" w:eastAsiaTheme="minorEastAsia" w:hAnsiTheme="minorHAnsi" w:cstheme="minorBidi"/>
          <w:noProof/>
          <w:sz w:val="22"/>
          <w:szCs w:val="22"/>
          <w:lang w:val="en-CA" w:eastAsia="en-CA"/>
        </w:rPr>
      </w:pPr>
      <w:r>
        <w:rPr>
          <w:noProof/>
          <w:lang w:eastAsia="en-CA"/>
        </w:rPr>
        <w:t>4.3.2.1</w:t>
      </w:r>
      <w:r>
        <w:rPr>
          <w:rFonts w:asciiTheme="minorHAnsi" w:eastAsiaTheme="minorEastAsia" w:hAnsiTheme="minorHAnsi" w:cstheme="minorBidi"/>
          <w:noProof/>
          <w:sz w:val="22"/>
          <w:szCs w:val="22"/>
          <w:lang w:val="en-CA" w:eastAsia="en-CA"/>
        </w:rPr>
        <w:tab/>
      </w:r>
      <w:r>
        <w:rPr>
          <w:noProof/>
          <w:lang w:eastAsia="en-CA"/>
        </w:rPr>
        <w:t>Relative Abundance</w:t>
      </w:r>
      <w:r>
        <w:rPr>
          <w:noProof/>
        </w:rPr>
        <w:tab/>
      </w:r>
      <w:r>
        <w:rPr>
          <w:noProof/>
        </w:rPr>
        <w:fldChar w:fldCharType="begin"/>
      </w:r>
      <w:r>
        <w:rPr>
          <w:noProof/>
        </w:rPr>
        <w:instrText xml:space="preserve"> PAGEREF _Toc99385455 \h </w:instrText>
      </w:r>
      <w:r>
        <w:rPr>
          <w:noProof/>
        </w:rPr>
      </w:r>
      <w:r>
        <w:rPr>
          <w:noProof/>
        </w:rPr>
        <w:fldChar w:fldCharType="separate"/>
      </w:r>
      <w:r w:rsidR="000667DB">
        <w:rPr>
          <w:noProof/>
        </w:rPr>
        <w:t>128</w:t>
      </w:r>
      <w:r>
        <w:rPr>
          <w:noProof/>
        </w:rPr>
        <w:fldChar w:fldCharType="end"/>
      </w:r>
    </w:p>
    <w:p w14:paraId="053BE5BE" w14:textId="094295ED" w:rsidR="00276430" w:rsidRDefault="00276430">
      <w:pPr>
        <w:pStyle w:val="TOC4"/>
        <w:tabs>
          <w:tab w:val="left" w:pos="1680"/>
          <w:tab w:val="right" w:leader="dot" w:pos="9350"/>
        </w:tabs>
        <w:rPr>
          <w:rFonts w:asciiTheme="minorHAnsi" w:eastAsiaTheme="minorEastAsia" w:hAnsiTheme="minorHAnsi" w:cstheme="minorBidi"/>
          <w:noProof/>
          <w:sz w:val="22"/>
          <w:szCs w:val="22"/>
          <w:lang w:val="en-CA" w:eastAsia="en-CA"/>
        </w:rPr>
      </w:pPr>
      <w:r>
        <w:rPr>
          <w:noProof/>
        </w:rPr>
        <w:t>4.3.2.2</w:t>
      </w:r>
      <w:r>
        <w:rPr>
          <w:rFonts w:asciiTheme="minorHAnsi" w:eastAsiaTheme="minorEastAsia" w:hAnsiTheme="minorHAnsi" w:cstheme="minorBidi"/>
          <w:noProof/>
          <w:sz w:val="22"/>
          <w:szCs w:val="22"/>
          <w:lang w:val="en-CA" w:eastAsia="en-CA"/>
        </w:rPr>
        <w:tab/>
      </w:r>
      <w:r>
        <w:rPr>
          <w:noProof/>
        </w:rPr>
        <w:t>Species richness</w:t>
      </w:r>
      <w:r>
        <w:rPr>
          <w:noProof/>
        </w:rPr>
        <w:tab/>
      </w:r>
      <w:r>
        <w:rPr>
          <w:noProof/>
        </w:rPr>
        <w:fldChar w:fldCharType="begin"/>
      </w:r>
      <w:r>
        <w:rPr>
          <w:noProof/>
        </w:rPr>
        <w:instrText xml:space="preserve"> PAGEREF _Toc99385456 \h </w:instrText>
      </w:r>
      <w:r>
        <w:rPr>
          <w:noProof/>
        </w:rPr>
      </w:r>
      <w:r>
        <w:rPr>
          <w:noProof/>
        </w:rPr>
        <w:fldChar w:fldCharType="separate"/>
      </w:r>
      <w:r w:rsidR="000667DB">
        <w:rPr>
          <w:noProof/>
        </w:rPr>
        <w:t>128</w:t>
      </w:r>
      <w:r>
        <w:rPr>
          <w:noProof/>
        </w:rPr>
        <w:fldChar w:fldCharType="end"/>
      </w:r>
    </w:p>
    <w:p w14:paraId="65E956AE" w14:textId="3B2FFB8D" w:rsidR="00276430" w:rsidRDefault="00276430">
      <w:pPr>
        <w:pStyle w:val="TOC4"/>
        <w:tabs>
          <w:tab w:val="left" w:pos="1680"/>
          <w:tab w:val="right" w:leader="dot" w:pos="9350"/>
        </w:tabs>
        <w:rPr>
          <w:rFonts w:asciiTheme="minorHAnsi" w:eastAsiaTheme="minorEastAsia" w:hAnsiTheme="minorHAnsi" w:cstheme="minorBidi"/>
          <w:noProof/>
          <w:sz w:val="22"/>
          <w:szCs w:val="22"/>
          <w:lang w:val="en-CA" w:eastAsia="en-CA"/>
        </w:rPr>
      </w:pPr>
      <w:r>
        <w:rPr>
          <w:noProof/>
        </w:rPr>
        <w:t>4.3.2.3</w:t>
      </w:r>
      <w:r>
        <w:rPr>
          <w:rFonts w:asciiTheme="minorHAnsi" w:eastAsiaTheme="minorEastAsia" w:hAnsiTheme="minorHAnsi" w:cstheme="minorBidi"/>
          <w:noProof/>
          <w:sz w:val="22"/>
          <w:szCs w:val="22"/>
          <w:lang w:val="en-CA" w:eastAsia="en-CA"/>
        </w:rPr>
        <w:tab/>
      </w:r>
      <w:r>
        <w:rPr>
          <w:noProof/>
        </w:rPr>
        <w:t>Shannon diversity</w:t>
      </w:r>
      <w:r>
        <w:rPr>
          <w:noProof/>
        </w:rPr>
        <w:tab/>
      </w:r>
      <w:r>
        <w:rPr>
          <w:noProof/>
        </w:rPr>
        <w:fldChar w:fldCharType="begin"/>
      </w:r>
      <w:r>
        <w:rPr>
          <w:noProof/>
        </w:rPr>
        <w:instrText xml:space="preserve"> PAGEREF _Toc99385457 \h </w:instrText>
      </w:r>
      <w:r>
        <w:rPr>
          <w:noProof/>
        </w:rPr>
      </w:r>
      <w:r>
        <w:rPr>
          <w:noProof/>
        </w:rPr>
        <w:fldChar w:fldCharType="separate"/>
      </w:r>
      <w:r w:rsidR="000667DB">
        <w:rPr>
          <w:noProof/>
        </w:rPr>
        <w:t>129</w:t>
      </w:r>
      <w:r>
        <w:rPr>
          <w:noProof/>
        </w:rPr>
        <w:fldChar w:fldCharType="end"/>
      </w:r>
    </w:p>
    <w:p w14:paraId="43AF34F1" w14:textId="29DB6E0D" w:rsidR="00276430" w:rsidRDefault="00276430">
      <w:pPr>
        <w:pStyle w:val="TOC4"/>
        <w:tabs>
          <w:tab w:val="left" w:pos="1680"/>
          <w:tab w:val="right" w:leader="dot" w:pos="9350"/>
        </w:tabs>
        <w:rPr>
          <w:rFonts w:asciiTheme="minorHAnsi" w:eastAsiaTheme="minorEastAsia" w:hAnsiTheme="minorHAnsi" w:cstheme="minorBidi"/>
          <w:noProof/>
          <w:sz w:val="22"/>
          <w:szCs w:val="22"/>
          <w:lang w:val="en-CA" w:eastAsia="en-CA"/>
        </w:rPr>
      </w:pPr>
      <w:r>
        <w:rPr>
          <w:noProof/>
        </w:rPr>
        <w:t>4.3.2.4</w:t>
      </w:r>
      <w:r>
        <w:rPr>
          <w:rFonts w:asciiTheme="minorHAnsi" w:eastAsiaTheme="minorEastAsia" w:hAnsiTheme="minorHAnsi" w:cstheme="minorBidi"/>
          <w:noProof/>
          <w:sz w:val="22"/>
          <w:szCs w:val="22"/>
          <w:lang w:val="en-CA" w:eastAsia="en-CA"/>
        </w:rPr>
        <w:tab/>
      </w:r>
      <w:r>
        <w:rPr>
          <w:noProof/>
        </w:rPr>
        <w:t>Phylogenetic Dispersion</w:t>
      </w:r>
      <w:r>
        <w:rPr>
          <w:noProof/>
        </w:rPr>
        <w:tab/>
      </w:r>
      <w:r>
        <w:rPr>
          <w:noProof/>
        </w:rPr>
        <w:fldChar w:fldCharType="begin"/>
      </w:r>
      <w:r>
        <w:rPr>
          <w:noProof/>
        </w:rPr>
        <w:instrText xml:space="preserve"> PAGEREF _Toc99385458 \h </w:instrText>
      </w:r>
      <w:r>
        <w:rPr>
          <w:noProof/>
        </w:rPr>
      </w:r>
      <w:r>
        <w:rPr>
          <w:noProof/>
        </w:rPr>
        <w:fldChar w:fldCharType="separate"/>
      </w:r>
      <w:r w:rsidR="000667DB">
        <w:rPr>
          <w:noProof/>
        </w:rPr>
        <w:t>130</w:t>
      </w:r>
      <w:r>
        <w:rPr>
          <w:noProof/>
        </w:rPr>
        <w:fldChar w:fldCharType="end"/>
      </w:r>
    </w:p>
    <w:p w14:paraId="338ED253" w14:textId="0BEEBDAD"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4.3.3</w:t>
      </w:r>
      <w:r>
        <w:rPr>
          <w:rFonts w:asciiTheme="minorHAnsi" w:eastAsiaTheme="minorEastAsia" w:hAnsiTheme="minorHAnsi" w:cstheme="minorBidi"/>
          <w:noProof/>
          <w:sz w:val="22"/>
          <w:lang w:val="en-CA" w:eastAsia="en-CA"/>
        </w:rPr>
        <w:tab/>
      </w:r>
      <w:r>
        <w:rPr>
          <w:noProof/>
        </w:rPr>
        <w:t>Beta diversity</w:t>
      </w:r>
      <w:r>
        <w:rPr>
          <w:noProof/>
        </w:rPr>
        <w:tab/>
      </w:r>
      <w:r>
        <w:rPr>
          <w:noProof/>
        </w:rPr>
        <w:fldChar w:fldCharType="begin"/>
      </w:r>
      <w:r>
        <w:rPr>
          <w:noProof/>
        </w:rPr>
        <w:instrText xml:space="preserve"> PAGEREF _Toc99385459 \h </w:instrText>
      </w:r>
      <w:r>
        <w:rPr>
          <w:noProof/>
        </w:rPr>
      </w:r>
      <w:r>
        <w:rPr>
          <w:noProof/>
        </w:rPr>
        <w:fldChar w:fldCharType="separate"/>
      </w:r>
      <w:r w:rsidR="000667DB">
        <w:rPr>
          <w:noProof/>
        </w:rPr>
        <w:t>131</w:t>
      </w:r>
      <w:r>
        <w:rPr>
          <w:noProof/>
        </w:rPr>
        <w:fldChar w:fldCharType="end"/>
      </w:r>
    </w:p>
    <w:p w14:paraId="09278CA7" w14:textId="582D17B1"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4.3.4</w:t>
      </w:r>
      <w:r>
        <w:rPr>
          <w:rFonts w:asciiTheme="minorHAnsi" w:eastAsiaTheme="minorEastAsia" w:hAnsiTheme="minorHAnsi" w:cstheme="minorBidi"/>
          <w:noProof/>
          <w:sz w:val="22"/>
          <w:lang w:val="en-CA" w:eastAsia="en-CA"/>
        </w:rPr>
        <w:tab/>
      </w:r>
      <w:r>
        <w:rPr>
          <w:noProof/>
        </w:rPr>
        <w:t>Compositional changes along salmon gradient</w:t>
      </w:r>
      <w:r>
        <w:rPr>
          <w:noProof/>
        </w:rPr>
        <w:tab/>
      </w:r>
      <w:r>
        <w:rPr>
          <w:noProof/>
        </w:rPr>
        <w:fldChar w:fldCharType="begin"/>
      </w:r>
      <w:r>
        <w:rPr>
          <w:noProof/>
        </w:rPr>
        <w:instrText xml:space="preserve"> PAGEREF _Toc99385460 \h </w:instrText>
      </w:r>
      <w:r>
        <w:rPr>
          <w:noProof/>
        </w:rPr>
      </w:r>
      <w:r>
        <w:rPr>
          <w:noProof/>
        </w:rPr>
        <w:fldChar w:fldCharType="separate"/>
      </w:r>
      <w:r w:rsidR="000667DB">
        <w:rPr>
          <w:noProof/>
        </w:rPr>
        <w:t>131</w:t>
      </w:r>
      <w:r>
        <w:rPr>
          <w:noProof/>
        </w:rPr>
        <w:fldChar w:fldCharType="end"/>
      </w:r>
    </w:p>
    <w:p w14:paraId="4D4B959E" w14:textId="016C29F3"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sidRPr="00486000">
        <w:rPr>
          <w:noProof/>
          <w:lang w:val="en-CA"/>
        </w:rPr>
        <w:t>4.4</w:t>
      </w:r>
      <w:r>
        <w:rPr>
          <w:rFonts w:asciiTheme="minorHAnsi" w:eastAsiaTheme="minorEastAsia" w:hAnsiTheme="minorHAnsi" w:cstheme="minorBidi"/>
          <w:noProof/>
          <w:sz w:val="22"/>
          <w:lang w:val="en-CA" w:eastAsia="en-CA"/>
        </w:rPr>
        <w:tab/>
      </w:r>
      <w:r w:rsidRPr="00486000">
        <w:rPr>
          <w:noProof/>
          <w:lang w:val="en-CA"/>
        </w:rPr>
        <w:t>Discussion</w:t>
      </w:r>
      <w:r>
        <w:rPr>
          <w:noProof/>
        </w:rPr>
        <w:tab/>
      </w:r>
      <w:r>
        <w:rPr>
          <w:noProof/>
        </w:rPr>
        <w:fldChar w:fldCharType="begin"/>
      </w:r>
      <w:r>
        <w:rPr>
          <w:noProof/>
        </w:rPr>
        <w:instrText xml:space="preserve"> PAGEREF _Toc99385461 \h </w:instrText>
      </w:r>
      <w:r>
        <w:rPr>
          <w:noProof/>
        </w:rPr>
      </w:r>
      <w:r>
        <w:rPr>
          <w:noProof/>
        </w:rPr>
        <w:fldChar w:fldCharType="separate"/>
      </w:r>
      <w:r w:rsidR="000667DB">
        <w:rPr>
          <w:noProof/>
        </w:rPr>
        <w:t>132</w:t>
      </w:r>
      <w:r>
        <w:rPr>
          <w:noProof/>
        </w:rPr>
        <w:fldChar w:fldCharType="end"/>
      </w:r>
    </w:p>
    <w:p w14:paraId="67B7BC04" w14:textId="54E25EE6"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4.4.1</w:t>
      </w:r>
      <w:r>
        <w:rPr>
          <w:rFonts w:asciiTheme="minorHAnsi" w:eastAsiaTheme="minorEastAsia" w:hAnsiTheme="minorHAnsi" w:cstheme="minorBidi"/>
          <w:noProof/>
          <w:sz w:val="22"/>
          <w:lang w:val="en-CA" w:eastAsia="en-CA"/>
        </w:rPr>
        <w:tab/>
      </w:r>
      <w:r>
        <w:rPr>
          <w:noProof/>
        </w:rPr>
        <w:t>Fungal communities of the central coast</w:t>
      </w:r>
      <w:r>
        <w:rPr>
          <w:noProof/>
        </w:rPr>
        <w:tab/>
      </w:r>
      <w:r>
        <w:rPr>
          <w:noProof/>
        </w:rPr>
        <w:fldChar w:fldCharType="begin"/>
      </w:r>
      <w:r>
        <w:rPr>
          <w:noProof/>
        </w:rPr>
        <w:instrText xml:space="preserve"> PAGEREF _Toc99385462 \h </w:instrText>
      </w:r>
      <w:r>
        <w:rPr>
          <w:noProof/>
        </w:rPr>
      </w:r>
      <w:r>
        <w:rPr>
          <w:noProof/>
        </w:rPr>
        <w:fldChar w:fldCharType="separate"/>
      </w:r>
      <w:r w:rsidR="000667DB">
        <w:rPr>
          <w:noProof/>
        </w:rPr>
        <w:t>132</w:t>
      </w:r>
      <w:r>
        <w:rPr>
          <w:noProof/>
        </w:rPr>
        <w:fldChar w:fldCharType="end"/>
      </w:r>
    </w:p>
    <w:p w14:paraId="0EB4DBB1" w14:textId="69951254"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4.4.2</w:t>
      </w:r>
      <w:r>
        <w:rPr>
          <w:rFonts w:asciiTheme="minorHAnsi" w:eastAsiaTheme="minorEastAsia" w:hAnsiTheme="minorHAnsi" w:cstheme="minorBidi"/>
          <w:noProof/>
          <w:sz w:val="22"/>
          <w:lang w:val="en-CA" w:eastAsia="en-CA"/>
        </w:rPr>
        <w:tab/>
      </w:r>
      <w:r>
        <w:rPr>
          <w:noProof/>
        </w:rPr>
        <w:t>Responses to MDN</w:t>
      </w:r>
      <w:r>
        <w:rPr>
          <w:noProof/>
        </w:rPr>
        <w:tab/>
      </w:r>
      <w:r>
        <w:rPr>
          <w:noProof/>
        </w:rPr>
        <w:fldChar w:fldCharType="begin"/>
      </w:r>
      <w:r>
        <w:rPr>
          <w:noProof/>
        </w:rPr>
        <w:instrText xml:space="preserve"> PAGEREF _Toc99385463 \h </w:instrText>
      </w:r>
      <w:r>
        <w:rPr>
          <w:noProof/>
        </w:rPr>
      </w:r>
      <w:r>
        <w:rPr>
          <w:noProof/>
        </w:rPr>
        <w:fldChar w:fldCharType="separate"/>
      </w:r>
      <w:r w:rsidR="000667DB">
        <w:rPr>
          <w:noProof/>
        </w:rPr>
        <w:t>133</w:t>
      </w:r>
      <w:r>
        <w:rPr>
          <w:noProof/>
        </w:rPr>
        <w:fldChar w:fldCharType="end"/>
      </w:r>
    </w:p>
    <w:p w14:paraId="4B5CE0E7" w14:textId="1CE2C002" w:rsidR="00276430" w:rsidRDefault="00276430">
      <w:pPr>
        <w:pStyle w:val="TOC4"/>
        <w:tabs>
          <w:tab w:val="left" w:pos="1680"/>
          <w:tab w:val="right" w:leader="dot" w:pos="9350"/>
        </w:tabs>
        <w:rPr>
          <w:rFonts w:asciiTheme="minorHAnsi" w:eastAsiaTheme="minorEastAsia" w:hAnsiTheme="minorHAnsi" w:cstheme="minorBidi"/>
          <w:noProof/>
          <w:sz w:val="22"/>
          <w:szCs w:val="22"/>
          <w:lang w:val="en-CA" w:eastAsia="en-CA"/>
        </w:rPr>
      </w:pPr>
      <w:r>
        <w:rPr>
          <w:noProof/>
        </w:rPr>
        <w:t>4.4.2.1</w:t>
      </w:r>
      <w:r>
        <w:rPr>
          <w:rFonts w:asciiTheme="minorHAnsi" w:eastAsiaTheme="minorEastAsia" w:hAnsiTheme="minorHAnsi" w:cstheme="minorBidi"/>
          <w:noProof/>
          <w:sz w:val="22"/>
          <w:szCs w:val="22"/>
          <w:lang w:val="en-CA" w:eastAsia="en-CA"/>
        </w:rPr>
        <w:tab/>
      </w:r>
      <w:r>
        <w:rPr>
          <w:noProof/>
        </w:rPr>
        <w:t>Relative abundance</w:t>
      </w:r>
      <w:r>
        <w:rPr>
          <w:noProof/>
        </w:rPr>
        <w:tab/>
      </w:r>
      <w:r>
        <w:rPr>
          <w:noProof/>
        </w:rPr>
        <w:fldChar w:fldCharType="begin"/>
      </w:r>
      <w:r>
        <w:rPr>
          <w:noProof/>
        </w:rPr>
        <w:instrText xml:space="preserve"> PAGEREF _Toc99385464 \h </w:instrText>
      </w:r>
      <w:r>
        <w:rPr>
          <w:noProof/>
        </w:rPr>
      </w:r>
      <w:r>
        <w:rPr>
          <w:noProof/>
        </w:rPr>
        <w:fldChar w:fldCharType="separate"/>
      </w:r>
      <w:r w:rsidR="000667DB">
        <w:rPr>
          <w:noProof/>
        </w:rPr>
        <w:t>133</w:t>
      </w:r>
      <w:r>
        <w:rPr>
          <w:noProof/>
        </w:rPr>
        <w:fldChar w:fldCharType="end"/>
      </w:r>
    </w:p>
    <w:p w14:paraId="452CE252" w14:textId="34E681EC" w:rsidR="00276430" w:rsidRDefault="00276430">
      <w:pPr>
        <w:pStyle w:val="TOC4"/>
        <w:tabs>
          <w:tab w:val="left" w:pos="1680"/>
          <w:tab w:val="right" w:leader="dot" w:pos="9350"/>
        </w:tabs>
        <w:rPr>
          <w:rFonts w:asciiTheme="minorHAnsi" w:eastAsiaTheme="minorEastAsia" w:hAnsiTheme="minorHAnsi" w:cstheme="minorBidi"/>
          <w:noProof/>
          <w:sz w:val="22"/>
          <w:szCs w:val="22"/>
          <w:lang w:val="en-CA" w:eastAsia="en-CA"/>
        </w:rPr>
      </w:pPr>
      <w:r>
        <w:rPr>
          <w:noProof/>
        </w:rPr>
        <w:t>4.4.2.2</w:t>
      </w:r>
      <w:r>
        <w:rPr>
          <w:rFonts w:asciiTheme="minorHAnsi" w:eastAsiaTheme="minorEastAsia" w:hAnsiTheme="minorHAnsi" w:cstheme="minorBidi"/>
          <w:noProof/>
          <w:sz w:val="22"/>
          <w:szCs w:val="22"/>
          <w:lang w:val="en-CA" w:eastAsia="en-CA"/>
        </w:rPr>
        <w:tab/>
      </w:r>
      <w:r>
        <w:rPr>
          <w:noProof/>
        </w:rPr>
        <w:t>α-diversity</w:t>
      </w:r>
      <w:r>
        <w:rPr>
          <w:noProof/>
        </w:rPr>
        <w:tab/>
      </w:r>
      <w:r>
        <w:rPr>
          <w:noProof/>
        </w:rPr>
        <w:fldChar w:fldCharType="begin"/>
      </w:r>
      <w:r>
        <w:rPr>
          <w:noProof/>
        </w:rPr>
        <w:instrText xml:space="preserve"> PAGEREF _Toc99385465 \h </w:instrText>
      </w:r>
      <w:r>
        <w:rPr>
          <w:noProof/>
        </w:rPr>
      </w:r>
      <w:r>
        <w:rPr>
          <w:noProof/>
        </w:rPr>
        <w:fldChar w:fldCharType="separate"/>
      </w:r>
      <w:r w:rsidR="000667DB">
        <w:rPr>
          <w:noProof/>
        </w:rPr>
        <w:t>133</w:t>
      </w:r>
      <w:r>
        <w:rPr>
          <w:noProof/>
        </w:rPr>
        <w:fldChar w:fldCharType="end"/>
      </w:r>
    </w:p>
    <w:p w14:paraId="65F34CE9" w14:textId="183A2663" w:rsidR="00276430" w:rsidRDefault="00276430">
      <w:pPr>
        <w:pStyle w:val="TOC4"/>
        <w:tabs>
          <w:tab w:val="left" w:pos="1680"/>
          <w:tab w:val="right" w:leader="dot" w:pos="9350"/>
        </w:tabs>
        <w:rPr>
          <w:rFonts w:asciiTheme="minorHAnsi" w:eastAsiaTheme="minorEastAsia" w:hAnsiTheme="minorHAnsi" w:cstheme="minorBidi"/>
          <w:noProof/>
          <w:sz w:val="22"/>
          <w:szCs w:val="22"/>
          <w:lang w:val="en-CA" w:eastAsia="en-CA"/>
        </w:rPr>
      </w:pPr>
      <w:r>
        <w:rPr>
          <w:noProof/>
        </w:rPr>
        <w:t>4.4.2.3</w:t>
      </w:r>
      <w:r>
        <w:rPr>
          <w:rFonts w:asciiTheme="minorHAnsi" w:eastAsiaTheme="minorEastAsia" w:hAnsiTheme="minorHAnsi" w:cstheme="minorBidi"/>
          <w:noProof/>
          <w:sz w:val="22"/>
          <w:szCs w:val="22"/>
          <w:lang w:val="en-CA" w:eastAsia="en-CA"/>
        </w:rPr>
        <w:tab/>
      </w:r>
      <w:r>
        <w:rPr>
          <w:noProof/>
        </w:rPr>
        <w:t>Phylogenetic dispersion</w:t>
      </w:r>
      <w:r>
        <w:rPr>
          <w:noProof/>
        </w:rPr>
        <w:tab/>
      </w:r>
      <w:r>
        <w:rPr>
          <w:noProof/>
        </w:rPr>
        <w:fldChar w:fldCharType="begin"/>
      </w:r>
      <w:r>
        <w:rPr>
          <w:noProof/>
        </w:rPr>
        <w:instrText xml:space="preserve"> PAGEREF _Toc99385466 \h </w:instrText>
      </w:r>
      <w:r>
        <w:rPr>
          <w:noProof/>
        </w:rPr>
      </w:r>
      <w:r>
        <w:rPr>
          <w:noProof/>
        </w:rPr>
        <w:fldChar w:fldCharType="separate"/>
      </w:r>
      <w:r w:rsidR="000667DB">
        <w:rPr>
          <w:noProof/>
        </w:rPr>
        <w:t>134</w:t>
      </w:r>
      <w:r>
        <w:rPr>
          <w:noProof/>
        </w:rPr>
        <w:fldChar w:fldCharType="end"/>
      </w:r>
    </w:p>
    <w:p w14:paraId="41DA80C7" w14:textId="5C51EBDF" w:rsidR="00276430" w:rsidRDefault="00276430">
      <w:pPr>
        <w:pStyle w:val="TOC4"/>
        <w:tabs>
          <w:tab w:val="left" w:pos="1680"/>
          <w:tab w:val="right" w:leader="dot" w:pos="9350"/>
        </w:tabs>
        <w:rPr>
          <w:rFonts w:asciiTheme="minorHAnsi" w:eastAsiaTheme="minorEastAsia" w:hAnsiTheme="minorHAnsi" w:cstheme="minorBidi"/>
          <w:noProof/>
          <w:sz w:val="22"/>
          <w:szCs w:val="22"/>
          <w:lang w:val="en-CA" w:eastAsia="en-CA"/>
        </w:rPr>
      </w:pPr>
      <w:r>
        <w:rPr>
          <w:noProof/>
        </w:rPr>
        <w:t>4.4.2.4</w:t>
      </w:r>
      <w:r>
        <w:rPr>
          <w:rFonts w:asciiTheme="minorHAnsi" w:eastAsiaTheme="minorEastAsia" w:hAnsiTheme="minorHAnsi" w:cstheme="minorBidi"/>
          <w:noProof/>
          <w:sz w:val="22"/>
          <w:szCs w:val="22"/>
          <w:lang w:val="en-CA" w:eastAsia="en-CA"/>
        </w:rPr>
        <w:tab/>
      </w:r>
      <w:r>
        <w:rPr>
          <w:noProof/>
        </w:rPr>
        <w:t>Β diversity</w:t>
      </w:r>
      <w:r>
        <w:rPr>
          <w:noProof/>
        </w:rPr>
        <w:tab/>
      </w:r>
      <w:r>
        <w:rPr>
          <w:noProof/>
        </w:rPr>
        <w:fldChar w:fldCharType="begin"/>
      </w:r>
      <w:r>
        <w:rPr>
          <w:noProof/>
        </w:rPr>
        <w:instrText xml:space="preserve"> PAGEREF _Toc99385467 \h </w:instrText>
      </w:r>
      <w:r>
        <w:rPr>
          <w:noProof/>
        </w:rPr>
      </w:r>
      <w:r>
        <w:rPr>
          <w:noProof/>
        </w:rPr>
        <w:fldChar w:fldCharType="separate"/>
      </w:r>
      <w:r w:rsidR="000667DB">
        <w:rPr>
          <w:noProof/>
        </w:rPr>
        <w:t>135</w:t>
      </w:r>
      <w:r>
        <w:rPr>
          <w:noProof/>
        </w:rPr>
        <w:fldChar w:fldCharType="end"/>
      </w:r>
    </w:p>
    <w:p w14:paraId="768B2EFA" w14:textId="264923D5" w:rsidR="00276430" w:rsidRDefault="00276430">
      <w:pPr>
        <w:pStyle w:val="TOC4"/>
        <w:tabs>
          <w:tab w:val="left" w:pos="1680"/>
          <w:tab w:val="right" w:leader="dot" w:pos="9350"/>
        </w:tabs>
        <w:rPr>
          <w:rFonts w:asciiTheme="minorHAnsi" w:eastAsiaTheme="minorEastAsia" w:hAnsiTheme="minorHAnsi" w:cstheme="minorBidi"/>
          <w:noProof/>
          <w:sz w:val="22"/>
          <w:szCs w:val="22"/>
          <w:lang w:val="en-CA" w:eastAsia="en-CA"/>
        </w:rPr>
      </w:pPr>
      <w:r>
        <w:rPr>
          <w:noProof/>
        </w:rPr>
        <w:t>4.4.2.5</w:t>
      </w:r>
      <w:r>
        <w:rPr>
          <w:rFonts w:asciiTheme="minorHAnsi" w:eastAsiaTheme="minorEastAsia" w:hAnsiTheme="minorHAnsi" w:cstheme="minorBidi"/>
          <w:noProof/>
          <w:sz w:val="22"/>
          <w:szCs w:val="22"/>
          <w:lang w:val="en-CA" w:eastAsia="en-CA"/>
        </w:rPr>
        <w:tab/>
      </w:r>
      <w:r>
        <w:rPr>
          <w:noProof/>
        </w:rPr>
        <w:t>Genus-level differential responses</w:t>
      </w:r>
      <w:r>
        <w:rPr>
          <w:noProof/>
        </w:rPr>
        <w:tab/>
      </w:r>
      <w:r>
        <w:rPr>
          <w:noProof/>
        </w:rPr>
        <w:fldChar w:fldCharType="begin"/>
      </w:r>
      <w:r>
        <w:rPr>
          <w:noProof/>
        </w:rPr>
        <w:instrText xml:space="preserve"> PAGEREF _Toc99385468 \h </w:instrText>
      </w:r>
      <w:r>
        <w:rPr>
          <w:noProof/>
        </w:rPr>
      </w:r>
      <w:r>
        <w:rPr>
          <w:noProof/>
        </w:rPr>
        <w:fldChar w:fldCharType="separate"/>
      </w:r>
      <w:r w:rsidR="000667DB">
        <w:rPr>
          <w:noProof/>
        </w:rPr>
        <w:t>135</w:t>
      </w:r>
      <w:r>
        <w:rPr>
          <w:noProof/>
        </w:rPr>
        <w:fldChar w:fldCharType="end"/>
      </w:r>
    </w:p>
    <w:p w14:paraId="5496211C" w14:textId="48F19800"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Pr>
          <w:noProof/>
        </w:rPr>
        <w:t>4.5</w:t>
      </w:r>
      <w:r>
        <w:rPr>
          <w:rFonts w:asciiTheme="minorHAnsi" w:eastAsiaTheme="minorEastAsia" w:hAnsiTheme="minorHAnsi" w:cstheme="minorBidi"/>
          <w:noProof/>
          <w:sz w:val="22"/>
          <w:lang w:val="en-CA" w:eastAsia="en-CA"/>
        </w:rPr>
        <w:tab/>
      </w:r>
      <w:r>
        <w:rPr>
          <w:noProof/>
        </w:rPr>
        <w:t>Conclusion</w:t>
      </w:r>
      <w:r>
        <w:rPr>
          <w:noProof/>
        </w:rPr>
        <w:tab/>
      </w:r>
      <w:r>
        <w:rPr>
          <w:noProof/>
        </w:rPr>
        <w:fldChar w:fldCharType="begin"/>
      </w:r>
      <w:r>
        <w:rPr>
          <w:noProof/>
        </w:rPr>
        <w:instrText xml:space="preserve"> PAGEREF _Toc99385469 \h </w:instrText>
      </w:r>
      <w:r>
        <w:rPr>
          <w:noProof/>
        </w:rPr>
      </w:r>
      <w:r>
        <w:rPr>
          <w:noProof/>
        </w:rPr>
        <w:fldChar w:fldCharType="separate"/>
      </w:r>
      <w:r w:rsidR="000667DB">
        <w:rPr>
          <w:noProof/>
        </w:rPr>
        <w:t>137</w:t>
      </w:r>
      <w:r>
        <w:rPr>
          <w:noProof/>
        </w:rPr>
        <w:fldChar w:fldCharType="end"/>
      </w:r>
    </w:p>
    <w:p w14:paraId="1E81056B" w14:textId="63662639"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Pr>
          <w:noProof/>
        </w:rPr>
        <w:t>4.6</w:t>
      </w:r>
      <w:r>
        <w:rPr>
          <w:rFonts w:asciiTheme="minorHAnsi" w:eastAsiaTheme="minorEastAsia" w:hAnsiTheme="minorHAnsi" w:cstheme="minorBidi"/>
          <w:noProof/>
          <w:sz w:val="22"/>
          <w:lang w:val="en-CA" w:eastAsia="en-CA"/>
        </w:rPr>
        <w:tab/>
      </w:r>
      <w:r>
        <w:rPr>
          <w:noProof/>
        </w:rPr>
        <w:t>Tables and Figures</w:t>
      </w:r>
      <w:r>
        <w:rPr>
          <w:noProof/>
        </w:rPr>
        <w:tab/>
      </w:r>
      <w:r>
        <w:rPr>
          <w:noProof/>
        </w:rPr>
        <w:fldChar w:fldCharType="begin"/>
      </w:r>
      <w:r>
        <w:rPr>
          <w:noProof/>
        </w:rPr>
        <w:instrText xml:space="preserve"> PAGEREF _Toc99385470 \h </w:instrText>
      </w:r>
      <w:r>
        <w:rPr>
          <w:noProof/>
        </w:rPr>
      </w:r>
      <w:r>
        <w:rPr>
          <w:noProof/>
        </w:rPr>
        <w:fldChar w:fldCharType="separate"/>
      </w:r>
      <w:r w:rsidR="000667DB">
        <w:rPr>
          <w:noProof/>
        </w:rPr>
        <w:t>139</w:t>
      </w:r>
      <w:r>
        <w:rPr>
          <w:noProof/>
        </w:rPr>
        <w:fldChar w:fldCharType="end"/>
      </w:r>
    </w:p>
    <w:p w14:paraId="56B98FF8" w14:textId="6F65667E" w:rsidR="00276430" w:rsidRDefault="00276430">
      <w:pPr>
        <w:pStyle w:val="TOC1"/>
        <w:rPr>
          <w:rFonts w:asciiTheme="minorHAnsi" w:eastAsiaTheme="minorEastAsia" w:hAnsiTheme="minorHAnsi" w:cstheme="minorBidi"/>
          <w:b w:val="0"/>
          <w:noProof/>
          <w:sz w:val="22"/>
          <w:szCs w:val="22"/>
          <w:lang w:val="en-CA" w:eastAsia="en-CA"/>
        </w:rPr>
      </w:pPr>
      <w:r>
        <w:rPr>
          <w:noProof/>
        </w:rPr>
        <w:t>Chapter 5:</w:t>
      </w:r>
      <w:r w:rsidRPr="00486000">
        <w:rPr>
          <w:b w:val="0"/>
          <w:noProof/>
        </w:rPr>
        <w:t xml:space="preserve"> Soil bacteria diversity and community composition changes along salmon density gradients</w:t>
      </w:r>
      <w:r>
        <w:rPr>
          <w:noProof/>
        </w:rPr>
        <w:tab/>
      </w:r>
      <w:r>
        <w:rPr>
          <w:noProof/>
        </w:rPr>
        <w:fldChar w:fldCharType="begin"/>
      </w:r>
      <w:r>
        <w:rPr>
          <w:noProof/>
        </w:rPr>
        <w:instrText xml:space="preserve"> PAGEREF _Toc99385471 \h </w:instrText>
      </w:r>
      <w:r>
        <w:rPr>
          <w:noProof/>
        </w:rPr>
      </w:r>
      <w:r>
        <w:rPr>
          <w:noProof/>
        </w:rPr>
        <w:fldChar w:fldCharType="separate"/>
      </w:r>
      <w:r w:rsidR="000667DB">
        <w:rPr>
          <w:noProof/>
        </w:rPr>
        <w:t>161</w:t>
      </w:r>
      <w:r>
        <w:rPr>
          <w:noProof/>
        </w:rPr>
        <w:fldChar w:fldCharType="end"/>
      </w:r>
    </w:p>
    <w:p w14:paraId="27D4FC7B" w14:textId="1C2F718E"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sidRPr="00486000">
        <w:rPr>
          <w:noProof/>
          <w:lang w:val="en-CA"/>
        </w:rPr>
        <w:t>5.1</w:t>
      </w:r>
      <w:r>
        <w:rPr>
          <w:rFonts w:asciiTheme="minorHAnsi" w:eastAsiaTheme="minorEastAsia" w:hAnsiTheme="minorHAnsi" w:cstheme="minorBidi"/>
          <w:noProof/>
          <w:sz w:val="22"/>
          <w:lang w:val="en-CA" w:eastAsia="en-CA"/>
        </w:rPr>
        <w:tab/>
      </w:r>
      <w:r w:rsidRPr="00486000">
        <w:rPr>
          <w:noProof/>
          <w:lang w:val="en-CA"/>
        </w:rPr>
        <w:t>Introduction</w:t>
      </w:r>
      <w:r>
        <w:rPr>
          <w:noProof/>
        </w:rPr>
        <w:tab/>
      </w:r>
      <w:r>
        <w:rPr>
          <w:noProof/>
        </w:rPr>
        <w:fldChar w:fldCharType="begin"/>
      </w:r>
      <w:r>
        <w:rPr>
          <w:noProof/>
        </w:rPr>
        <w:instrText xml:space="preserve"> PAGEREF _Toc99385472 \h </w:instrText>
      </w:r>
      <w:r>
        <w:rPr>
          <w:noProof/>
        </w:rPr>
      </w:r>
      <w:r>
        <w:rPr>
          <w:noProof/>
        </w:rPr>
        <w:fldChar w:fldCharType="separate"/>
      </w:r>
      <w:r w:rsidR="000667DB">
        <w:rPr>
          <w:noProof/>
        </w:rPr>
        <w:t>161</w:t>
      </w:r>
      <w:r>
        <w:rPr>
          <w:noProof/>
        </w:rPr>
        <w:fldChar w:fldCharType="end"/>
      </w:r>
    </w:p>
    <w:p w14:paraId="30E6B6ED" w14:textId="7AD162E6"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sidRPr="00486000">
        <w:rPr>
          <w:noProof/>
          <w:lang w:val="en-CA"/>
        </w:rPr>
        <w:t>5.2</w:t>
      </w:r>
      <w:r>
        <w:rPr>
          <w:rFonts w:asciiTheme="minorHAnsi" w:eastAsiaTheme="minorEastAsia" w:hAnsiTheme="minorHAnsi" w:cstheme="minorBidi"/>
          <w:noProof/>
          <w:sz w:val="22"/>
          <w:lang w:val="en-CA" w:eastAsia="en-CA"/>
        </w:rPr>
        <w:tab/>
      </w:r>
      <w:r w:rsidRPr="00486000">
        <w:rPr>
          <w:noProof/>
          <w:lang w:val="en-CA"/>
        </w:rPr>
        <w:t>Materials and Methods</w:t>
      </w:r>
      <w:r>
        <w:rPr>
          <w:noProof/>
        </w:rPr>
        <w:tab/>
      </w:r>
      <w:r>
        <w:rPr>
          <w:noProof/>
        </w:rPr>
        <w:fldChar w:fldCharType="begin"/>
      </w:r>
      <w:r>
        <w:rPr>
          <w:noProof/>
        </w:rPr>
        <w:instrText xml:space="preserve"> PAGEREF _Toc99385473 \h </w:instrText>
      </w:r>
      <w:r>
        <w:rPr>
          <w:noProof/>
        </w:rPr>
      </w:r>
      <w:r>
        <w:rPr>
          <w:noProof/>
        </w:rPr>
        <w:fldChar w:fldCharType="separate"/>
      </w:r>
      <w:r w:rsidR="000667DB">
        <w:rPr>
          <w:noProof/>
        </w:rPr>
        <w:t>164</w:t>
      </w:r>
      <w:r>
        <w:rPr>
          <w:noProof/>
        </w:rPr>
        <w:fldChar w:fldCharType="end"/>
      </w:r>
    </w:p>
    <w:p w14:paraId="1E047D70" w14:textId="2A3F20E0"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5.2.1</w:t>
      </w:r>
      <w:r>
        <w:rPr>
          <w:rFonts w:asciiTheme="minorHAnsi" w:eastAsiaTheme="minorEastAsia" w:hAnsiTheme="minorHAnsi" w:cstheme="minorBidi"/>
          <w:noProof/>
          <w:sz w:val="22"/>
          <w:lang w:val="en-CA" w:eastAsia="en-CA"/>
        </w:rPr>
        <w:tab/>
      </w:r>
      <w:r>
        <w:rPr>
          <w:noProof/>
        </w:rPr>
        <w:t>Study sites</w:t>
      </w:r>
      <w:r>
        <w:rPr>
          <w:noProof/>
        </w:rPr>
        <w:tab/>
      </w:r>
      <w:r>
        <w:rPr>
          <w:noProof/>
        </w:rPr>
        <w:fldChar w:fldCharType="begin"/>
      </w:r>
      <w:r>
        <w:rPr>
          <w:noProof/>
        </w:rPr>
        <w:instrText xml:space="preserve"> PAGEREF _Toc99385474 \h </w:instrText>
      </w:r>
      <w:r>
        <w:rPr>
          <w:noProof/>
        </w:rPr>
      </w:r>
      <w:r>
        <w:rPr>
          <w:noProof/>
        </w:rPr>
        <w:fldChar w:fldCharType="separate"/>
      </w:r>
      <w:r w:rsidR="000667DB">
        <w:rPr>
          <w:noProof/>
        </w:rPr>
        <w:t>164</w:t>
      </w:r>
      <w:r>
        <w:rPr>
          <w:noProof/>
        </w:rPr>
        <w:fldChar w:fldCharType="end"/>
      </w:r>
    </w:p>
    <w:p w14:paraId="2D4CF546" w14:textId="0357C1ED"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5.2.2</w:t>
      </w:r>
      <w:r>
        <w:rPr>
          <w:rFonts w:asciiTheme="minorHAnsi" w:eastAsiaTheme="minorEastAsia" w:hAnsiTheme="minorHAnsi" w:cstheme="minorBidi"/>
          <w:noProof/>
          <w:sz w:val="22"/>
          <w:lang w:val="en-CA" w:eastAsia="en-CA"/>
        </w:rPr>
        <w:tab/>
      </w:r>
      <w:r>
        <w:rPr>
          <w:noProof/>
        </w:rPr>
        <w:t>Soil sampling</w:t>
      </w:r>
      <w:r>
        <w:rPr>
          <w:noProof/>
        </w:rPr>
        <w:tab/>
      </w:r>
      <w:r>
        <w:rPr>
          <w:noProof/>
        </w:rPr>
        <w:fldChar w:fldCharType="begin"/>
      </w:r>
      <w:r>
        <w:rPr>
          <w:noProof/>
        </w:rPr>
        <w:instrText xml:space="preserve"> PAGEREF _Toc99385475 \h </w:instrText>
      </w:r>
      <w:r>
        <w:rPr>
          <w:noProof/>
        </w:rPr>
      </w:r>
      <w:r>
        <w:rPr>
          <w:noProof/>
        </w:rPr>
        <w:fldChar w:fldCharType="separate"/>
      </w:r>
      <w:r w:rsidR="000667DB">
        <w:rPr>
          <w:noProof/>
        </w:rPr>
        <w:t>165</w:t>
      </w:r>
      <w:r>
        <w:rPr>
          <w:noProof/>
        </w:rPr>
        <w:fldChar w:fldCharType="end"/>
      </w:r>
    </w:p>
    <w:p w14:paraId="7C6A521F" w14:textId="0C2BBD77"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5.2.3</w:t>
      </w:r>
      <w:r>
        <w:rPr>
          <w:rFonts w:asciiTheme="minorHAnsi" w:eastAsiaTheme="minorEastAsia" w:hAnsiTheme="minorHAnsi" w:cstheme="minorBidi"/>
          <w:noProof/>
          <w:sz w:val="22"/>
          <w:lang w:val="en-CA" w:eastAsia="en-CA"/>
        </w:rPr>
        <w:tab/>
      </w:r>
      <w:r>
        <w:rPr>
          <w:noProof/>
        </w:rPr>
        <w:t>Plant Community and Watershed Size</w:t>
      </w:r>
      <w:r>
        <w:rPr>
          <w:noProof/>
        </w:rPr>
        <w:tab/>
      </w:r>
      <w:r>
        <w:rPr>
          <w:noProof/>
        </w:rPr>
        <w:fldChar w:fldCharType="begin"/>
      </w:r>
      <w:r>
        <w:rPr>
          <w:noProof/>
        </w:rPr>
        <w:instrText xml:space="preserve"> PAGEREF _Toc99385476 \h </w:instrText>
      </w:r>
      <w:r>
        <w:rPr>
          <w:noProof/>
        </w:rPr>
      </w:r>
      <w:r>
        <w:rPr>
          <w:noProof/>
        </w:rPr>
        <w:fldChar w:fldCharType="separate"/>
      </w:r>
      <w:r w:rsidR="000667DB">
        <w:rPr>
          <w:noProof/>
        </w:rPr>
        <w:t>166</w:t>
      </w:r>
      <w:r>
        <w:rPr>
          <w:noProof/>
        </w:rPr>
        <w:fldChar w:fldCharType="end"/>
      </w:r>
    </w:p>
    <w:p w14:paraId="15DD6B59" w14:textId="5B18C9DD"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5.2.4</w:t>
      </w:r>
      <w:r>
        <w:rPr>
          <w:rFonts w:asciiTheme="minorHAnsi" w:eastAsiaTheme="minorEastAsia" w:hAnsiTheme="minorHAnsi" w:cstheme="minorBidi"/>
          <w:noProof/>
          <w:sz w:val="22"/>
          <w:lang w:val="en-CA" w:eastAsia="en-CA"/>
        </w:rPr>
        <w:tab/>
      </w:r>
      <w:r>
        <w:rPr>
          <w:noProof/>
        </w:rPr>
        <w:t>Salmon density data</w:t>
      </w:r>
      <w:r>
        <w:rPr>
          <w:noProof/>
        </w:rPr>
        <w:tab/>
      </w:r>
      <w:r>
        <w:rPr>
          <w:noProof/>
        </w:rPr>
        <w:fldChar w:fldCharType="begin"/>
      </w:r>
      <w:r>
        <w:rPr>
          <w:noProof/>
        </w:rPr>
        <w:instrText xml:space="preserve"> PAGEREF _Toc99385477 \h </w:instrText>
      </w:r>
      <w:r>
        <w:rPr>
          <w:noProof/>
        </w:rPr>
      </w:r>
      <w:r>
        <w:rPr>
          <w:noProof/>
        </w:rPr>
        <w:fldChar w:fldCharType="separate"/>
      </w:r>
      <w:r w:rsidR="000667DB">
        <w:rPr>
          <w:noProof/>
        </w:rPr>
        <w:t>167</w:t>
      </w:r>
      <w:r>
        <w:rPr>
          <w:noProof/>
        </w:rPr>
        <w:fldChar w:fldCharType="end"/>
      </w:r>
    </w:p>
    <w:p w14:paraId="6A6BE103" w14:textId="16E86C61"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5.2.5</w:t>
      </w:r>
      <w:r>
        <w:rPr>
          <w:rFonts w:asciiTheme="minorHAnsi" w:eastAsiaTheme="minorEastAsia" w:hAnsiTheme="minorHAnsi" w:cstheme="minorBidi"/>
          <w:noProof/>
          <w:sz w:val="22"/>
          <w:lang w:val="en-CA" w:eastAsia="en-CA"/>
        </w:rPr>
        <w:tab/>
      </w:r>
      <w:r>
        <w:rPr>
          <w:noProof/>
        </w:rPr>
        <w:t>Molecular analysis</w:t>
      </w:r>
      <w:r>
        <w:rPr>
          <w:noProof/>
        </w:rPr>
        <w:tab/>
      </w:r>
      <w:r>
        <w:rPr>
          <w:noProof/>
        </w:rPr>
        <w:fldChar w:fldCharType="begin"/>
      </w:r>
      <w:r>
        <w:rPr>
          <w:noProof/>
        </w:rPr>
        <w:instrText xml:space="preserve"> PAGEREF _Toc99385478 \h </w:instrText>
      </w:r>
      <w:r>
        <w:rPr>
          <w:noProof/>
        </w:rPr>
      </w:r>
      <w:r>
        <w:rPr>
          <w:noProof/>
        </w:rPr>
        <w:fldChar w:fldCharType="separate"/>
      </w:r>
      <w:r w:rsidR="000667DB">
        <w:rPr>
          <w:noProof/>
        </w:rPr>
        <w:t>168</w:t>
      </w:r>
      <w:r>
        <w:rPr>
          <w:noProof/>
        </w:rPr>
        <w:fldChar w:fldCharType="end"/>
      </w:r>
    </w:p>
    <w:p w14:paraId="47A42C52" w14:textId="276473B2"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5.2.6</w:t>
      </w:r>
      <w:r>
        <w:rPr>
          <w:rFonts w:asciiTheme="minorHAnsi" w:eastAsiaTheme="minorEastAsia" w:hAnsiTheme="minorHAnsi" w:cstheme="minorBidi"/>
          <w:noProof/>
          <w:sz w:val="22"/>
          <w:lang w:val="en-CA" w:eastAsia="en-CA"/>
        </w:rPr>
        <w:tab/>
      </w:r>
      <w:r>
        <w:rPr>
          <w:noProof/>
        </w:rPr>
        <w:t>Bioinformatics</w:t>
      </w:r>
      <w:r>
        <w:rPr>
          <w:noProof/>
        </w:rPr>
        <w:tab/>
      </w:r>
      <w:r>
        <w:rPr>
          <w:noProof/>
        </w:rPr>
        <w:fldChar w:fldCharType="begin"/>
      </w:r>
      <w:r>
        <w:rPr>
          <w:noProof/>
        </w:rPr>
        <w:instrText xml:space="preserve"> PAGEREF _Toc99385479 \h </w:instrText>
      </w:r>
      <w:r>
        <w:rPr>
          <w:noProof/>
        </w:rPr>
      </w:r>
      <w:r>
        <w:rPr>
          <w:noProof/>
        </w:rPr>
        <w:fldChar w:fldCharType="separate"/>
      </w:r>
      <w:r w:rsidR="000667DB">
        <w:rPr>
          <w:noProof/>
        </w:rPr>
        <w:t>168</w:t>
      </w:r>
      <w:r>
        <w:rPr>
          <w:noProof/>
        </w:rPr>
        <w:fldChar w:fldCharType="end"/>
      </w:r>
    </w:p>
    <w:p w14:paraId="004525C7" w14:textId="39DA62E6"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5.2.7</w:t>
      </w:r>
      <w:r>
        <w:rPr>
          <w:rFonts w:asciiTheme="minorHAnsi" w:eastAsiaTheme="minorEastAsia" w:hAnsiTheme="minorHAnsi" w:cstheme="minorBidi"/>
          <w:noProof/>
          <w:sz w:val="22"/>
          <w:lang w:val="en-CA" w:eastAsia="en-CA"/>
        </w:rPr>
        <w:tab/>
      </w:r>
      <w:r>
        <w:rPr>
          <w:noProof/>
        </w:rPr>
        <w:t>Statistical Analysis</w:t>
      </w:r>
      <w:r>
        <w:rPr>
          <w:noProof/>
        </w:rPr>
        <w:tab/>
      </w:r>
      <w:r>
        <w:rPr>
          <w:noProof/>
        </w:rPr>
        <w:fldChar w:fldCharType="begin"/>
      </w:r>
      <w:r>
        <w:rPr>
          <w:noProof/>
        </w:rPr>
        <w:instrText xml:space="preserve"> PAGEREF _Toc99385480 \h </w:instrText>
      </w:r>
      <w:r>
        <w:rPr>
          <w:noProof/>
        </w:rPr>
      </w:r>
      <w:r>
        <w:rPr>
          <w:noProof/>
        </w:rPr>
        <w:fldChar w:fldCharType="separate"/>
      </w:r>
      <w:r w:rsidR="000667DB">
        <w:rPr>
          <w:noProof/>
        </w:rPr>
        <w:t>169</w:t>
      </w:r>
      <w:r>
        <w:rPr>
          <w:noProof/>
        </w:rPr>
        <w:fldChar w:fldCharType="end"/>
      </w:r>
    </w:p>
    <w:p w14:paraId="77C6EA8D" w14:textId="44E161D9"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sidRPr="00486000">
        <w:rPr>
          <w:noProof/>
          <w:lang w:val="en-CA"/>
        </w:rPr>
        <w:t>5.3</w:t>
      </w:r>
      <w:r>
        <w:rPr>
          <w:rFonts w:asciiTheme="minorHAnsi" w:eastAsiaTheme="minorEastAsia" w:hAnsiTheme="minorHAnsi" w:cstheme="minorBidi"/>
          <w:noProof/>
          <w:sz w:val="22"/>
          <w:lang w:val="en-CA" w:eastAsia="en-CA"/>
        </w:rPr>
        <w:tab/>
      </w:r>
      <w:r w:rsidRPr="00486000">
        <w:rPr>
          <w:noProof/>
          <w:lang w:val="en-CA"/>
        </w:rPr>
        <w:t>Results</w:t>
      </w:r>
      <w:r>
        <w:rPr>
          <w:noProof/>
        </w:rPr>
        <w:tab/>
      </w:r>
      <w:r>
        <w:rPr>
          <w:noProof/>
        </w:rPr>
        <w:fldChar w:fldCharType="begin"/>
      </w:r>
      <w:r>
        <w:rPr>
          <w:noProof/>
        </w:rPr>
        <w:instrText xml:space="preserve"> PAGEREF _Toc99385481 \h </w:instrText>
      </w:r>
      <w:r>
        <w:rPr>
          <w:noProof/>
        </w:rPr>
      </w:r>
      <w:r>
        <w:rPr>
          <w:noProof/>
        </w:rPr>
        <w:fldChar w:fldCharType="separate"/>
      </w:r>
      <w:r w:rsidR="000667DB">
        <w:rPr>
          <w:noProof/>
        </w:rPr>
        <w:t>171</w:t>
      </w:r>
      <w:r>
        <w:rPr>
          <w:noProof/>
        </w:rPr>
        <w:fldChar w:fldCharType="end"/>
      </w:r>
    </w:p>
    <w:p w14:paraId="25212A52" w14:textId="0F44A5DE"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5.3.1</w:t>
      </w:r>
      <w:r>
        <w:rPr>
          <w:rFonts w:asciiTheme="minorHAnsi" w:eastAsiaTheme="minorEastAsia" w:hAnsiTheme="minorHAnsi" w:cstheme="minorBidi"/>
          <w:noProof/>
          <w:sz w:val="22"/>
          <w:lang w:val="en-CA" w:eastAsia="en-CA"/>
        </w:rPr>
        <w:tab/>
      </w:r>
      <w:r>
        <w:rPr>
          <w:noProof/>
        </w:rPr>
        <w:t>Sequencing and community composition</w:t>
      </w:r>
      <w:r>
        <w:rPr>
          <w:noProof/>
        </w:rPr>
        <w:tab/>
      </w:r>
      <w:r>
        <w:rPr>
          <w:noProof/>
        </w:rPr>
        <w:fldChar w:fldCharType="begin"/>
      </w:r>
      <w:r>
        <w:rPr>
          <w:noProof/>
        </w:rPr>
        <w:instrText xml:space="preserve"> PAGEREF _Toc99385482 \h </w:instrText>
      </w:r>
      <w:r>
        <w:rPr>
          <w:noProof/>
        </w:rPr>
      </w:r>
      <w:r>
        <w:rPr>
          <w:noProof/>
        </w:rPr>
        <w:fldChar w:fldCharType="separate"/>
      </w:r>
      <w:r w:rsidR="000667DB">
        <w:rPr>
          <w:noProof/>
        </w:rPr>
        <w:t>171</w:t>
      </w:r>
      <w:r>
        <w:rPr>
          <w:noProof/>
        </w:rPr>
        <w:fldChar w:fldCharType="end"/>
      </w:r>
    </w:p>
    <w:p w14:paraId="046160D6" w14:textId="12CCC7FE"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lang w:eastAsia="en-CA"/>
        </w:rPr>
        <w:t>5.3.2</w:t>
      </w:r>
      <w:r>
        <w:rPr>
          <w:rFonts w:asciiTheme="minorHAnsi" w:eastAsiaTheme="minorEastAsia" w:hAnsiTheme="minorHAnsi" w:cstheme="minorBidi"/>
          <w:noProof/>
          <w:sz w:val="22"/>
          <w:lang w:val="en-CA" w:eastAsia="en-CA"/>
        </w:rPr>
        <w:tab/>
      </w:r>
      <w:r>
        <w:rPr>
          <w:noProof/>
          <w:lang w:eastAsia="en-CA"/>
        </w:rPr>
        <w:t>Community metrics</w:t>
      </w:r>
      <w:r>
        <w:rPr>
          <w:noProof/>
        </w:rPr>
        <w:tab/>
      </w:r>
      <w:r>
        <w:rPr>
          <w:noProof/>
        </w:rPr>
        <w:fldChar w:fldCharType="begin"/>
      </w:r>
      <w:r>
        <w:rPr>
          <w:noProof/>
        </w:rPr>
        <w:instrText xml:space="preserve"> PAGEREF _Toc99385483 \h </w:instrText>
      </w:r>
      <w:r>
        <w:rPr>
          <w:noProof/>
        </w:rPr>
      </w:r>
      <w:r>
        <w:rPr>
          <w:noProof/>
        </w:rPr>
        <w:fldChar w:fldCharType="separate"/>
      </w:r>
      <w:r w:rsidR="000667DB">
        <w:rPr>
          <w:noProof/>
        </w:rPr>
        <w:t>172</w:t>
      </w:r>
      <w:r>
        <w:rPr>
          <w:noProof/>
        </w:rPr>
        <w:fldChar w:fldCharType="end"/>
      </w:r>
    </w:p>
    <w:p w14:paraId="26CCAB70" w14:textId="6E9C004D" w:rsidR="00276430" w:rsidRDefault="00276430">
      <w:pPr>
        <w:pStyle w:val="TOC4"/>
        <w:tabs>
          <w:tab w:val="left" w:pos="1680"/>
          <w:tab w:val="right" w:leader="dot" w:pos="9350"/>
        </w:tabs>
        <w:rPr>
          <w:rFonts w:asciiTheme="minorHAnsi" w:eastAsiaTheme="minorEastAsia" w:hAnsiTheme="minorHAnsi" w:cstheme="minorBidi"/>
          <w:noProof/>
          <w:sz w:val="22"/>
          <w:szCs w:val="22"/>
          <w:lang w:val="en-CA" w:eastAsia="en-CA"/>
        </w:rPr>
      </w:pPr>
      <w:r>
        <w:rPr>
          <w:noProof/>
          <w:lang w:eastAsia="en-CA"/>
        </w:rPr>
        <w:t>5.3.2.1</w:t>
      </w:r>
      <w:r>
        <w:rPr>
          <w:rFonts w:asciiTheme="minorHAnsi" w:eastAsiaTheme="minorEastAsia" w:hAnsiTheme="minorHAnsi" w:cstheme="minorBidi"/>
          <w:noProof/>
          <w:sz w:val="22"/>
          <w:szCs w:val="22"/>
          <w:lang w:val="en-CA" w:eastAsia="en-CA"/>
        </w:rPr>
        <w:tab/>
      </w:r>
      <w:r>
        <w:rPr>
          <w:noProof/>
          <w:lang w:eastAsia="en-CA"/>
        </w:rPr>
        <w:t>Species Richness</w:t>
      </w:r>
      <w:r>
        <w:rPr>
          <w:noProof/>
        </w:rPr>
        <w:tab/>
      </w:r>
      <w:r>
        <w:rPr>
          <w:noProof/>
        </w:rPr>
        <w:fldChar w:fldCharType="begin"/>
      </w:r>
      <w:r>
        <w:rPr>
          <w:noProof/>
        </w:rPr>
        <w:instrText xml:space="preserve"> PAGEREF _Toc99385484 \h </w:instrText>
      </w:r>
      <w:r>
        <w:rPr>
          <w:noProof/>
        </w:rPr>
      </w:r>
      <w:r>
        <w:rPr>
          <w:noProof/>
        </w:rPr>
        <w:fldChar w:fldCharType="separate"/>
      </w:r>
      <w:r w:rsidR="000667DB">
        <w:rPr>
          <w:noProof/>
        </w:rPr>
        <w:t>172</w:t>
      </w:r>
      <w:r>
        <w:rPr>
          <w:noProof/>
        </w:rPr>
        <w:fldChar w:fldCharType="end"/>
      </w:r>
    </w:p>
    <w:p w14:paraId="14D9BC49" w14:textId="1A12C7D3" w:rsidR="00276430" w:rsidRDefault="00276430">
      <w:pPr>
        <w:pStyle w:val="TOC4"/>
        <w:tabs>
          <w:tab w:val="left" w:pos="1680"/>
          <w:tab w:val="right" w:leader="dot" w:pos="9350"/>
        </w:tabs>
        <w:rPr>
          <w:rFonts w:asciiTheme="minorHAnsi" w:eastAsiaTheme="minorEastAsia" w:hAnsiTheme="minorHAnsi" w:cstheme="minorBidi"/>
          <w:noProof/>
          <w:sz w:val="22"/>
          <w:szCs w:val="22"/>
          <w:lang w:val="en-CA" w:eastAsia="en-CA"/>
        </w:rPr>
      </w:pPr>
      <w:r>
        <w:rPr>
          <w:noProof/>
        </w:rPr>
        <w:t>5.3.2.2</w:t>
      </w:r>
      <w:r>
        <w:rPr>
          <w:rFonts w:asciiTheme="minorHAnsi" w:eastAsiaTheme="minorEastAsia" w:hAnsiTheme="minorHAnsi" w:cstheme="minorBidi"/>
          <w:noProof/>
          <w:sz w:val="22"/>
          <w:szCs w:val="22"/>
          <w:lang w:val="en-CA" w:eastAsia="en-CA"/>
        </w:rPr>
        <w:tab/>
      </w:r>
      <w:r>
        <w:rPr>
          <w:noProof/>
        </w:rPr>
        <w:t>Shannon diversity</w:t>
      </w:r>
      <w:r>
        <w:rPr>
          <w:noProof/>
        </w:rPr>
        <w:tab/>
      </w:r>
      <w:r>
        <w:rPr>
          <w:noProof/>
        </w:rPr>
        <w:fldChar w:fldCharType="begin"/>
      </w:r>
      <w:r>
        <w:rPr>
          <w:noProof/>
        </w:rPr>
        <w:instrText xml:space="preserve"> PAGEREF _Toc99385485 \h </w:instrText>
      </w:r>
      <w:r>
        <w:rPr>
          <w:noProof/>
        </w:rPr>
      </w:r>
      <w:r>
        <w:rPr>
          <w:noProof/>
        </w:rPr>
        <w:fldChar w:fldCharType="separate"/>
      </w:r>
      <w:r w:rsidR="000667DB">
        <w:rPr>
          <w:noProof/>
        </w:rPr>
        <w:t>172</w:t>
      </w:r>
      <w:r>
        <w:rPr>
          <w:noProof/>
        </w:rPr>
        <w:fldChar w:fldCharType="end"/>
      </w:r>
    </w:p>
    <w:p w14:paraId="0018F2C6" w14:textId="5E42BE2D" w:rsidR="00276430" w:rsidRDefault="00276430">
      <w:pPr>
        <w:pStyle w:val="TOC4"/>
        <w:tabs>
          <w:tab w:val="left" w:pos="1680"/>
          <w:tab w:val="right" w:leader="dot" w:pos="9350"/>
        </w:tabs>
        <w:rPr>
          <w:rFonts w:asciiTheme="minorHAnsi" w:eastAsiaTheme="minorEastAsia" w:hAnsiTheme="minorHAnsi" w:cstheme="minorBidi"/>
          <w:noProof/>
          <w:sz w:val="22"/>
          <w:szCs w:val="22"/>
          <w:lang w:val="en-CA" w:eastAsia="en-CA"/>
        </w:rPr>
      </w:pPr>
      <w:r>
        <w:rPr>
          <w:noProof/>
        </w:rPr>
        <w:t>5.3.2.3</w:t>
      </w:r>
      <w:r>
        <w:rPr>
          <w:rFonts w:asciiTheme="minorHAnsi" w:eastAsiaTheme="minorEastAsia" w:hAnsiTheme="minorHAnsi" w:cstheme="minorBidi"/>
          <w:noProof/>
          <w:sz w:val="22"/>
          <w:szCs w:val="22"/>
          <w:lang w:val="en-CA" w:eastAsia="en-CA"/>
        </w:rPr>
        <w:tab/>
      </w:r>
      <w:r>
        <w:rPr>
          <w:noProof/>
        </w:rPr>
        <w:t>Phylogenetic Dispersion</w:t>
      </w:r>
      <w:r>
        <w:rPr>
          <w:noProof/>
        </w:rPr>
        <w:tab/>
      </w:r>
      <w:r>
        <w:rPr>
          <w:noProof/>
        </w:rPr>
        <w:fldChar w:fldCharType="begin"/>
      </w:r>
      <w:r>
        <w:rPr>
          <w:noProof/>
        </w:rPr>
        <w:instrText xml:space="preserve"> PAGEREF _Toc99385486 \h </w:instrText>
      </w:r>
      <w:r>
        <w:rPr>
          <w:noProof/>
        </w:rPr>
      </w:r>
      <w:r>
        <w:rPr>
          <w:noProof/>
        </w:rPr>
        <w:fldChar w:fldCharType="separate"/>
      </w:r>
      <w:r w:rsidR="000667DB">
        <w:rPr>
          <w:noProof/>
        </w:rPr>
        <w:t>173</w:t>
      </w:r>
      <w:r>
        <w:rPr>
          <w:noProof/>
        </w:rPr>
        <w:fldChar w:fldCharType="end"/>
      </w:r>
    </w:p>
    <w:p w14:paraId="58263686" w14:textId="64302BF4"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5.3.3</w:t>
      </w:r>
      <w:r>
        <w:rPr>
          <w:rFonts w:asciiTheme="minorHAnsi" w:eastAsiaTheme="minorEastAsia" w:hAnsiTheme="minorHAnsi" w:cstheme="minorBidi"/>
          <w:noProof/>
          <w:sz w:val="22"/>
          <w:lang w:val="en-CA" w:eastAsia="en-CA"/>
        </w:rPr>
        <w:tab/>
      </w:r>
      <w:r>
        <w:rPr>
          <w:noProof/>
        </w:rPr>
        <w:t>Beta diversity</w:t>
      </w:r>
      <w:r>
        <w:rPr>
          <w:noProof/>
        </w:rPr>
        <w:tab/>
      </w:r>
      <w:r>
        <w:rPr>
          <w:noProof/>
        </w:rPr>
        <w:fldChar w:fldCharType="begin"/>
      </w:r>
      <w:r>
        <w:rPr>
          <w:noProof/>
        </w:rPr>
        <w:instrText xml:space="preserve"> PAGEREF _Toc99385487 \h </w:instrText>
      </w:r>
      <w:r>
        <w:rPr>
          <w:noProof/>
        </w:rPr>
      </w:r>
      <w:r>
        <w:rPr>
          <w:noProof/>
        </w:rPr>
        <w:fldChar w:fldCharType="separate"/>
      </w:r>
      <w:r w:rsidR="000667DB">
        <w:rPr>
          <w:noProof/>
        </w:rPr>
        <w:t>173</w:t>
      </w:r>
      <w:r>
        <w:rPr>
          <w:noProof/>
        </w:rPr>
        <w:fldChar w:fldCharType="end"/>
      </w:r>
    </w:p>
    <w:p w14:paraId="4D068D0B" w14:textId="2264EE14"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5.3.4</w:t>
      </w:r>
      <w:r>
        <w:rPr>
          <w:rFonts w:asciiTheme="minorHAnsi" w:eastAsiaTheme="minorEastAsia" w:hAnsiTheme="minorHAnsi" w:cstheme="minorBidi"/>
          <w:noProof/>
          <w:sz w:val="22"/>
          <w:lang w:val="en-CA" w:eastAsia="en-CA"/>
        </w:rPr>
        <w:tab/>
      </w:r>
      <w:r>
        <w:rPr>
          <w:noProof/>
        </w:rPr>
        <w:t>Compositional changes along salmon gradient</w:t>
      </w:r>
      <w:r>
        <w:rPr>
          <w:noProof/>
        </w:rPr>
        <w:tab/>
      </w:r>
      <w:r>
        <w:rPr>
          <w:noProof/>
        </w:rPr>
        <w:fldChar w:fldCharType="begin"/>
      </w:r>
      <w:r>
        <w:rPr>
          <w:noProof/>
        </w:rPr>
        <w:instrText xml:space="preserve"> PAGEREF _Toc99385488 \h </w:instrText>
      </w:r>
      <w:r>
        <w:rPr>
          <w:noProof/>
        </w:rPr>
      </w:r>
      <w:r>
        <w:rPr>
          <w:noProof/>
        </w:rPr>
        <w:fldChar w:fldCharType="separate"/>
      </w:r>
      <w:r w:rsidR="000667DB">
        <w:rPr>
          <w:noProof/>
        </w:rPr>
        <w:t>174</w:t>
      </w:r>
      <w:r>
        <w:rPr>
          <w:noProof/>
        </w:rPr>
        <w:fldChar w:fldCharType="end"/>
      </w:r>
    </w:p>
    <w:p w14:paraId="0F5DC8B9" w14:textId="5EFDE780"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sidRPr="00486000">
        <w:rPr>
          <w:noProof/>
          <w:lang w:val="en-CA"/>
        </w:rPr>
        <w:t>5.4</w:t>
      </w:r>
      <w:r>
        <w:rPr>
          <w:rFonts w:asciiTheme="minorHAnsi" w:eastAsiaTheme="minorEastAsia" w:hAnsiTheme="minorHAnsi" w:cstheme="minorBidi"/>
          <w:noProof/>
          <w:sz w:val="22"/>
          <w:lang w:val="en-CA" w:eastAsia="en-CA"/>
        </w:rPr>
        <w:tab/>
      </w:r>
      <w:r w:rsidRPr="00486000">
        <w:rPr>
          <w:noProof/>
          <w:lang w:val="en-CA"/>
        </w:rPr>
        <w:t>Discussion</w:t>
      </w:r>
      <w:r>
        <w:rPr>
          <w:noProof/>
        </w:rPr>
        <w:tab/>
      </w:r>
      <w:r>
        <w:rPr>
          <w:noProof/>
        </w:rPr>
        <w:fldChar w:fldCharType="begin"/>
      </w:r>
      <w:r>
        <w:rPr>
          <w:noProof/>
        </w:rPr>
        <w:instrText xml:space="preserve"> PAGEREF _Toc99385489 \h </w:instrText>
      </w:r>
      <w:r>
        <w:rPr>
          <w:noProof/>
        </w:rPr>
      </w:r>
      <w:r>
        <w:rPr>
          <w:noProof/>
        </w:rPr>
        <w:fldChar w:fldCharType="separate"/>
      </w:r>
      <w:r w:rsidR="000667DB">
        <w:rPr>
          <w:noProof/>
        </w:rPr>
        <w:t>174</w:t>
      </w:r>
      <w:r>
        <w:rPr>
          <w:noProof/>
        </w:rPr>
        <w:fldChar w:fldCharType="end"/>
      </w:r>
    </w:p>
    <w:p w14:paraId="1BEA2000" w14:textId="19731B0A"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5.4.1</w:t>
      </w:r>
      <w:r>
        <w:rPr>
          <w:rFonts w:asciiTheme="minorHAnsi" w:eastAsiaTheme="minorEastAsia" w:hAnsiTheme="minorHAnsi" w:cstheme="minorBidi"/>
          <w:noProof/>
          <w:sz w:val="22"/>
          <w:lang w:val="en-CA" w:eastAsia="en-CA"/>
        </w:rPr>
        <w:tab/>
      </w:r>
      <w:r>
        <w:rPr>
          <w:noProof/>
        </w:rPr>
        <w:t>Bacteria communities of the Central Coast</w:t>
      </w:r>
      <w:r>
        <w:rPr>
          <w:noProof/>
        </w:rPr>
        <w:tab/>
      </w:r>
      <w:r>
        <w:rPr>
          <w:noProof/>
        </w:rPr>
        <w:fldChar w:fldCharType="begin"/>
      </w:r>
      <w:r>
        <w:rPr>
          <w:noProof/>
        </w:rPr>
        <w:instrText xml:space="preserve"> PAGEREF _Toc99385490 \h </w:instrText>
      </w:r>
      <w:r>
        <w:rPr>
          <w:noProof/>
        </w:rPr>
      </w:r>
      <w:r>
        <w:rPr>
          <w:noProof/>
        </w:rPr>
        <w:fldChar w:fldCharType="separate"/>
      </w:r>
      <w:r w:rsidR="000667DB">
        <w:rPr>
          <w:noProof/>
        </w:rPr>
        <w:t>174</w:t>
      </w:r>
      <w:r>
        <w:rPr>
          <w:noProof/>
        </w:rPr>
        <w:fldChar w:fldCharType="end"/>
      </w:r>
    </w:p>
    <w:p w14:paraId="7FDA5BB7" w14:textId="25F27FA8"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5.4.2</w:t>
      </w:r>
      <w:r>
        <w:rPr>
          <w:rFonts w:asciiTheme="minorHAnsi" w:eastAsiaTheme="minorEastAsia" w:hAnsiTheme="minorHAnsi" w:cstheme="minorBidi"/>
          <w:noProof/>
          <w:sz w:val="22"/>
          <w:lang w:val="en-CA" w:eastAsia="en-CA"/>
        </w:rPr>
        <w:tab/>
      </w:r>
      <w:r>
        <w:rPr>
          <w:noProof/>
        </w:rPr>
        <w:t>Responses of bacterial communities to MDN inputs</w:t>
      </w:r>
      <w:r>
        <w:rPr>
          <w:noProof/>
        </w:rPr>
        <w:tab/>
      </w:r>
      <w:r>
        <w:rPr>
          <w:noProof/>
        </w:rPr>
        <w:fldChar w:fldCharType="begin"/>
      </w:r>
      <w:r>
        <w:rPr>
          <w:noProof/>
        </w:rPr>
        <w:instrText xml:space="preserve"> PAGEREF _Toc99385491 \h </w:instrText>
      </w:r>
      <w:r>
        <w:rPr>
          <w:noProof/>
        </w:rPr>
      </w:r>
      <w:r>
        <w:rPr>
          <w:noProof/>
        </w:rPr>
        <w:fldChar w:fldCharType="separate"/>
      </w:r>
      <w:r w:rsidR="000667DB">
        <w:rPr>
          <w:noProof/>
        </w:rPr>
        <w:t>175</w:t>
      </w:r>
      <w:r>
        <w:rPr>
          <w:noProof/>
        </w:rPr>
        <w:fldChar w:fldCharType="end"/>
      </w:r>
    </w:p>
    <w:p w14:paraId="76FD72C3" w14:textId="2E1FC34F"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Pr>
          <w:noProof/>
        </w:rPr>
        <w:t>5.5</w:t>
      </w:r>
      <w:r>
        <w:rPr>
          <w:rFonts w:asciiTheme="minorHAnsi" w:eastAsiaTheme="minorEastAsia" w:hAnsiTheme="minorHAnsi" w:cstheme="minorBidi"/>
          <w:noProof/>
          <w:sz w:val="22"/>
          <w:lang w:val="en-CA" w:eastAsia="en-CA"/>
        </w:rPr>
        <w:tab/>
      </w:r>
      <w:r>
        <w:rPr>
          <w:noProof/>
        </w:rPr>
        <w:t>Conclusion</w:t>
      </w:r>
      <w:r>
        <w:rPr>
          <w:noProof/>
        </w:rPr>
        <w:tab/>
      </w:r>
      <w:r>
        <w:rPr>
          <w:noProof/>
        </w:rPr>
        <w:fldChar w:fldCharType="begin"/>
      </w:r>
      <w:r>
        <w:rPr>
          <w:noProof/>
        </w:rPr>
        <w:instrText xml:space="preserve"> PAGEREF _Toc99385492 \h </w:instrText>
      </w:r>
      <w:r>
        <w:rPr>
          <w:noProof/>
        </w:rPr>
      </w:r>
      <w:r>
        <w:rPr>
          <w:noProof/>
        </w:rPr>
        <w:fldChar w:fldCharType="separate"/>
      </w:r>
      <w:r w:rsidR="000667DB">
        <w:rPr>
          <w:noProof/>
        </w:rPr>
        <w:t>177</w:t>
      </w:r>
      <w:r>
        <w:rPr>
          <w:noProof/>
        </w:rPr>
        <w:fldChar w:fldCharType="end"/>
      </w:r>
    </w:p>
    <w:p w14:paraId="7428A9A2" w14:textId="43A7D03D"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Pr>
          <w:noProof/>
        </w:rPr>
        <w:t>5.6</w:t>
      </w:r>
      <w:r>
        <w:rPr>
          <w:rFonts w:asciiTheme="minorHAnsi" w:eastAsiaTheme="minorEastAsia" w:hAnsiTheme="minorHAnsi" w:cstheme="minorBidi"/>
          <w:noProof/>
          <w:sz w:val="22"/>
          <w:lang w:val="en-CA" w:eastAsia="en-CA"/>
        </w:rPr>
        <w:tab/>
      </w:r>
      <w:r>
        <w:rPr>
          <w:noProof/>
        </w:rPr>
        <w:t>Tables and Figures</w:t>
      </w:r>
      <w:r>
        <w:rPr>
          <w:noProof/>
        </w:rPr>
        <w:tab/>
      </w:r>
      <w:r>
        <w:rPr>
          <w:noProof/>
        </w:rPr>
        <w:fldChar w:fldCharType="begin"/>
      </w:r>
      <w:r>
        <w:rPr>
          <w:noProof/>
        </w:rPr>
        <w:instrText xml:space="preserve"> PAGEREF _Toc99385493 \h </w:instrText>
      </w:r>
      <w:r>
        <w:rPr>
          <w:noProof/>
        </w:rPr>
      </w:r>
      <w:r>
        <w:rPr>
          <w:noProof/>
        </w:rPr>
        <w:fldChar w:fldCharType="separate"/>
      </w:r>
      <w:r w:rsidR="000667DB">
        <w:rPr>
          <w:noProof/>
        </w:rPr>
        <w:t>178</w:t>
      </w:r>
      <w:r>
        <w:rPr>
          <w:noProof/>
        </w:rPr>
        <w:fldChar w:fldCharType="end"/>
      </w:r>
    </w:p>
    <w:p w14:paraId="5700A35C" w14:textId="663088C7" w:rsidR="00276430" w:rsidRDefault="00276430">
      <w:pPr>
        <w:pStyle w:val="TOC1"/>
        <w:rPr>
          <w:rFonts w:asciiTheme="minorHAnsi" w:eastAsiaTheme="minorEastAsia" w:hAnsiTheme="minorHAnsi" w:cstheme="minorBidi"/>
          <w:b w:val="0"/>
          <w:noProof/>
          <w:sz w:val="22"/>
          <w:szCs w:val="22"/>
          <w:lang w:val="en-CA" w:eastAsia="en-CA"/>
        </w:rPr>
      </w:pPr>
      <w:r>
        <w:rPr>
          <w:noProof/>
        </w:rPr>
        <w:t>Chapter 6:</w:t>
      </w:r>
      <w:r w:rsidRPr="00486000">
        <w:rPr>
          <w:b w:val="0"/>
          <w:noProof/>
        </w:rPr>
        <w:t xml:space="preserve"> Fate of artificial MDN addition</w:t>
      </w:r>
      <w:r>
        <w:rPr>
          <w:noProof/>
        </w:rPr>
        <w:tab/>
      </w:r>
      <w:r>
        <w:rPr>
          <w:noProof/>
        </w:rPr>
        <w:fldChar w:fldCharType="begin"/>
      </w:r>
      <w:r>
        <w:rPr>
          <w:noProof/>
        </w:rPr>
        <w:instrText xml:space="preserve"> PAGEREF _Toc99385494 \h </w:instrText>
      </w:r>
      <w:r>
        <w:rPr>
          <w:noProof/>
        </w:rPr>
      </w:r>
      <w:r>
        <w:rPr>
          <w:noProof/>
        </w:rPr>
        <w:fldChar w:fldCharType="separate"/>
      </w:r>
      <w:r w:rsidR="000667DB">
        <w:rPr>
          <w:noProof/>
        </w:rPr>
        <w:t>188</w:t>
      </w:r>
      <w:r>
        <w:rPr>
          <w:noProof/>
        </w:rPr>
        <w:fldChar w:fldCharType="end"/>
      </w:r>
    </w:p>
    <w:p w14:paraId="4E87F5D5" w14:textId="5A6BCDB1"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sidRPr="00486000">
        <w:rPr>
          <w:noProof/>
          <w:lang w:val="en-CA"/>
        </w:rPr>
        <w:t>6.1</w:t>
      </w:r>
      <w:r>
        <w:rPr>
          <w:rFonts w:asciiTheme="minorHAnsi" w:eastAsiaTheme="minorEastAsia" w:hAnsiTheme="minorHAnsi" w:cstheme="minorBidi"/>
          <w:noProof/>
          <w:sz w:val="22"/>
          <w:lang w:val="en-CA" w:eastAsia="en-CA"/>
        </w:rPr>
        <w:tab/>
      </w:r>
      <w:r w:rsidRPr="00486000">
        <w:rPr>
          <w:noProof/>
          <w:lang w:val="en-CA"/>
        </w:rPr>
        <w:t>Introduction</w:t>
      </w:r>
      <w:r>
        <w:rPr>
          <w:noProof/>
        </w:rPr>
        <w:tab/>
      </w:r>
      <w:r>
        <w:rPr>
          <w:noProof/>
        </w:rPr>
        <w:fldChar w:fldCharType="begin"/>
      </w:r>
      <w:r>
        <w:rPr>
          <w:noProof/>
        </w:rPr>
        <w:instrText xml:space="preserve"> PAGEREF _Toc99385495 \h </w:instrText>
      </w:r>
      <w:r>
        <w:rPr>
          <w:noProof/>
        </w:rPr>
      </w:r>
      <w:r>
        <w:rPr>
          <w:noProof/>
        </w:rPr>
        <w:fldChar w:fldCharType="separate"/>
      </w:r>
      <w:r w:rsidR="000667DB">
        <w:rPr>
          <w:noProof/>
        </w:rPr>
        <w:t>188</w:t>
      </w:r>
      <w:r>
        <w:rPr>
          <w:noProof/>
        </w:rPr>
        <w:fldChar w:fldCharType="end"/>
      </w:r>
    </w:p>
    <w:p w14:paraId="50EEDE6B" w14:textId="596082F4"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sidRPr="00486000">
        <w:rPr>
          <w:noProof/>
          <w:lang w:val="en-CA"/>
        </w:rPr>
        <w:t>6.2</w:t>
      </w:r>
      <w:r>
        <w:rPr>
          <w:rFonts w:asciiTheme="minorHAnsi" w:eastAsiaTheme="minorEastAsia" w:hAnsiTheme="minorHAnsi" w:cstheme="minorBidi"/>
          <w:noProof/>
          <w:sz w:val="22"/>
          <w:lang w:val="en-CA" w:eastAsia="en-CA"/>
        </w:rPr>
        <w:tab/>
      </w:r>
      <w:r w:rsidRPr="00486000">
        <w:rPr>
          <w:noProof/>
          <w:lang w:val="en-CA"/>
        </w:rPr>
        <w:t>Materials and Methods</w:t>
      </w:r>
      <w:r>
        <w:rPr>
          <w:noProof/>
        </w:rPr>
        <w:tab/>
      </w:r>
      <w:r>
        <w:rPr>
          <w:noProof/>
        </w:rPr>
        <w:fldChar w:fldCharType="begin"/>
      </w:r>
      <w:r>
        <w:rPr>
          <w:noProof/>
        </w:rPr>
        <w:instrText xml:space="preserve"> PAGEREF _Toc99385496 \h </w:instrText>
      </w:r>
      <w:r>
        <w:rPr>
          <w:noProof/>
        </w:rPr>
      </w:r>
      <w:r>
        <w:rPr>
          <w:noProof/>
        </w:rPr>
        <w:fldChar w:fldCharType="separate"/>
      </w:r>
      <w:r w:rsidR="000667DB">
        <w:rPr>
          <w:noProof/>
        </w:rPr>
        <w:t>190</w:t>
      </w:r>
      <w:r>
        <w:rPr>
          <w:noProof/>
        </w:rPr>
        <w:fldChar w:fldCharType="end"/>
      </w:r>
    </w:p>
    <w:p w14:paraId="76D79A3E" w14:textId="4082A6D5"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6.2.1</w:t>
      </w:r>
      <w:r>
        <w:rPr>
          <w:rFonts w:asciiTheme="minorHAnsi" w:eastAsiaTheme="minorEastAsia" w:hAnsiTheme="minorHAnsi" w:cstheme="minorBidi"/>
          <w:noProof/>
          <w:sz w:val="22"/>
          <w:lang w:val="en-CA" w:eastAsia="en-CA"/>
        </w:rPr>
        <w:tab/>
      </w:r>
      <w:r>
        <w:rPr>
          <w:noProof/>
        </w:rPr>
        <w:t>Study site</w:t>
      </w:r>
      <w:r>
        <w:rPr>
          <w:noProof/>
        </w:rPr>
        <w:tab/>
      </w:r>
      <w:r>
        <w:rPr>
          <w:noProof/>
        </w:rPr>
        <w:fldChar w:fldCharType="begin"/>
      </w:r>
      <w:r>
        <w:rPr>
          <w:noProof/>
        </w:rPr>
        <w:instrText xml:space="preserve"> PAGEREF _Toc99385497 \h </w:instrText>
      </w:r>
      <w:r>
        <w:rPr>
          <w:noProof/>
        </w:rPr>
      </w:r>
      <w:r>
        <w:rPr>
          <w:noProof/>
        </w:rPr>
        <w:fldChar w:fldCharType="separate"/>
      </w:r>
      <w:r w:rsidR="000667DB">
        <w:rPr>
          <w:noProof/>
        </w:rPr>
        <w:t>190</w:t>
      </w:r>
      <w:r>
        <w:rPr>
          <w:noProof/>
        </w:rPr>
        <w:fldChar w:fldCharType="end"/>
      </w:r>
    </w:p>
    <w:p w14:paraId="48452187" w14:textId="15BBD161"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6.2.2</w:t>
      </w:r>
      <w:r>
        <w:rPr>
          <w:rFonts w:asciiTheme="minorHAnsi" w:eastAsiaTheme="minorEastAsia" w:hAnsiTheme="minorHAnsi" w:cstheme="minorBidi"/>
          <w:noProof/>
          <w:sz w:val="22"/>
          <w:lang w:val="en-CA" w:eastAsia="en-CA"/>
        </w:rPr>
        <w:tab/>
      </w:r>
      <w:r>
        <w:rPr>
          <w:noProof/>
        </w:rPr>
        <w:t>Experimental design</w:t>
      </w:r>
      <w:r>
        <w:rPr>
          <w:noProof/>
        </w:rPr>
        <w:tab/>
      </w:r>
      <w:r>
        <w:rPr>
          <w:noProof/>
        </w:rPr>
        <w:fldChar w:fldCharType="begin"/>
      </w:r>
      <w:r>
        <w:rPr>
          <w:noProof/>
        </w:rPr>
        <w:instrText xml:space="preserve"> PAGEREF _Toc99385498 \h </w:instrText>
      </w:r>
      <w:r>
        <w:rPr>
          <w:noProof/>
        </w:rPr>
      </w:r>
      <w:r>
        <w:rPr>
          <w:noProof/>
        </w:rPr>
        <w:fldChar w:fldCharType="separate"/>
      </w:r>
      <w:r w:rsidR="000667DB">
        <w:rPr>
          <w:noProof/>
        </w:rPr>
        <w:t>191</w:t>
      </w:r>
      <w:r>
        <w:rPr>
          <w:noProof/>
        </w:rPr>
        <w:fldChar w:fldCharType="end"/>
      </w:r>
    </w:p>
    <w:p w14:paraId="1F240C31" w14:textId="29908DF2"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6.2.3</w:t>
      </w:r>
      <w:r>
        <w:rPr>
          <w:rFonts w:asciiTheme="minorHAnsi" w:eastAsiaTheme="minorEastAsia" w:hAnsiTheme="minorHAnsi" w:cstheme="minorBidi"/>
          <w:noProof/>
          <w:sz w:val="22"/>
          <w:lang w:val="en-CA" w:eastAsia="en-CA"/>
        </w:rPr>
        <w:tab/>
      </w:r>
      <w:r>
        <w:rPr>
          <w:noProof/>
        </w:rPr>
        <w:t>Analysis:</w:t>
      </w:r>
      <w:r>
        <w:rPr>
          <w:noProof/>
        </w:rPr>
        <w:tab/>
      </w:r>
      <w:r>
        <w:rPr>
          <w:noProof/>
        </w:rPr>
        <w:fldChar w:fldCharType="begin"/>
      </w:r>
      <w:r>
        <w:rPr>
          <w:noProof/>
        </w:rPr>
        <w:instrText xml:space="preserve"> PAGEREF _Toc99385499 \h </w:instrText>
      </w:r>
      <w:r>
        <w:rPr>
          <w:noProof/>
        </w:rPr>
      </w:r>
      <w:r>
        <w:rPr>
          <w:noProof/>
        </w:rPr>
        <w:fldChar w:fldCharType="separate"/>
      </w:r>
      <w:r w:rsidR="000667DB">
        <w:rPr>
          <w:noProof/>
        </w:rPr>
        <w:t>194</w:t>
      </w:r>
      <w:r>
        <w:rPr>
          <w:noProof/>
        </w:rPr>
        <w:fldChar w:fldCharType="end"/>
      </w:r>
    </w:p>
    <w:p w14:paraId="44F4669A" w14:textId="5049656D"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sidRPr="00486000">
        <w:rPr>
          <w:noProof/>
          <w:lang w:val="en-CA"/>
        </w:rPr>
        <w:t>6.3</w:t>
      </w:r>
      <w:r>
        <w:rPr>
          <w:rFonts w:asciiTheme="minorHAnsi" w:eastAsiaTheme="minorEastAsia" w:hAnsiTheme="minorHAnsi" w:cstheme="minorBidi"/>
          <w:noProof/>
          <w:sz w:val="22"/>
          <w:lang w:val="en-CA" w:eastAsia="en-CA"/>
        </w:rPr>
        <w:tab/>
      </w:r>
      <w:r w:rsidRPr="00486000">
        <w:rPr>
          <w:noProof/>
          <w:lang w:val="en-CA"/>
        </w:rPr>
        <w:t>Results</w:t>
      </w:r>
      <w:r>
        <w:rPr>
          <w:noProof/>
        </w:rPr>
        <w:tab/>
      </w:r>
      <w:r>
        <w:rPr>
          <w:noProof/>
        </w:rPr>
        <w:fldChar w:fldCharType="begin"/>
      </w:r>
      <w:r>
        <w:rPr>
          <w:noProof/>
        </w:rPr>
        <w:instrText xml:space="preserve"> PAGEREF _Toc99385500 \h </w:instrText>
      </w:r>
      <w:r>
        <w:rPr>
          <w:noProof/>
        </w:rPr>
      </w:r>
      <w:r>
        <w:rPr>
          <w:noProof/>
        </w:rPr>
        <w:fldChar w:fldCharType="separate"/>
      </w:r>
      <w:r w:rsidR="000667DB">
        <w:rPr>
          <w:noProof/>
        </w:rPr>
        <w:t>195</w:t>
      </w:r>
      <w:r>
        <w:rPr>
          <w:noProof/>
        </w:rPr>
        <w:fldChar w:fldCharType="end"/>
      </w:r>
    </w:p>
    <w:p w14:paraId="6F1101A0" w14:textId="6135D414"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6.3.1</w:t>
      </w:r>
      <w:r>
        <w:rPr>
          <w:rFonts w:asciiTheme="minorHAnsi" w:eastAsiaTheme="minorEastAsia" w:hAnsiTheme="minorHAnsi" w:cstheme="minorBidi"/>
          <w:noProof/>
          <w:sz w:val="22"/>
          <w:lang w:val="en-CA" w:eastAsia="en-CA"/>
        </w:rPr>
        <w:tab/>
      </w:r>
      <w:r>
        <w:rPr>
          <w:noProof/>
        </w:rPr>
        <w:t>Rate and distance of uptake</w:t>
      </w:r>
      <w:r>
        <w:rPr>
          <w:noProof/>
        </w:rPr>
        <w:tab/>
      </w:r>
      <w:r>
        <w:rPr>
          <w:noProof/>
        </w:rPr>
        <w:fldChar w:fldCharType="begin"/>
      </w:r>
      <w:r>
        <w:rPr>
          <w:noProof/>
        </w:rPr>
        <w:instrText xml:space="preserve"> PAGEREF _Toc99385501 \h </w:instrText>
      </w:r>
      <w:r>
        <w:rPr>
          <w:noProof/>
        </w:rPr>
      </w:r>
      <w:r>
        <w:rPr>
          <w:noProof/>
        </w:rPr>
        <w:fldChar w:fldCharType="separate"/>
      </w:r>
      <w:r w:rsidR="000667DB">
        <w:rPr>
          <w:noProof/>
        </w:rPr>
        <w:t>195</w:t>
      </w:r>
      <w:r>
        <w:rPr>
          <w:noProof/>
        </w:rPr>
        <w:fldChar w:fldCharType="end"/>
      </w:r>
    </w:p>
    <w:p w14:paraId="7A78559A" w14:textId="07E9D9CF"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Pr>
          <w:noProof/>
        </w:rPr>
        <w:t>6.4</w:t>
      </w:r>
      <w:r>
        <w:rPr>
          <w:rFonts w:asciiTheme="minorHAnsi" w:eastAsiaTheme="minorEastAsia" w:hAnsiTheme="minorHAnsi" w:cstheme="minorBidi"/>
          <w:noProof/>
          <w:sz w:val="22"/>
          <w:lang w:val="en-CA" w:eastAsia="en-CA"/>
        </w:rPr>
        <w:tab/>
      </w:r>
      <w:r>
        <w:rPr>
          <w:noProof/>
        </w:rPr>
        <w:t>Discussion</w:t>
      </w:r>
      <w:r>
        <w:rPr>
          <w:noProof/>
        </w:rPr>
        <w:tab/>
      </w:r>
      <w:r>
        <w:rPr>
          <w:noProof/>
        </w:rPr>
        <w:fldChar w:fldCharType="begin"/>
      </w:r>
      <w:r>
        <w:rPr>
          <w:noProof/>
        </w:rPr>
        <w:instrText xml:space="preserve"> PAGEREF _Toc99385502 \h </w:instrText>
      </w:r>
      <w:r>
        <w:rPr>
          <w:noProof/>
        </w:rPr>
      </w:r>
      <w:r>
        <w:rPr>
          <w:noProof/>
        </w:rPr>
        <w:fldChar w:fldCharType="separate"/>
      </w:r>
      <w:r w:rsidR="000667DB">
        <w:rPr>
          <w:noProof/>
        </w:rPr>
        <w:t>196</w:t>
      </w:r>
      <w:r>
        <w:rPr>
          <w:noProof/>
        </w:rPr>
        <w:fldChar w:fldCharType="end"/>
      </w:r>
    </w:p>
    <w:p w14:paraId="7578E629" w14:textId="3CCF5900"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Pr>
          <w:noProof/>
        </w:rPr>
        <w:t>6.5</w:t>
      </w:r>
      <w:r>
        <w:rPr>
          <w:rFonts w:asciiTheme="minorHAnsi" w:eastAsiaTheme="minorEastAsia" w:hAnsiTheme="minorHAnsi" w:cstheme="minorBidi"/>
          <w:noProof/>
          <w:sz w:val="22"/>
          <w:lang w:val="en-CA" w:eastAsia="en-CA"/>
        </w:rPr>
        <w:tab/>
      </w:r>
      <w:r>
        <w:rPr>
          <w:noProof/>
        </w:rPr>
        <w:t>Tables and Figures</w:t>
      </w:r>
      <w:r>
        <w:rPr>
          <w:noProof/>
        </w:rPr>
        <w:tab/>
      </w:r>
      <w:r>
        <w:rPr>
          <w:noProof/>
        </w:rPr>
        <w:fldChar w:fldCharType="begin"/>
      </w:r>
      <w:r>
        <w:rPr>
          <w:noProof/>
        </w:rPr>
        <w:instrText xml:space="preserve"> PAGEREF _Toc99385503 \h </w:instrText>
      </w:r>
      <w:r>
        <w:rPr>
          <w:noProof/>
        </w:rPr>
      </w:r>
      <w:r>
        <w:rPr>
          <w:noProof/>
        </w:rPr>
        <w:fldChar w:fldCharType="separate"/>
      </w:r>
      <w:r w:rsidR="000667DB">
        <w:rPr>
          <w:noProof/>
        </w:rPr>
        <w:t>198</w:t>
      </w:r>
      <w:r>
        <w:rPr>
          <w:noProof/>
        </w:rPr>
        <w:fldChar w:fldCharType="end"/>
      </w:r>
    </w:p>
    <w:p w14:paraId="3A229E6B" w14:textId="0F7917D6" w:rsidR="00276430" w:rsidRDefault="00276430">
      <w:pPr>
        <w:pStyle w:val="TOC1"/>
        <w:rPr>
          <w:rFonts w:asciiTheme="minorHAnsi" w:eastAsiaTheme="minorEastAsia" w:hAnsiTheme="minorHAnsi" w:cstheme="minorBidi"/>
          <w:b w:val="0"/>
          <w:noProof/>
          <w:sz w:val="22"/>
          <w:szCs w:val="22"/>
          <w:lang w:val="en-CA" w:eastAsia="en-CA"/>
        </w:rPr>
      </w:pPr>
      <w:r>
        <w:rPr>
          <w:noProof/>
        </w:rPr>
        <w:t>Chapter 7: Conclusion and summary</w:t>
      </w:r>
      <w:r>
        <w:rPr>
          <w:noProof/>
        </w:rPr>
        <w:tab/>
      </w:r>
      <w:r>
        <w:rPr>
          <w:noProof/>
        </w:rPr>
        <w:fldChar w:fldCharType="begin"/>
      </w:r>
      <w:r>
        <w:rPr>
          <w:noProof/>
        </w:rPr>
        <w:instrText xml:space="preserve"> PAGEREF _Toc99385504 \h </w:instrText>
      </w:r>
      <w:r>
        <w:rPr>
          <w:noProof/>
        </w:rPr>
      </w:r>
      <w:r>
        <w:rPr>
          <w:noProof/>
        </w:rPr>
        <w:fldChar w:fldCharType="separate"/>
      </w:r>
      <w:r w:rsidR="000667DB">
        <w:rPr>
          <w:noProof/>
        </w:rPr>
        <w:t>204</w:t>
      </w:r>
      <w:r>
        <w:rPr>
          <w:noProof/>
        </w:rPr>
        <w:fldChar w:fldCharType="end"/>
      </w:r>
    </w:p>
    <w:p w14:paraId="5D243B85" w14:textId="5476D815"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Pr>
          <w:noProof/>
        </w:rPr>
        <w:t>7.1</w:t>
      </w:r>
      <w:r>
        <w:rPr>
          <w:rFonts w:asciiTheme="minorHAnsi" w:eastAsiaTheme="minorEastAsia" w:hAnsiTheme="minorHAnsi" w:cstheme="minorBidi"/>
          <w:noProof/>
          <w:sz w:val="22"/>
          <w:lang w:val="en-CA" w:eastAsia="en-CA"/>
        </w:rPr>
        <w:tab/>
      </w:r>
      <w:r>
        <w:rPr>
          <w:noProof/>
        </w:rPr>
        <w:t>Summary</w:t>
      </w:r>
      <w:r>
        <w:rPr>
          <w:noProof/>
        </w:rPr>
        <w:tab/>
      </w:r>
      <w:r>
        <w:rPr>
          <w:noProof/>
        </w:rPr>
        <w:fldChar w:fldCharType="begin"/>
      </w:r>
      <w:r>
        <w:rPr>
          <w:noProof/>
        </w:rPr>
        <w:instrText xml:space="preserve"> PAGEREF _Toc99385505 \h </w:instrText>
      </w:r>
      <w:r>
        <w:rPr>
          <w:noProof/>
        </w:rPr>
      </w:r>
      <w:r>
        <w:rPr>
          <w:noProof/>
        </w:rPr>
        <w:fldChar w:fldCharType="separate"/>
      </w:r>
      <w:r w:rsidR="000667DB">
        <w:rPr>
          <w:noProof/>
        </w:rPr>
        <w:t>204</w:t>
      </w:r>
      <w:r>
        <w:rPr>
          <w:noProof/>
        </w:rPr>
        <w:fldChar w:fldCharType="end"/>
      </w:r>
    </w:p>
    <w:p w14:paraId="520C568D" w14:textId="0AA09974"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Pr>
          <w:noProof/>
        </w:rPr>
        <w:t>7.2</w:t>
      </w:r>
      <w:r>
        <w:rPr>
          <w:rFonts w:asciiTheme="minorHAnsi" w:eastAsiaTheme="minorEastAsia" w:hAnsiTheme="minorHAnsi" w:cstheme="minorBidi"/>
          <w:noProof/>
          <w:sz w:val="22"/>
          <w:lang w:val="en-CA" w:eastAsia="en-CA"/>
        </w:rPr>
        <w:tab/>
      </w:r>
      <w:r>
        <w:rPr>
          <w:noProof/>
        </w:rPr>
        <w:t>Synopsis of Chapter 2</w:t>
      </w:r>
      <w:r>
        <w:rPr>
          <w:noProof/>
        </w:rPr>
        <w:tab/>
      </w:r>
      <w:r>
        <w:rPr>
          <w:noProof/>
        </w:rPr>
        <w:fldChar w:fldCharType="begin"/>
      </w:r>
      <w:r>
        <w:rPr>
          <w:noProof/>
        </w:rPr>
        <w:instrText xml:space="preserve"> PAGEREF _Toc99385506 \h </w:instrText>
      </w:r>
      <w:r>
        <w:rPr>
          <w:noProof/>
        </w:rPr>
      </w:r>
      <w:r>
        <w:rPr>
          <w:noProof/>
        </w:rPr>
        <w:fldChar w:fldCharType="separate"/>
      </w:r>
      <w:r w:rsidR="000667DB">
        <w:rPr>
          <w:noProof/>
        </w:rPr>
        <w:t>204</w:t>
      </w:r>
      <w:r>
        <w:rPr>
          <w:noProof/>
        </w:rPr>
        <w:fldChar w:fldCharType="end"/>
      </w:r>
    </w:p>
    <w:p w14:paraId="3E613504" w14:textId="7CD2BA58"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Pr>
          <w:noProof/>
        </w:rPr>
        <w:t>7.3</w:t>
      </w:r>
      <w:r>
        <w:rPr>
          <w:rFonts w:asciiTheme="minorHAnsi" w:eastAsiaTheme="minorEastAsia" w:hAnsiTheme="minorHAnsi" w:cstheme="minorBidi"/>
          <w:noProof/>
          <w:sz w:val="22"/>
          <w:lang w:val="en-CA" w:eastAsia="en-CA"/>
        </w:rPr>
        <w:tab/>
      </w:r>
      <w:r>
        <w:rPr>
          <w:noProof/>
        </w:rPr>
        <w:t>Synopsis of Chapter 3</w:t>
      </w:r>
      <w:r>
        <w:rPr>
          <w:noProof/>
        </w:rPr>
        <w:tab/>
      </w:r>
      <w:r>
        <w:rPr>
          <w:noProof/>
        </w:rPr>
        <w:fldChar w:fldCharType="begin"/>
      </w:r>
      <w:r>
        <w:rPr>
          <w:noProof/>
        </w:rPr>
        <w:instrText xml:space="preserve"> PAGEREF _Toc99385507 \h </w:instrText>
      </w:r>
      <w:r>
        <w:rPr>
          <w:noProof/>
        </w:rPr>
      </w:r>
      <w:r>
        <w:rPr>
          <w:noProof/>
        </w:rPr>
        <w:fldChar w:fldCharType="separate"/>
      </w:r>
      <w:r w:rsidR="000667DB">
        <w:rPr>
          <w:noProof/>
        </w:rPr>
        <w:t>206</w:t>
      </w:r>
      <w:r>
        <w:rPr>
          <w:noProof/>
        </w:rPr>
        <w:fldChar w:fldCharType="end"/>
      </w:r>
    </w:p>
    <w:p w14:paraId="323BB378" w14:textId="2E0D4B4E"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Pr>
          <w:noProof/>
        </w:rPr>
        <w:t>7.4</w:t>
      </w:r>
      <w:r>
        <w:rPr>
          <w:rFonts w:asciiTheme="minorHAnsi" w:eastAsiaTheme="minorEastAsia" w:hAnsiTheme="minorHAnsi" w:cstheme="minorBidi"/>
          <w:noProof/>
          <w:sz w:val="22"/>
          <w:lang w:val="en-CA" w:eastAsia="en-CA"/>
        </w:rPr>
        <w:tab/>
      </w:r>
      <w:r>
        <w:rPr>
          <w:noProof/>
        </w:rPr>
        <w:t>Synopsis of Chapter 4</w:t>
      </w:r>
      <w:r>
        <w:rPr>
          <w:noProof/>
        </w:rPr>
        <w:tab/>
      </w:r>
      <w:r>
        <w:rPr>
          <w:noProof/>
        </w:rPr>
        <w:fldChar w:fldCharType="begin"/>
      </w:r>
      <w:r>
        <w:rPr>
          <w:noProof/>
        </w:rPr>
        <w:instrText xml:space="preserve"> PAGEREF _Toc99385508 \h </w:instrText>
      </w:r>
      <w:r>
        <w:rPr>
          <w:noProof/>
        </w:rPr>
      </w:r>
      <w:r>
        <w:rPr>
          <w:noProof/>
        </w:rPr>
        <w:fldChar w:fldCharType="separate"/>
      </w:r>
      <w:r w:rsidR="000667DB">
        <w:rPr>
          <w:noProof/>
        </w:rPr>
        <w:t>207</w:t>
      </w:r>
      <w:r>
        <w:rPr>
          <w:noProof/>
        </w:rPr>
        <w:fldChar w:fldCharType="end"/>
      </w:r>
    </w:p>
    <w:p w14:paraId="3760D457" w14:textId="0584F24F"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Pr>
          <w:noProof/>
        </w:rPr>
        <w:t>7.5</w:t>
      </w:r>
      <w:r>
        <w:rPr>
          <w:rFonts w:asciiTheme="minorHAnsi" w:eastAsiaTheme="minorEastAsia" w:hAnsiTheme="minorHAnsi" w:cstheme="minorBidi"/>
          <w:noProof/>
          <w:sz w:val="22"/>
          <w:lang w:val="en-CA" w:eastAsia="en-CA"/>
        </w:rPr>
        <w:tab/>
      </w:r>
      <w:r>
        <w:rPr>
          <w:noProof/>
        </w:rPr>
        <w:t>Synopsis of Chapter 5</w:t>
      </w:r>
      <w:r>
        <w:rPr>
          <w:noProof/>
        </w:rPr>
        <w:tab/>
      </w:r>
      <w:r>
        <w:rPr>
          <w:noProof/>
        </w:rPr>
        <w:fldChar w:fldCharType="begin"/>
      </w:r>
      <w:r>
        <w:rPr>
          <w:noProof/>
        </w:rPr>
        <w:instrText xml:space="preserve"> PAGEREF _Toc99385509 \h </w:instrText>
      </w:r>
      <w:r>
        <w:rPr>
          <w:noProof/>
        </w:rPr>
      </w:r>
      <w:r>
        <w:rPr>
          <w:noProof/>
        </w:rPr>
        <w:fldChar w:fldCharType="separate"/>
      </w:r>
      <w:r w:rsidR="000667DB">
        <w:rPr>
          <w:noProof/>
        </w:rPr>
        <w:t>208</w:t>
      </w:r>
      <w:r>
        <w:rPr>
          <w:noProof/>
        </w:rPr>
        <w:fldChar w:fldCharType="end"/>
      </w:r>
    </w:p>
    <w:p w14:paraId="18BEEDF7" w14:textId="1FFBE5BD"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Pr>
          <w:noProof/>
        </w:rPr>
        <w:t>7.6</w:t>
      </w:r>
      <w:r>
        <w:rPr>
          <w:rFonts w:asciiTheme="minorHAnsi" w:eastAsiaTheme="minorEastAsia" w:hAnsiTheme="minorHAnsi" w:cstheme="minorBidi"/>
          <w:noProof/>
          <w:sz w:val="22"/>
          <w:lang w:val="en-CA" w:eastAsia="en-CA"/>
        </w:rPr>
        <w:tab/>
      </w:r>
      <w:r>
        <w:rPr>
          <w:noProof/>
        </w:rPr>
        <w:t>Synopsis of Chapter 6</w:t>
      </w:r>
      <w:r>
        <w:rPr>
          <w:noProof/>
        </w:rPr>
        <w:tab/>
      </w:r>
      <w:r>
        <w:rPr>
          <w:noProof/>
        </w:rPr>
        <w:fldChar w:fldCharType="begin"/>
      </w:r>
      <w:r>
        <w:rPr>
          <w:noProof/>
        </w:rPr>
        <w:instrText xml:space="preserve"> PAGEREF _Toc99385510 \h </w:instrText>
      </w:r>
      <w:r>
        <w:rPr>
          <w:noProof/>
        </w:rPr>
      </w:r>
      <w:r>
        <w:rPr>
          <w:noProof/>
        </w:rPr>
        <w:fldChar w:fldCharType="separate"/>
      </w:r>
      <w:r w:rsidR="000667DB">
        <w:rPr>
          <w:noProof/>
        </w:rPr>
        <w:t>209</w:t>
      </w:r>
      <w:r>
        <w:rPr>
          <w:noProof/>
        </w:rPr>
        <w:fldChar w:fldCharType="end"/>
      </w:r>
    </w:p>
    <w:p w14:paraId="6FBBE6D5" w14:textId="03C2BCB4"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Pr>
          <w:noProof/>
        </w:rPr>
        <w:t>7.7</w:t>
      </w:r>
      <w:r>
        <w:rPr>
          <w:rFonts w:asciiTheme="minorHAnsi" w:eastAsiaTheme="minorEastAsia" w:hAnsiTheme="minorHAnsi" w:cstheme="minorBidi"/>
          <w:noProof/>
          <w:sz w:val="22"/>
          <w:lang w:val="en-CA" w:eastAsia="en-CA"/>
        </w:rPr>
        <w:tab/>
      </w:r>
      <w:r>
        <w:rPr>
          <w:noProof/>
        </w:rPr>
        <w:t>Research strengths and limitations</w:t>
      </w:r>
      <w:r>
        <w:rPr>
          <w:noProof/>
        </w:rPr>
        <w:tab/>
      </w:r>
      <w:r>
        <w:rPr>
          <w:noProof/>
        </w:rPr>
        <w:fldChar w:fldCharType="begin"/>
      </w:r>
      <w:r>
        <w:rPr>
          <w:noProof/>
        </w:rPr>
        <w:instrText xml:space="preserve"> PAGEREF _Toc99385511 \h </w:instrText>
      </w:r>
      <w:r>
        <w:rPr>
          <w:noProof/>
        </w:rPr>
      </w:r>
      <w:r>
        <w:rPr>
          <w:noProof/>
        </w:rPr>
        <w:fldChar w:fldCharType="separate"/>
      </w:r>
      <w:r w:rsidR="000667DB">
        <w:rPr>
          <w:noProof/>
        </w:rPr>
        <w:t>210</w:t>
      </w:r>
      <w:r>
        <w:rPr>
          <w:noProof/>
        </w:rPr>
        <w:fldChar w:fldCharType="end"/>
      </w:r>
    </w:p>
    <w:p w14:paraId="16936BDF" w14:textId="5A04C07B"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7.7.1</w:t>
      </w:r>
      <w:r>
        <w:rPr>
          <w:rFonts w:asciiTheme="minorHAnsi" w:eastAsiaTheme="minorEastAsia" w:hAnsiTheme="minorHAnsi" w:cstheme="minorBidi"/>
          <w:noProof/>
          <w:sz w:val="22"/>
          <w:lang w:val="en-CA" w:eastAsia="en-CA"/>
        </w:rPr>
        <w:tab/>
      </w:r>
      <w:r>
        <w:rPr>
          <w:noProof/>
        </w:rPr>
        <w:t>Design strengths and limitations</w:t>
      </w:r>
      <w:r>
        <w:rPr>
          <w:noProof/>
        </w:rPr>
        <w:tab/>
      </w:r>
      <w:r>
        <w:rPr>
          <w:noProof/>
        </w:rPr>
        <w:fldChar w:fldCharType="begin"/>
      </w:r>
      <w:r>
        <w:rPr>
          <w:noProof/>
        </w:rPr>
        <w:instrText xml:space="preserve"> PAGEREF _Toc99385512 \h </w:instrText>
      </w:r>
      <w:r>
        <w:rPr>
          <w:noProof/>
        </w:rPr>
      </w:r>
      <w:r>
        <w:rPr>
          <w:noProof/>
        </w:rPr>
        <w:fldChar w:fldCharType="separate"/>
      </w:r>
      <w:r w:rsidR="000667DB">
        <w:rPr>
          <w:noProof/>
        </w:rPr>
        <w:t>210</w:t>
      </w:r>
      <w:r>
        <w:rPr>
          <w:noProof/>
        </w:rPr>
        <w:fldChar w:fldCharType="end"/>
      </w:r>
    </w:p>
    <w:p w14:paraId="309E1278" w14:textId="0C800DA3" w:rsidR="00276430" w:rsidRDefault="00276430">
      <w:pPr>
        <w:pStyle w:val="TOC4"/>
        <w:tabs>
          <w:tab w:val="left" w:pos="1680"/>
          <w:tab w:val="right" w:leader="dot" w:pos="9350"/>
        </w:tabs>
        <w:rPr>
          <w:rFonts w:asciiTheme="minorHAnsi" w:eastAsiaTheme="minorEastAsia" w:hAnsiTheme="minorHAnsi" w:cstheme="minorBidi"/>
          <w:noProof/>
          <w:sz w:val="22"/>
          <w:szCs w:val="22"/>
          <w:lang w:val="en-CA" w:eastAsia="en-CA"/>
        </w:rPr>
      </w:pPr>
      <w:r>
        <w:rPr>
          <w:noProof/>
        </w:rPr>
        <w:t>7.7.1.1</w:t>
      </w:r>
      <w:r>
        <w:rPr>
          <w:rFonts w:asciiTheme="minorHAnsi" w:eastAsiaTheme="minorEastAsia" w:hAnsiTheme="minorHAnsi" w:cstheme="minorBidi"/>
          <w:noProof/>
          <w:sz w:val="22"/>
          <w:szCs w:val="22"/>
          <w:lang w:val="en-CA" w:eastAsia="en-CA"/>
        </w:rPr>
        <w:tab/>
      </w:r>
      <w:r>
        <w:rPr>
          <w:noProof/>
        </w:rPr>
        <w:t>Regional salmon density gradient design</w:t>
      </w:r>
      <w:r>
        <w:rPr>
          <w:noProof/>
        </w:rPr>
        <w:tab/>
      </w:r>
      <w:r>
        <w:rPr>
          <w:noProof/>
        </w:rPr>
        <w:fldChar w:fldCharType="begin"/>
      </w:r>
      <w:r>
        <w:rPr>
          <w:noProof/>
        </w:rPr>
        <w:instrText xml:space="preserve"> PAGEREF _Toc99385513 \h </w:instrText>
      </w:r>
      <w:r>
        <w:rPr>
          <w:noProof/>
        </w:rPr>
      </w:r>
      <w:r>
        <w:rPr>
          <w:noProof/>
        </w:rPr>
        <w:fldChar w:fldCharType="separate"/>
      </w:r>
      <w:r w:rsidR="000667DB">
        <w:rPr>
          <w:noProof/>
        </w:rPr>
        <w:t>210</w:t>
      </w:r>
      <w:r>
        <w:rPr>
          <w:noProof/>
        </w:rPr>
        <w:fldChar w:fldCharType="end"/>
      </w:r>
    </w:p>
    <w:p w14:paraId="3B3751DF" w14:textId="06705985" w:rsidR="00276430" w:rsidRDefault="00276430">
      <w:pPr>
        <w:pStyle w:val="TOC4"/>
        <w:tabs>
          <w:tab w:val="left" w:pos="1680"/>
          <w:tab w:val="right" w:leader="dot" w:pos="9350"/>
        </w:tabs>
        <w:rPr>
          <w:rFonts w:asciiTheme="minorHAnsi" w:eastAsiaTheme="minorEastAsia" w:hAnsiTheme="minorHAnsi" w:cstheme="minorBidi"/>
          <w:noProof/>
          <w:sz w:val="22"/>
          <w:szCs w:val="22"/>
          <w:lang w:val="en-CA" w:eastAsia="en-CA"/>
        </w:rPr>
      </w:pPr>
      <w:r>
        <w:rPr>
          <w:noProof/>
        </w:rPr>
        <w:t>7.7.1.2</w:t>
      </w:r>
      <w:r>
        <w:rPr>
          <w:rFonts w:asciiTheme="minorHAnsi" w:eastAsiaTheme="minorEastAsia" w:hAnsiTheme="minorHAnsi" w:cstheme="minorBidi"/>
          <w:noProof/>
          <w:sz w:val="22"/>
          <w:szCs w:val="22"/>
          <w:lang w:val="en-CA" w:eastAsia="en-CA"/>
        </w:rPr>
        <w:tab/>
      </w:r>
      <w:r>
        <w:rPr>
          <w:noProof/>
        </w:rPr>
        <w:t>Above and below waterfall design</w:t>
      </w:r>
      <w:r>
        <w:rPr>
          <w:noProof/>
        </w:rPr>
        <w:tab/>
      </w:r>
      <w:r>
        <w:rPr>
          <w:noProof/>
        </w:rPr>
        <w:fldChar w:fldCharType="begin"/>
      </w:r>
      <w:r>
        <w:rPr>
          <w:noProof/>
        </w:rPr>
        <w:instrText xml:space="preserve"> PAGEREF _Toc99385514 \h </w:instrText>
      </w:r>
      <w:r>
        <w:rPr>
          <w:noProof/>
        </w:rPr>
      </w:r>
      <w:r>
        <w:rPr>
          <w:noProof/>
        </w:rPr>
        <w:fldChar w:fldCharType="separate"/>
      </w:r>
      <w:r w:rsidR="000667DB">
        <w:rPr>
          <w:noProof/>
        </w:rPr>
        <w:t>211</w:t>
      </w:r>
      <w:r>
        <w:rPr>
          <w:noProof/>
        </w:rPr>
        <w:fldChar w:fldCharType="end"/>
      </w:r>
    </w:p>
    <w:p w14:paraId="544CAE67" w14:textId="372F6064" w:rsidR="00276430" w:rsidRDefault="00276430">
      <w:pPr>
        <w:pStyle w:val="TOC4"/>
        <w:tabs>
          <w:tab w:val="left" w:pos="1680"/>
          <w:tab w:val="right" w:leader="dot" w:pos="9350"/>
        </w:tabs>
        <w:rPr>
          <w:rFonts w:asciiTheme="minorHAnsi" w:eastAsiaTheme="minorEastAsia" w:hAnsiTheme="minorHAnsi" w:cstheme="minorBidi"/>
          <w:noProof/>
          <w:sz w:val="22"/>
          <w:szCs w:val="22"/>
          <w:lang w:val="en-CA" w:eastAsia="en-CA"/>
        </w:rPr>
      </w:pPr>
      <w:r>
        <w:rPr>
          <w:noProof/>
        </w:rPr>
        <w:t>7.7.1.3</w:t>
      </w:r>
      <w:r>
        <w:rPr>
          <w:rFonts w:asciiTheme="minorHAnsi" w:eastAsiaTheme="minorEastAsia" w:hAnsiTheme="minorHAnsi" w:cstheme="minorBidi"/>
          <w:noProof/>
          <w:sz w:val="22"/>
          <w:szCs w:val="22"/>
          <w:lang w:val="en-CA" w:eastAsia="en-CA"/>
        </w:rPr>
        <w:tab/>
      </w:r>
      <w:r>
        <w:rPr>
          <w:noProof/>
        </w:rPr>
        <w:t>Common limitations to both designs</w:t>
      </w:r>
      <w:r>
        <w:rPr>
          <w:noProof/>
        </w:rPr>
        <w:tab/>
      </w:r>
      <w:r>
        <w:rPr>
          <w:noProof/>
        </w:rPr>
        <w:fldChar w:fldCharType="begin"/>
      </w:r>
      <w:r>
        <w:rPr>
          <w:noProof/>
        </w:rPr>
        <w:instrText xml:space="preserve"> PAGEREF _Toc99385515 \h </w:instrText>
      </w:r>
      <w:r>
        <w:rPr>
          <w:noProof/>
        </w:rPr>
      </w:r>
      <w:r>
        <w:rPr>
          <w:noProof/>
        </w:rPr>
        <w:fldChar w:fldCharType="separate"/>
      </w:r>
      <w:r w:rsidR="000667DB">
        <w:rPr>
          <w:noProof/>
        </w:rPr>
        <w:t>211</w:t>
      </w:r>
      <w:r>
        <w:rPr>
          <w:noProof/>
        </w:rPr>
        <w:fldChar w:fldCharType="end"/>
      </w:r>
    </w:p>
    <w:p w14:paraId="1CCB8FD2" w14:textId="015D1FF3"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7.7.2</w:t>
      </w:r>
      <w:r>
        <w:rPr>
          <w:rFonts w:asciiTheme="minorHAnsi" w:eastAsiaTheme="minorEastAsia" w:hAnsiTheme="minorHAnsi" w:cstheme="minorBidi"/>
          <w:noProof/>
          <w:sz w:val="22"/>
          <w:lang w:val="en-CA" w:eastAsia="en-CA"/>
        </w:rPr>
        <w:tab/>
      </w:r>
      <w:r>
        <w:rPr>
          <w:noProof/>
        </w:rPr>
        <w:t>Molecular characterization of fungal and bacterial communities: from sequences to function</w:t>
      </w:r>
      <w:r>
        <w:rPr>
          <w:noProof/>
        </w:rPr>
        <w:tab/>
      </w:r>
      <w:r>
        <w:rPr>
          <w:noProof/>
        </w:rPr>
        <w:fldChar w:fldCharType="begin"/>
      </w:r>
      <w:r>
        <w:rPr>
          <w:noProof/>
        </w:rPr>
        <w:instrText xml:space="preserve"> PAGEREF _Toc99385516 \h </w:instrText>
      </w:r>
      <w:r>
        <w:rPr>
          <w:noProof/>
        </w:rPr>
      </w:r>
      <w:r>
        <w:rPr>
          <w:noProof/>
        </w:rPr>
        <w:fldChar w:fldCharType="separate"/>
      </w:r>
      <w:r w:rsidR="000667DB">
        <w:rPr>
          <w:noProof/>
        </w:rPr>
        <w:t>212</w:t>
      </w:r>
      <w:r>
        <w:rPr>
          <w:noProof/>
        </w:rPr>
        <w:fldChar w:fldCharType="end"/>
      </w:r>
    </w:p>
    <w:p w14:paraId="48591C11" w14:textId="36222263"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Pr>
          <w:noProof/>
        </w:rPr>
        <w:t>7.8</w:t>
      </w:r>
      <w:r>
        <w:rPr>
          <w:rFonts w:asciiTheme="minorHAnsi" w:eastAsiaTheme="minorEastAsia" w:hAnsiTheme="minorHAnsi" w:cstheme="minorBidi"/>
          <w:noProof/>
          <w:sz w:val="22"/>
          <w:lang w:val="en-CA" w:eastAsia="en-CA"/>
        </w:rPr>
        <w:tab/>
      </w:r>
      <w:r>
        <w:rPr>
          <w:noProof/>
        </w:rPr>
        <w:t>Next steps</w:t>
      </w:r>
      <w:r>
        <w:rPr>
          <w:noProof/>
        </w:rPr>
        <w:tab/>
      </w:r>
      <w:r>
        <w:rPr>
          <w:noProof/>
        </w:rPr>
        <w:fldChar w:fldCharType="begin"/>
      </w:r>
      <w:r>
        <w:rPr>
          <w:noProof/>
        </w:rPr>
        <w:instrText xml:space="preserve"> PAGEREF _Toc99385517 \h </w:instrText>
      </w:r>
      <w:r>
        <w:rPr>
          <w:noProof/>
        </w:rPr>
      </w:r>
      <w:r>
        <w:rPr>
          <w:noProof/>
        </w:rPr>
        <w:fldChar w:fldCharType="separate"/>
      </w:r>
      <w:r w:rsidR="000667DB">
        <w:rPr>
          <w:noProof/>
        </w:rPr>
        <w:t>213</w:t>
      </w:r>
      <w:r>
        <w:rPr>
          <w:noProof/>
        </w:rPr>
        <w:fldChar w:fldCharType="end"/>
      </w:r>
    </w:p>
    <w:p w14:paraId="1D969B88" w14:textId="2054C9F2"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sidRPr="00486000">
        <w:rPr>
          <w:noProof/>
          <w:lang w:val="en-CA"/>
        </w:rPr>
        <w:t>7.8.1</w:t>
      </w:r>
      <w:r>
        <w:rPr>
          <w:rFonts w:asciiTheme="minorHAnsi" w:eastAsiaTheme="minorEastAsia" w:hAnsiTheme="minorHAnsi" w:cstheme="minorBidi"/>
          <w:noProof/>
          <w:sz w:val="22"/>
          <w:lang w:val="en-CA" w:eastAsia="en-CA"/>
        </w:rPr>
        <w:tab/>
      </w:r>
      <w:r w:rsidRPr="00486000">
        <w:rPr>
          <w:noProof/>
          <w:lang w:val="en-CA"/>
        </w:rPr>
        <w:t>Next steps for salmon forest soil chemistry and ecosystem functioning</w:t>
      </w:r>
      <w:r>
        <w:rPr>
          <w:noProof/>
        </w:rPr>
        <w:tab/>
      </w:r>
      <w:r>
        <w:rPr>
          <w:noProof/>
        </w:rPr>
        <w:fldChar w:fldCharType="begin"/>
      </w:r>
      <w:r>
        <w:rPr>
          <w:noProof/>
        </w:rPr>
        <w:instrText xml:space="preserve"> PAGEREF _Toc99385518 \h </w:instrText>
      </w:r>
      <w:r>
        <w:rPr>
          <w:noProof/>
        </w:rPr>
      </w:r>
      <w:r>
        <w:rPr>
          <w:noProof/>
        </w:rPr>
        <w:fldChar w:fldCharType="separate"/>
      </w:r>
      <w:r w:rsidR="000667DB">
        <w:rPr>
          <w:noProof/>
        </w:rPr>
        <w:t>213</w:t>
      </w:r>
      <w:r>
        <w:rPr>
          <w:noProof/>
        </w:rPr>
        <w:fldChar w:fldCharType="end"/>
      </w:r>
    </w:p>
    <w:p w14:paraId="35D984B4" w14:textId="324CDC96"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sidRPr="00486000">
        <w:rPr>
          <w:noProof/>
          <w:lang w:val="en-CA"/>
        </w:rPr>
        <w:t>7.8.2</w:t>
      </w:r>
      <w:r>
        <w:rPr>
          <w:rFonts w:asciiTheme="minorHAnsi" w:eastAsiaTheme="minorEastAsia" w:hAnsiTheme="minorHAnsi" w:cstheme="minorBidi"/>
          <w:noProof/>
          <w:sz w:val="22"/>
          <w:lang w:val="en-CA" w:eastAsia="en-CA"/>
        </w:rPr>
        <w:tab/>
      </w:r>
      <w:r w:rsidRPr="00486000">
        <w:rPr>
          <w:noProof/>
          <w:lang w:val="en-CA"/>
        </w:rPr>
        <w:t>Next steps for soil community ecology</w:t>
      </w:r>
      <w:r>
        <w:rPr>
          <w:noProof/>
        </w:rPr>
        <w:tab/>
      </w:r>
      <w:r>
        <w:rPr>
          <w:noProof/>
        </w:rPr>
        <w:fldChar w:fldCharType="begin"/>
      </w:r>
      <w:r>
        <w:rPr>
          <w:noProof/>
        </w:rPr>
        <w:instrText xml:space="preserve"> PAGEREF _Toc99385519 \h </w:instrText>
      </w:r>
      <w:r>
        <w:rPr>
          <w:noProof/>
        </w:rPr>
      </w:r>
      <w:r>
        <w:rPr>
          <w:noProof/>
        </w:rPr>
        <w:fldChar w:fldCharType="separate"/>
      </w:r>
      <w:r w:rsidR="000667DB">
        <w:rPr>
          <w:noProof/>
        </w:rPr>
        <w:t>214</w:t>
      </w:r>
      <w:r>
        <w:rPr>
          <w:noProof/>
        </w:rPr>
        <w:fldChar w:fldCharType="end"/>
      </w:r>
    </w:p>
    <w:p w14:paraId="74C4AE20" w14:textId="16FAC53E"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Pr>
          <w:noProof/>
        </w:rPr>
        <w:t>7.9</w:t>
      </w:r>
      <w:r>
        <w:rPr>
          <w:rFonts w:asciiTheme="minorHAnsi" w:eastAsiaTheme="minorEastAsia" w:hAnsiTheme="minorHAnsi" w:cstheme="minorBidi"/>
          <w:noProof/>
          <w:sz w:val="22"/>
          <w:lang w:val="en-CA" w:eastAsia="en-CA"/>
        </w:rPr>
        <w:tab/>
      </w:r>
      <w:r>
        <w:rPr>
          <w:noProof/>
        </w:rPr>
        <w:t>Implications for local people and the Heiltsuk Nation</w:t>
      </w:r>
      <w:r>
        <w:rPr>
          <w:noProof/>
        </w:rPr>
        <w:tab/>
      </w:r>
      <w:r>
        <w:rPr>
          <w:noProof/>
        </w:rPr>
        <w:fldChar w:fldCharType="begin"/>
      </w:r>
      <w:r>
        <w:rPr>
          <w:noProof/>
        </w:rPr>
        <w:instrText xml:space="preserve"> PAGEREF _Toc99385520 \h </w:instrText>
      </w:r>
      <w:r>
        <w:rPr>
          <w:noProof/>
        </w:rPr>
      </w:r>
      <w:r>
        <w:rPr>
          <w:noProof/>
        </w:rPr>
        <w:fldChar w:fldCharType="separate"/>
      </w:r>
      <w:r w:rsidR="000667DB">
        <w:rPr>
          <w:noProof/>
        </w:rPr>
        <w:t>215</w:t>
      </w:r>
      <w:r>
        <w:rPr>
          <w:noProof/>
        </w:rPr>
        <w:fldChar w:fldCharType="end"/>
      </w:r>
    </w:p>
    <w:p w14:paraId="3858FF6E" w14:textId="608973DC" w:rsidR="00276430" w:rsidRDefault="00276430">
      <w:pPr>
        <w:pStyle w:val="TOC2"/>
        <w:tabs>
          <w:tab w:val="left" w:pos="960"/>
          <w:tab w:val="right" w:leader="dot" w:pos="9350"/>
        </w:tabs>
        <w:rPr>
          <w:rFonts w:asciiTheme="minorHAnsi" w:eastAsiaTheme="minorEastAsia" w:hAnsiTheme="minorHAnsi" w:cstheme="minorBidi"/>
          <w:noProof/>
          <w:sz w:val="22"/>
          <w:lang w:val="en-CA" w:eastAsia="en-CA"/>
        </w:rPr>
      </w:pPr>
      <w:r>
        <w:rPr>
          <w:noProof/>
        </w:rPr>
        <w:t>7.10</w:t>
      </w:r>
      <w:r>
        <w:rPr>
          <w:rFonts w:asciiTheme="minorHAnsi" w:eastAsiaTheme="minorEastAsia" w:hAnsiTheme="minorHAnsi" w:cstheme="minorBidi"/>
          <w:noProof/>
          <w:sz w:val="22"/>
          <w:lang w:val="en-CA" w:eastAsia="en-CA"/>
        </w:rPr>
        <w:tab/>
      </w:r>
      <w:r>
        <w:rPr>
          <w:noProof/>
        </w:rPr>
        <w:t>Conclusion</w:t>
      </w:r>
      <w:r>
        <w:rPr>
          <w:noProof/>
        </w:rPr>
        <w:tab/>
      </w:r>
      <w:r>
        <w:rPr>
          <w:noProof/>
        </w:rPr>
        <w:fldChar w:fldCharType="begin"/>
      </w:r>
      <w:r>
        <w:rPr>
          <w:noProof/>
        </w:rPr>
        <w:instrText xml:space="preserve"> PAGEREF _Toc99385521 \h </w:instrText>
      </w:r>
      <w:r>
        <w:rPr>
          <w:noProof/>
        </w:rPr>
      </w:r>
      <w:r>
        <w:rPr>
          <w:noProof/>
        </w:rPr>
        <w:fldChar w:fldCharType="separate"/>
      </w:r>
      <w:r w:rsidR="000667DB">
        <w:rPr>
          <w:noProof/>
        </w:rPr>
        <w:t>216</w:t>
      </w:r>
      <w:r>
        <w:rPr>
          <w:noProof/>
        </w:rPr>
        <w:fldChar w:fldCharType="end"/>
      </w:r>
    </w:p>
    <w:p w14:paraId="494BF7E7" w14:textId="5AC9C0F5" w:rsidR="00276430" w:rsidRDefault="00276430">
      <w:pPr>
        <w:pStyle w:val="TOC1"/>
        <w:rPr>
          <w:rFonts w:asciiTheme="minorHAnsi" w:eastAsiaTheme="minorEastAsia" w:hAnsiTheme="minorHAnsi" w:cstheme="minorBidi"/>
          <w:b w:val="0"/>
          <w:noProof/>
          <w:sz w:val="22"/>
          <w:szCs w:val="22"/>
          <w:lang w:val="en-CA" w:eastAsia="en-CA"/>
        </w:rPr>
      </w:pPr>
      <w:r>
        <w:rPr>
          <w:noProof/>
        </w:rPr>
        <w:t>Bibliography</w:t>
      </w:r>
      <w:r>
        <w:rPr>
          <w:noProof/>
        </w:rPr>
        <w:tab/>
      </w:r>
      <w:r>
        <w:rPr>
          <w:noProof/>
        </w:rPr>
        <w:fldChar w:fldCharType="begin"/>
      </w:r>
      <w:r>
        <w:rPr>
          <w:noProof/>
        </w:rPr>
        <w:instrText xml:space="preserve"> PAGEREF _Toc99385522 \h </w:instrText>
      </w:r>
      <w:r>
        <w:rPr>
          <w:noProof/>
        </w:rPr>
      </w:r>
      <w:r>
        <w:rPr>
          <w:noProof/>
        </w:rPr>
        <w:fldChar w:fldCharType="separate"/>
      </w:r>
      <w:r w:rsidR="000667DB">
        <w:rPr>
          <w:noProof/>
        </w:rPr>
        <w:t>219</w:t>
      </w:r>
      <w:r>
        <w:rPr>
          <w:noProof/>
        </w:rPr>
        <w:fldChar w:fldCharType="end"/>
      </w:r>
    </w:p>
    <w:p w14:paraId="027223B3" w14:textId="56BB51D7" w:rsidR="00276430" w:rsidRDefault="00276430">
      <w:pPr>
        <w:pStyle w:val="TOC2"/>
        <w:tabs>
          <w:tab w:val="right" w:leader="dot" w:pos="9350"/>
        </w:tabs>
        <w:rPr>
          <w:rFonts w:asciiTheme="minorHAnsi" w:eastAsiaTheme="minorEastAsia" w:hAnsiTheme="minorHAnsi" w:cstheme="minorBidi"/>
          <w:noProof/>
          <w:sz w:val="22"/>
          <w:lang w:val="en-CA" w:eastAsia="en-CA"/>
        </w:rPr>
      </w:pPr>
      <w:r>
        <w:rPr>
          <w:noProof/>
        </w:rPr>
        <w:t>Appendix A : Study Sites</w:t>
      </w:r>
      <w:r>
        <w:rPr>
          <w:noProof/>
        </w:rPr>
        <w:tab/>
      </w:r>
      <w:r>
        <w:rPr>
          <w:noProof/>
        </w:rPr>
        <w:fldChar w:fldCharType="begin"/>
      </w:r>
      <w:r>
        <w:rPr>
          <w:noProof/>
        </w:rPr>
        <w:instrText xml:space="preserve"> PAGEREF _Toc99385523 \h </w:instrText>
      </w:r>
      <w:r>
        <w:rPr>
          <w:noProof/>
        </w:rPr>
      </w:r>
      <w:r>
        <w:rPr>
          <w:noProof/>
        </w:rPr>
        <w:fldChar w:fldCharType="separate"/>
      </w:r>
      <w:r w:rsidR="000667DB">
        <w:rPr>
          <w:noProof/>
        </w:rPr>
        <w:t>295</w:t>
      </w:r>
      <w:r>
        <w:rPr>
          <w:noProof/>
        </w:rPr>
        <w:fldChar w:fldCharType="end"/>
      </w:r>
    </w:p>
    <w:p w14:paraId="6FD04824" w14:textId="0103B86A"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A.1</w:t>
      </w:r>
      <w:r>
        <w:rPr>
          <w:rFonts w:asciiTheme="minorHAnsi" w:eastAsiaTheme="minorEastAsia" w:hAnsiTheme="minorHAnsi" w:cstheme="minorBidi"/>
          <w:noProof/>
          <w:sz w:val="22"/>
          <w:lang w:val="en-CA" w:eastAsia="en-CA"/>
        </w:rPr>
        <w:tab/>
      </w:r>
      <w:r>
        <w:rPr>
          <w:noProof/>
        </w:rPr>
        <w:t>The Central Coast of British Columbia</w:t>
      </w:r>
      <w:r>
        <w:rPr>
          <w:noProof/>
        </w:rPr>
        <w:tab/>
      </w:r>
      <w:r>
        <w:rPr>
          <w:noProof/>
        </w:rPr>
        <w:fldChar w:fldCharType="begin"/>
      </w:r>
      <w:r>
        <w:rPr>
          <w:noProof/>
        </w:rPr>
        <w:instrText xml:space="preserve"> PAGEREF _Toc99385524 \h </w:instrText>
      </w:r>
      <w:r>
        <w:rPr>
          <w:noProof/>
        </w:rPr>
      </w:r>
      <w:r>
        <w:rPr>
          <w:noProof/>
        </w:rPr>
        <w:fldChar w:fldCharType="separate"/>
      </w:r>
      <w:r w:rsidR="000667DB">
        <w:rPr>
          <w:noProof/>
        </w:rPr>
        <w:t>295</w:t>
      </w:r>
      <w:r>
        <w:rPr>
          <w:noProof/>
        </w:rPr>
        <w:fldChar w:fldCharType="end"/>
      </w:r>
    </w:p>
    <w:p w14:paraId="246C7D2D" w14:textId="0428BD3A"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A.2</w:t>
      </w:r>
      <w:r>
        <w:rPr>
          <w:rFonts w:asciiTheme="minorHAnsi" w:eastAsiaTheme="minorEastAsia" w:hAnsiTheme="minorHAnsi" w:cstheme="minorBidi"/>
          <w:noProof/>
          <w:sz w:val="22"/>
          <w:lang w:val="en-CA" w:eastAsia="en-CA"/>
        </w:rPr>
        <w:tab/>
      </w:r>
      <w:r>
        <w:rPr>
          <w:noProof/>
        </w:rPr>
        <w:t>Regional Geology</w:t>
      </w:r>
      <w:r>
        <w:rPr>
          <w:noProof/>
        </w:rPr>
        <w:tab/>
      </w:r>
      <w:r>
        <w:rPr>
          <w:noProof/>
        </w:rPr>
        <w:fldChar w:fldCharType="begin"/>
      </w:r>
      <w:r>
        <w:rPr>
          <w:noProof/>
        </w:rPr>
        <w:instrText xml:space="preserve"> PAGEREF _Toc99385525 \h </w:instrText>
      </w:r>
      <w:r>
        <w:rPr>
          <w:noProof/>
        </w:rPr>
      </w:r>
      <w:r>
        <w:rPr>
          <w:noProof/>
        </w:rPr>
        <w:fldChar w:fldCharType="separate"/>
      </w:r>
      <w:r w:rsidR="000667DB">
        <w:rPr>
          <w:noProof/>
        </w:rPr>
        <w:t>296</w:t>
      </w:r>
      <w:r>
        <w:rPr>
          <w:noProof/>
        </w:rPr>
        <w:fldChar w:fldCharType="end"/>
      </w:r>
    </w:p>
    <w:p w14:paraId="710AE7B5" w14:textId="77D32626"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A.3</w:t>
      </w:r>
      <w:r>
        <w:rPr>
          <w:rFonts w:asciiTheme="minorHAnsi" w:eastAsiaTheme="minorEastAsia" w:hAnsiTheme="minorHAnsi" w:cstheme="minorBidi"/>
          <w:noProof/>
          <w:sz w:val="22"/>
          <w:lang w:val="en-CA" w:eastAsia="en-CA"/>
        </w:rPr>
        <w:tab/>
      </w:r>
      <w:r>
        <w:rPr>
          <w:noProof/>
        </w:rPr>
        <w:t>Regional Soils</w:t>
      </w:r>
      <w:r>
        <w:rPr>
          <w:noProof/>
        </w:rPr>
        <w:tab/>
      </w:r>
      <w:r>
        <w:rPr>
          <w:noProof/>
        </w:rPr>
        <w:fldChar w:fldCharType="begin"/>
      </w:r>
      <w:r>
        <w:rPr>
          <w:noProof/>
        </w:rPr>
        <w:instrText xml:space="preserve"> PAGEREF _Toc99385526 \h </w:instrText>
      </w:r>
      <w:r>
        <w:rPr>
          <w:noProof/>
        </w:rPr>
      </w:r>
      <w:r>
        <w:rPr>
          <w:noProof/>
        </w:rPr>
        <w:fldChar w:fldCharType="separate"/>
      </w:r>
      <w:r w:rsidR="000667DB">
        <w:rPr>
          <w:noProof/>
        </w:rPr>
        <w:t>297</w:t>
      </w:r>
      <w:r>
        <w:rPr>
          <w:noProof/>
        </w:rPr>
        <w:fldChar w:fldCharType="end"/>
      </w:r>
    </w:p>
    <w:p w14:paraId="4A680C14" w14:textId="05089D65"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A.4</w:t>
      </w:r>
      <w:r>
        <w:rPr>
          <w:rFonts w:asciiTheme="minorHAnsi" w:eastAsiaTheme="minorEastAsia" w:hAnsiTheme="minorHAnsi" w:cstheme="minorBidi"/>
          <w:noProof/>
          <w:sz w:val="22"/>
          <w:lang w:val="en-CA" w:eastAsia="en-CA"/>
        </w:rPr>
        <w:tab/>
      </w:r>
      <w:r>
        <w:rPr>
          <w:noProof/>
        </w:rPr>
        <w:t>Site details</w:t>
      </w:r>
      <w:r>
        <w:rPr>
          <w:noProof/>
        </w:rPr>
        <w:tab/>
      </w:r>
      <w:r>
        <w:rPr>
          <w:noProof/>
        </w:rPr>
        <w:fldChar w:fldCharType="begin"/>
      </w:r>
      <w:r>
        <w:rPr>
          <w:noProof/>
        </w:rPr>
        <w:instrText xml:space="preserve"> PAGEREF _Toc99385527 \h </w:instrText>
      </w:r>
      <w:r>
        <w:rPr>
          <w:noProof/>
        </w:rPr>
      </w:r>
      <w:r>
        <w:rPr>
          <w:noProof/>
        </w:rPr>
        <w:fldChar w:fldCharType="separate"/>
      </w:r>
      <w:r w:rsidR="000667DB">
        <w:rPr>
          <w:noProof/>
        </w:rPr>
        <w:t>298</w:t>
      </w:r>
      <w:r>
        <w:rPr>
          <w:noProof/>
        </w:rPr>
        <w:fldChar w:fldCharType="end"/>
      </w:r>
    </w:p>
    <w:p w14:paraId="14A448E4" w14:textId="09CB38D9"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A.5</w:t>
      </w:r>
      <w:r>
        <w:rPr>
          <w:rFonts w:asciiTheme="minorHAnsi" w:eastAsiaTheme="minorEastAsia" w:hAnsiTheme="minorHAnsi" w:cstheme="minorBidi"/>
          <w:noProof/>
          <w:sz w:val="22"/>
          <w:lang w:val="en-CA" w:eastAsia="en-CA"/>
        </w:rPr>
        <w:tab/>
      </w:r>
      <w:r>
        <w:rPr>
          <w:noProof/>
        </w:rPr>
        <w:t>Watershed size indices</w:t>
      </w:r>
      <w:r>
        <w:rPr>
          <w:noProof/>
        </w:rPr>
        <w:tab/>
      </w:r>
      <w:r>
        <w:rPr>
          <w:noProof/>
        </w:rPr>
        <w:fldChar w:fldCharType="begin"/>
      </w:r>
      <w:r>
        <w:rPr>
          <w:noProof/>
        </w:rPr>
        <w:instrText xml:space="preserve"> PAGEREF _Toc99385528 \h </w:instrText>
      </w:r>
      <w:r>
        <w:rPr>
          <w:noProof/>
        </w:rPr>
      </w:r>
      <w:r>
        <w:rPr>
          <w:noProof/>
        </w:rPr>
        <w:fldChar w:fldCharType="separate"/>
      </w:r>
      <w:r w:rsidR="000667DB">
        <w:rPr>
          <w:noProof/>
        </w:rPr>
        <w:t>298</w:t>
      </w:r>
      <w:r>
        <w:rPr>
          <w:noProof/>
        </w:rPr>
        <w:fldChar w:fldCharType="end"/>
      </w:r>
    </w:p>
    <w:p w14:paraId="7D8CFC56" w14:textId="30AEC487" w:rsidR="00276430" w:rsidRDefault="00276430">
      <w:pPr>
        <w:pStyle w:val="TOC2"/>
        <w:tabs>
          <w:tab w:val="right" w:leader="dot" w:pos="9350"/>
        </w:tabs>
        <w:rPr>
          <w:rFonts w:asciiTheme="minorHAnsi" w:eastAsiaTheme="minorEastAsia" w:hAnsiTheme="minorHAnsi" w:cstheme="minorBidi"/>
          <w:noProof/>
          <w:sz w:val="22"/>
          <w:lang w:val="en-CA" w:eastAsia="en-CA"/>
        </w:rPr>
      </w:pPr>
      <w:r>
        <w:rPr>
          <w:noProof/>
        </w:rPr>
        <w:t>Appendix B Salmon Density</w:t>
      </w:r>
      <w:r>
        <w:rPr>
          <w:noProof/>
        </w:rPr>
        <w:tab/>
      </w:r>
      <w:r>
        <w:rPr>
          <w:noProof/>
        </w:rPr>
        <w:fldChar w:fldCharType="begin"/>
      </w:r>
      <w:r>
        <w:rPr>
          <w:noProof/>
        </w:rPr>
        <w:instrText xml:space="preserve"> PAGEREF _Toc99385529 \h </w:instrText>
      </w:r>
      <w:r>
        <w:rPr>
          <w:noProof/>
        </w:rPr>
      </w:r>
      <w:r>
        <w:rPr>
          <w:noProof/>
        </w:rPr>
        <w:fldChar w:fldCharType="separate"/>
      </w:r>
      <w:r w:rsidR="000667DB">
        <w:rPr>
          <w:noProof/>
        </w:rPr>
        <w:t>303</w:t>
      </w:r>
      <w:r>
        <w:rPr>
          <w:noProof/>
        </w:rPr>
        <w:fldChar w:fldCharType="end"/>
      </w:r>
    </w:p>
    <w:p w14:paraId="24B96136" w14:textId="5B955215" w:rsidR="00276430" w:rsidRDefault="00276430">
      <w:pPr>
        <w:pStyle w:val="TOC2"/>
        <w:tabs>
          <w:tab w:val="right" w:leader="dot" w:pos="9350"/>
        </w:tabs>
        <w:rPr>
          <w:rFonts w:asciiTheme="minorHAnsi" w:eastAsiaTheme="minorEastAsia" w:hAnsiTheme="minorHAnsi" w:cstheme="minorBidi"/>
          <w:noProof/>
          <w:sz w:val="22"/>
          <w:lang w:val="en-CA" w:eastAsia="en-CA"/>
        </w:rPr>
      </w:pPr>
      <w:r>
        <w:rPr>
          <w:noProof/>
        </w:rPr>
        <w:t>Appendix C Vegetation summer 2017</w:t>
      </w:r>
      <w:r>
        <w:rPr>
          <w:noProof/>
        </w:rPr>
        <w:tab/>
      </w:r>
      <w:r>
        <w:rPr>
          <w:noProof/>
        </w:rPr>
        <w:fldChar w:fldCharType="begin"/>
      </w:r>
      <w:r>
        <w:rPr>
          <w:noProof/>
        </w:rPr>
        <w:instrText xml:space="preserve"> PAGEREF _Toc99385530 \h </w:instrText>
      </w:r>
      <w:r>
        <w:rPr>
          <w:noProof/>
        </w:rPr>
      </w:r>
      <w:r>
        <w:rPr>
          <w:noProof/>
        </w:rPr>
        <w:fldChar w:fldCharType="separate"/>
      </w:r>
      <w:r w:rsidR="000667DB">
        <w:rPr>
          <w:noProof/>
        </w:rPr>
        <w:t>313</w:t>
      </w:r>
      <w:r>
        <w:rPr>
          <w:noProof/>
        </w:rPr>
        <w:fldChar w:fldCharType="end"/>
      </w:r>
    </w:p>
    <w:p w14:paraId="76D312BB" w14:textId="251100F0"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C.1</w:t>
      </w:r>
      <w:r>
        <w:rPr>
          <w:rFonts w:asciiTheme="minorHAnsi" w:eastAsiaTheme="minorEastAsia" w:hAnsiTheme="minorHAnsi" w:cstheme="minorBidi"/>
          <w:noProof/>
          <w:sz w:val="22"/>
          <w:lang w:val="en-CA" w:eastAsia="en-CA"/>
        </w:rPr>
        <w:tab/>
      </w:r>
      <w:r>
        <w:rPr>
          <w:noProof/>
        </w:rPr>
        <w:t>Vegetation measures</w:t>
      </w:r>
      <w:r>
        <w:rPr>
          <w:noProof/>
        </w:rPr>
        <w:tab/>
      </w:r>
      <w:r>
        <w:rPr>
          <w:noProof/>
        </w:rPr>
        <w:fldChar w:fldCharType="begin"/>
      </w:r>
      <w:r>
        <w:rPr>
          <w:noProof/>
        </w:rPr>
        <w:instrText xml:space="preserve"> PAGEREF _Toc99385531 \h </w:instrText>
      </w:r>
      <w:r>
        <w:rPr>
          <w:noProof/>
        </w:rPr>
      </w:r>
      <w:r>
        <w:rPr>
          <w:noProof/>
        </w:rPr>
        <w:fldChar w:fldCharType="separate"/>
      </w:r>
      <w:r w:rsidR="000667DB">
        <w:rPr>
          <w:noProof/>
        </w:rPr>
        <w:t>313</w:t>
      </w:r>
      <w:r>
        <w:rPr>
          <w:noProof/>
        </w:rPr>
        <w:fldChar w:fldCharType="end"/>
      </w:r>
    </w:p>
    <w:p w14:paraId="1A828007" w14:textId="5FD2E61D"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C.2</w:t>
      </w:r>
      <w:r>
        <w:rPr>
          <w:rFonts w:asciiTheme="minorHAnsi" w:eastAsiaTheme="minorEastAsia" w:hAnsiTheme="minorHAnsi" w:cstheme="minorBidi"/>
          <w:noProof/>
          <w:sz w:val="22"/>
          <w:lang w:val="en-CA" w:eastAsia="en-CA"/>
        </w:rPr>
        <w:tab/>
      </w:r>
      <w:r>
        <w:rPr>
          <w:noProof/>
        </w:rPr>
        <w:t>Dimension reduction (PCA)</w:t>
      </w:r>
      <w:r>
        <w:rPr>
          <w:noProof/>
        </w:rPr>
        <w:tab/>
      </w:r>
      <w:r>
        <w:rPr>
          <w:noProof/>
        </w:rPr>
        <w:fldChar w:fldCharType="begin"/>
      </w:r>
      <w:r>
        <w:rPr>
          <w:noProof/>
        </w:rPr>
        <w:instrText xml:space="preserve"> PAGEREF _Toc99385532 \h </w:instrText>
      </w:r>
      <w:r>
        <w:rPr>
          <w:noProof/>
        </w:rPr>
      </w:r>
      <w:r>
        <w:rPr>
          <w:noProof/>
        </w:rPr>
        <w:fldChar w:fldCharType="separate"/>
      </w:r>
      <w:r w:rsidR="000667DB">
        <w:rPr>
          <w:noProof/>
        </w:rPr>
        <w:t>314</w:t>
      </w:r>
      <w:r>
        <w:rPr>
          <w:noProof/>
        </w:rPr>
        <w:fldChar w:fldCharType="end"/>
      </w:r>
    </w:p>
    <w:p w14:paraId="1B765C32" w14:textId="0A139E91" w:rsidR="00276430" w:rsidRDefault="00276430">
      <w:pPr>
        <w:pStyle w:val="TOC3"/>
        <w:tabs>
          <w:tab w:val="left" w:pos="1200"/>
          <w:tab w:val="right" w:leader="dot" w:pos="9350"/>
        </w:tabs>
        <w:rPr>
          <w:rFonts w:asciiTheme="minorHAnsi" w:eastAsiaTheme="minorEastAsia" w:hAnsiTheme="minorHAnsi" w:cstheme="minorBidi"/>
          <w:noProof/>
          <w:sz w:val="22"/>
          <w:lang w:val="en-CA" w:eastAsia="en-CA"/>
        </w:rPr>
      </w:pPr>
      <w:r>
        <w:rPr>
          <w:noProof/>
        </w:rPr>
        <w:t>C.3</w:t>
      </w:r>
      <w:r>
        <w:rPr>
          <w:rFonts w:asciiTheme="minorHAnsi" w:eastAsiaTheme="minorEastAsia" w:hAnsiTheme="minorHAnsi" w:cstheme="minorBidi"/>
          <w:noProof/>
          <w:sz w:val="22"/>
          <w:lang w:val="en-CA" w:eastAsia="en-CA"/>
        </w:rPr>
        <w:tab/>
      </w:r>
      <w:r>
        <w:rPr>
          <w:noProof/>
        </w:rPr>
        <w:t>Vegetation Autumn 2017</w:t>
      </w:r>
      <w:r>
        <w:rPr>
          <w:noProof/>
        </w:rPr>
        <w:tab/>
      </w:r>
      <w:r>
        <w:rPr>
          <w:noProof/>
        </w:rPr>
        <w:fldChar w:fldCharType="begin"/>
      </w:r>
      <w:r>
        <w:rPr>
          <w:noProof/>
        </w:rPr>
        <w:instrText xml:space="preserve"> PAGEREF _Toc99385533 \h </w:instrText>
      </w:r>
      <w:r>
        <w:rPr>
          <w:noProof/>
        </w:rPr>
      </w:r>
      <w:r>
        <w:rPr>
          <w:noProof/>
        </w:rPr>
        <w:fldChar w:fldCharType="separate"/>
      </w:r>
      <w:r w:rsidR="000667DB">
        <w:rPr>
          <w:noProof/>
        </w:rPr>
        <w:t>327</w:t>
      </w:r>
      <w:r>
        <w:rPr>
          <w:noProof/>
        </w:rPr>
        <w:fldChar w:fldCharType="end"/>
      </w:r>
    </w:p>
    <w:p w14:paraId="26BBA0DD" w14:textId="58633FF2" w:rsidR="00276430" w:rsidRDefault="00276430">
      <w:pPr>
        <w:pStyle w:val="TOC2"/>
        <w:tabs>
          <w:tab w:val="right" w:leader="dot" w:pos="9350"/>
        </w:tabs>
        <w:rPr>
          <w:rFonts w:asciiTheme="minorHAnsi" w:eastAsiaTheme="minorEastAsia" w:hAnsiTheme="minorHAnsi" w:cstheme="minorBidi"/>
          <w:noProof/>
          <w:sz w:val="22"/>
          <w:lang w:val="en-CA" w:eastAsia="en-CA"/>
        </w:rPr>
      </w:pPr>
      <w:r>
        <w:rPr>
          <w:noProof/>
        </w:rPr>
        <w:t>Appendix D Nutrient Addition Calculations</w:t>
      </w:r>
      <w:r>
        <w:rPr>
          <w:noProof/>
        </w:rPr>
        <w:tab/>
      </w:r>
      <w:r>
        <w:rPr>
          <w:noProof/>
        </w:rPr>
        <w:fldChar w:fldCharType="begin"/>
      </w:r>
      <w:r>
        <w:rPr>
          <w:noProof/>
        </w:rPr>
        <w:instrText xml:space="preserve"> PAGEREF _Toc99385534 \h </w:instrText>
      </w:r>
      <w:r>
        <w:rPr>
          <w:noProof/>
        </w:rPr>
      </w:r>
      <w:r>
        <w:rPr>
          <w:noProof/>
        </w:rPr>
        <w:fldChar w:fldCharType="separate"/>
      </w:r>
      <w:r w:rsidR="000667DB">
        <w:rPr>
          <w:noProof/>
        </w:rPr>
        <w:t>333</w:t>
      </w:r>
      <w:r>
        <w:rPr>
          <w:noProof/>
        </w:rPr>
        <w:fldChar w:fldCharType="end"/>
      </w:r>
    </w:p>
    <w:p w14:paraId="24A0B673" w14:textId="071708B1" w:rsidR="00E9753B" w:rsidRPr="009867C1" w:rsidRDefault="00B07829" w:rsidP="00014D18">
      <w:r w:rsidRPr="009867C1">
        <w:fldChar w:fldCharType="end"/>
      </w:r>
    </w:p>
    <w:p w14:paraId="44842681" w14:textId="77777777" w:rsidR="00E9753B" w:rsidRPr="009867C1" w:rsidRDefault="00E9753B" w:rsidP="00014D18">
      <w:pPr>
        <w:pStyle w:val="Heading1"/>
      </w:pPr>
      <w:bookmarkStart w:id="10" w:name="_Toc153357229"/>
      <w:bookmarkStart w:id="11" w:name="_Toc157169037"/>
      <w:bookmarkStart w:id="12" w:name="_Toc99385398"/>
      <w:r w:rsidRPr="009867C1">
        <w:t>List of Tables</w:t>
      </w:r>
      <w:bookmarkEnd w:id="10"/>
      <w:bookmarkEnd w:id="11"/>
      <w:bookmarkEnd w:id="12"/>
    </w:p>
    <w:p w14:paraId="32BD5D39" w14:textId="399B7669" w:rsidR="00AB5664" w:rsidRPr="009867C1" w:rsidRDefault="00B07829">
      <w:pPr>
        <w:pStyle w:val="TableofFigures"/>
        <w:tabs>
          <w:tab w:val="right" w:leader="dot" w:pos="9350"/>
        </w:tabs>
        <w:rPr>
          <w:rFonts w:eastAsiaTheme="minorEastAsia"/>
          <w:noProof/>
          <w:sz w:val="22"/>
          <w:szCs w:val="22"/>
          <w:lang w:val="en-CA" w:eastAsia="en-CA"/>
        </w:rPr>
      </w:pPr>
      <w:r w:rsidRPr="009867C1">
        <w:fldChar w:fldCharType="begin"/>
      </w:r>
      <w:r w:rsidR="00E9753B" w:rsidRPr="009867C1">
        <w:instrText xml:space="preserve"> TOC \c "Table" </w:instrText>
      </w:r>
      <w:r w:rsidRPr="009867C1">
        <w:fldChar w:fldCharType="separate"/>
      </w:r>
      <w:r w:rsidR="00AB5664" w:rsidRPr="009867C1">
        <w:rPr>
          <w:noProof/>
        </w:rPr>
        <w:t>Table 1</w:t>
      </w:r>
      <w:r w:rsidR="00AB5664" w:rsidRPr="009867C1">
        <w:rPr>
          <w:noProof/>
        </w:rPr>
        <w:noBreakHyphen/>
        <w:t>1: Published studies on the effects of salmon on soil.</w:t>
      </w:r>
      <w:r w:rsidR="00AB5664" w:rsidRPr="009867C1">
        <w:rPr>
          <w:noProof/>
        </w:rPr>
        <w:tab/>
      </w:r>
      <w:r w:rsidR="00AB5664" w:rsidRPr="009867C1">
        <w:rPr>
          <w:noProof/>
        </w:rPr>
        <w:fldChar w:fldCharType="begin"/>
      </w:r>
      <w:r w:rsidR="00AB5664" w:rsidRPr="009867C1">
        <w:rPr>
          <w:noProof/>
        </w:rPr>
        <w:instrText xml:space="preserve"> PAGEREF _Toc74949403 \h </w:instrText>
      </w:r>
      <w:r w:rsidR="00AB5664" w:rsidRPr="009867C1">
        <w:rPr>
          <w:noProof/>
        </w:rPr>
      </w:r>
      <w:r w:rsidR="00AB5664" w:rsidRPr="009867C1">
        <w:rPr>
          <w:noProof/>
        </w:rPr>
        <w:fldChar w:fldCharType="separate"/>
      </w:r>
      <w:r w:rsidR="000667DB">
        <w:rPr>
          <w:noProof/>
        </w:rPr>
        <w:t>29</w:t>
      </w:r>
      <w:r w:rsidR="00AB5664" w:rsidRPr="009867C1">
        <w:rPr>
          <w:noProof/>
        </w:rPr>
        <w:fldChar w:fldCharType="end"/>
      </w:r>
    </w:p>
    <w:p w14:paraId="25AE1E6A" w14:textId="3F41EC50" w:rsidR="00AB5664" w:rsidRPr="009867C1" w:rsidRDefault="00AB5664">
      <w:pPr>
        <w:pStyle w:val="TableofFigures"/>
        <w:tabs>
          <w:tab w:val="right" w:leader="dot" w:pos="9350"/>
        </w:tabs>
        <w:rPr>
          <w:rFonts w:eastAsiaTheme="minorEastAsia"/>
          <w:noProof/>
          <w:sz w:val="22"/>
          <w:szCs w:val="22"/>
          <w:lang w:val="en-CA" w:eastAsia="en-CA"/>
        </w:rPr>
      </w:pPr>
      <w:r w:rsidRPr="009867C1">
        <w:rPr>
          <w:noProof/>
        </w:rPr>
        <w:t>Table 1</w:t>
      </w:r>
      <w:r w:rsidRPr="009867C1">
        <w:rPr>
          <w:noProof/>
        </w:rPr>
        <w:noBreakHyphen/>
        <w:t>2: Outline of motivating questions, scientific hypotheses, response variables investigated, and predictions investigated in this thesis.</w:t>
      </w:r>
      <w:r w:rsidRPr="009867C1">
        <w:rPr>
          <w:noProof/>
        </w:rPr>
        <w:tab/>
      </w:r>
      <w:r w:rsidRPr="009867C1">
        <w:rPr>
          <w:noProof/>
        </w:rPr>
        <w:fldChar w:fldCharType="begin"/>
      </w:r>
      <w:r w:rsidRPr="009867C1">
        <w:rPr>
          <w:noProof/>
        </w:rPr>
        <w:instrText xml:space="preserve"> PAGEREF _Toc74949404 \h </w:instrText>
      </w:r>
      <w:r w:rsidRPr="009867C1">
        <w:rPr>
          <w:noProof/>
        </w:rPr>
      </w:r>
      <w:r w:rsidRPr="009867C1">
        <w:rPr>
          <w:noProof/>
        </w:rPr>
        <w:fldChar w:fldCharType="separate"/>
      </w:r>
      <w:r w:rsidR="000667DB">
        <w:rPr>
          <w:noProof/>
        </w:rPr>
        <w:t>31</w:t>
      </w:r>
      <w:r w:rsidRPr="009867C1">
        <w:rPr>
          <w:noProof/>
        </w:rPr>
        <w:fldChar w:fldCharType="end"/>
      </w:r>
    </w:p>
    <w:p w14:paraId="23D17FA8" w14:textId="0BACE877" w:rsidR="00AB5664" w:rsidRPr="009867C1" w:rsidRDefault="00AB5664">
      <w:pPr>
        <w:pStyle w:val="TableofFigures"/>
        <w:tabs>
          <w:tab w:val="right" w:leader="dot" w:pos="9350"/>
        </w:tabs>
        <w:rPr>
          <w:rFonts w:eastAsiaTheme="minorEastAsia"/>
          <w:noProof/>
          <w:sz w:val="22"/>
          <w:szCs w:val="22"/>
          <w:lang w:val="en-CA" w:eastAsia="en-CA"/>
        </w:rPr>
      </w:pPr>
      <w:r w:rsidRPr="009867C1">
        <w:rPr>
          <w:noProof/>
        </w:rPr>
        <w:t>Table 2</w:t>
      </w:r>
      <w:r w:rsidRPr="009867C1">
        <w:rPr>
          <w:noProof/>
        </w:rPr>
        <w:noBreakHyphen/>
        <w:t>1: Chemical groups examined in this study, as well as correlations with fertility and predictions with response to salmon nutrient inputs.</w:t>
      </w:r>
      <w:r w:rsidRPr="009867C1">
        <w:rPr>
          <w:noProof/>
        </w:rPr>
        <w:tab/>
      </w:r>
      <w:r w:rsidRPr="009867C1">
        <w:rPr>
          <w:noProof/>
        </w:rPr>
        <w:fldChar w:fldCharType="begin"/>
      </w:r>
      <w:r w:rsidRPr="009867C1">
        <w:rPr>
          <w:noProof/>
        </w:rPr>
        <w:instrText xml:space="preserve"> PAGEREF _Toc74949405 \h </w:instrText>
      </w:r>
      <w:r w:rsidRPr="009867C1">
        <w:rPr>
          <w:noProof/>
        </w:rPr>
      </w:r>
      <w:r w:rsidRPr="009867C1">
        <w:rPr>
          <w:noProof/>
        </w:rPr>
        <w:fldChar w:fldCharType="separate"/>
      </w:r>
      <w:r w:rsidR="000667DB">
        <w:rPr>
          <w:noProof/>
        </w:rPr>
        <w:t>58</w:t>
      </w:r>
      <w:r w:rsidRPr="009867C1">
        <w:rPr>
          <w:noProof/>
        </w:rPr>
        <w:fldChar w:fldCharType="end"/>
      </w:r>
    </w:p>
    <w:p w14:paraId="371B1DE2" w14:textId="69708ACB" w:rsidR="00AB5664" w:rsidRPr="009867C1" w:rsidRDefault="00AB5664">
      <w:pPr>
        <w:pStyle w:val="TableofFigures"/>
        <w:tabs>
          <w:tab w:val="right" w:leader="dot" w:pos="9350"/>
        </w:tabs>
        <w:rPr>
          <w:rFonts w:eastAsiaTheme="minorEastAsia"/>
          <w:noProof/>
          <w:sz w:val="22"/>
          <w:szCs w:val="22"/>
          <w:lang w:val="en-CA" w:eastAsia="en-CA"/>
        </w:rPr>
      </w:pPr>
      <w:r w:rsidRPr="009867C1">
        <w:rPr>
          <w:noProof/>
        </w:rPr>
        <w:t>Table 2</w:t>
      </w:r>
      <w:r w:rsidRPr="009867C1">
        <w:rPr>
          <w:noProof/>
        </w:rPr>
        <w:noBreakHyphen/>
        <w:t>2: ANOVA table summary for above/below waterfall paired Wilcoxson tests.</w:t>
      </w:r>
      <w:r w:rsidRPr="009867C1">
        <w:rPr>
          <w:noProof/>
        </w:rPr>
        <w:tab/>
      </w:r>
      <w:r w:rsidRPr="009867C1">
        <w:rPr>
          <w:noProof/>
        </w:rPr>
        <w:fldChar w:fldCharType="begin"/>
      </w:r>
      <w:r w:rsidRPr="009867C1">
        <w:rPr>
          <w:noProof/>
        </w:rPr>
        <w:instrText xml:space="preserve"> PAGEREF _Toc74949406 \h </w:instrText>
      </w:r>
      <w:r w:rsidRPr="009867C1">
        <w:rPr>
          <w:noProof/>
        </w:rPr>
      </w:r>
      <w:r w:rsidRPr="009867C1">
        <w:rPr>
          <w:noProof/>
        </w:rPr>
        <w:fldChar w:fldCharType="separate"/>
      </w:r>
      <w:r w:rsidR="000667DB">
        <w:rPr>
          <w:noProof/>
        </w:rPr>
        <w:t>75</w:t>
      </w:r>
      <w:r w:rsidRPr="009867C1">
        <w:rPr>
          <w:noProof/>
        </w:rPr>
        <w:fldChar w:fldCharType="end"/>
      </w:r>
    </w:p>
    <w:p w14:paraId="26563661" w14:textId="3C6E8A9F" w:rsidR="00AB5664" w:rsidRPr="009867C1" w:rsidRDefault="00AB5664">
      <w:pPr>
        <w:pStyle w:val="TableofFigures"/>
        <w:tabs>
          <w:tab w:val="right" w:leader="dot" w:pos="9350"/>
        </w:tabs>
        <w:rPr>
          <w:rFonts w:eastAsiaTheme="minorEastAsia"/>
          <w:noProof/>
          <w:sz w:val="22"/>
          <w:szCs w:val="22"/>
          <w:lang w:val="en-CA" w:eastAsia="en-CA"/>
        </w:rPr>
      </w:pPr>
      <w:r w:rsidRPr="009867C1">
        <w:rPr>
          <w:noProof/>
        </w:rPr>
        <w:t>Table 2</w:t>
      </w:r>
      <w:r w:rsidRPr="009867C1">
        <w:rPr>
          <w:noProof/>
        </w:rPr>
        <w:noBreakHyphen/>
        <w:t>3: Summary of salmon-soil chemistry results.</w:t>
      </w:r>
      <w:r w:rsidRPr="009867C1">
        <w:rPr>
          <w:noProof/>
        </w:rPr>
        <w:tab/>
      </w:r>
      <w:r w:rsidRPr="009867C1">
        <w:rPr>
          <w:noProof/>
        </w:rPr>
        <w:fldChar w:fldCharType="begin"/>
      </w:r>
      <w:r w:rsidRPr="009867C1">
        <w:rPr>
          <w:noProof/>
        </w:rPr>
        <w:instrText xml:space="preserve"> PAGEREF _Toc74949407 \h </w:instrText>
      </w:r>
      <w:r w:rsidRPr="009867C1">
        <w:rPr>
          <w:noProof/>
        </w:rPr>
      </w:r>
      <w:r w:rsidRPr="009867C1">
        <w:rPr>
          <w:noProof/>
        </w:rPr>
        <w:fldChar w:fldCharType="separate"/>
      </w:r>
      <w:r w:rsidR="000667DB">
        <w:rPr>
          <w:noProof/>
        </w:rPr>
        <w:t>79</w:t>
      </w:r>
      <w:r w:rsidRPr="009867C1">
        <w:rPr>
          <w:noProof/>
        </w:rPr>
        <w:fldChar w:fldCharType="end"/>
      </w:r>
    </w:p>
    <w:p w14:paraId="5470E175" w14:textId="6B55D532" w:rsidR="00AB5664" w:rsidRPr="009867C1" w:rsidRDefault="00AB5664">
      <w:pPr>
        <w:pStyle w:val="TableofFigures"/>
        <w:tabs>
          <w:tab w:val="right" w:leader="dot" w:pos="9350"/>
        </w:tabs>
        <w:rPr>
          <w:rFonts w:eastAsiaTheme="minorEastAsia"/>
          <w:noProof/>
          <w:sz w:val="22"/>
          <w:szCs w:val="22"/>
          <w:lang w:val="en-CA" w:eastAsia="en-CA"/>
        </w:rPr>
      </w:pPr>
      <w:r w:rsidRPr="009867C1">
        <w:rPr>
          <w:noProof/>
        </w:rPr>
        <w:t>Table 3</w:t>
      </w:r>
      <w:r w:rsidRPr="009867C1">
        <w:rPr>
          <w:noProof/>
        </w:rPr>
        <w:noBreakHyphen/>
        <w:t>1: ANOVA table for salmon density regressions.</w:t>
      </w:r>
      <w:r w:rsidRPr="009867C1">
        <w:rPr>
          <w:noProof/>
        </w:rPr>
        <w:tab/>
      </w:r>
      <w:r w:rsidRPr="009867C1">
        <w:rPr>
          <w:noProof/>
        </w:rPr>
        <w:fldChar w:fldCharType="begin"/>
      </w:r>
      <w:r w:rsidRPr="009867C1">
        <w:rPr>
          <w:noProof/>
        </w:rPr>
        <w:instrText xml:space="preserve"> PAGEREF _Toc74949408 \h </w:instrText>
      </w:r>
      <w:r w:rsidRPr="009867C1">
        <w:rPr>
          <w:noProof/>
        </w:rPr>
      </w:r>
      <w:r w:rsidRPr="009867C1">
        <w:rPr>
          <w:noProof/>
        </w:rPr>
        <w:fldChar w:fldCharType="separate"/>
      </w:r>
      <w:r w:rsidR="000667DB">
        <w:rPr>
          <w:noProof/>
        </w:rPr>
        <w:t>106</w:t>
      </w:r>
      <w:r w:rsidRPr="009867C1">
        <w:rPr>
          <w:noProof/>
        </w:rPr>
        <w:fldChar w:fldCharType="end"/>
      </w:r>
    </w:p>
    <w:p w14:paraId="09862484" w14:textId="0A593CBF" w:rsidR="00AB5664" w:rsidRPr="009867C1" w:rsidRDefault="00AB5664">
      <w:pPr>
        <w:pStyle w:val="TableofFigures"/>
        <w:tabs>
          <w:tab w:val="right" w:leader="dot" w:pos="9350"/>
        </w:tabs>
        <w:rPr>
          <w:rFonts w:eastAsiaTheme="minorEastAsia"/>
          <w:noProof/>
          <w:sz w:val="22"/>
          <w:szCs w:val="22"/>
          <w:lang w:val="en-CA" w:eastAsia="en-CA"/>
        </w:rPr>
      </w:pPr>
      <w:r w:rsidRPr="009867C1">
        <w:rPr>
          <w:noProof/>
        </w:rPr>
        <w:t>Table 3</w:t>
      </w:r>
      <w:r w:rsidRPr="009867C1">
        <w:rPr>
          <w:noProof/>
        </w:rPr>
        <w:noBreakHyphen/>
        <w:t>2: Pairwise comparisons of intercepts and slopes for salmon density regressions.</w:t>
      </w:r>
      <w:r w:rsidRPr="009867C1">
        <w:rPr>
          <w:noProof/>
        </w:rPr>
        <w:tab/>
      </w:r>
      <w:r w:rsidRPr="009867C1">
        <w:rPr>
          <w:noProof/>
        </w:rPr>
        <w:fldChar w:fldCharType="begin"/>
      </w:r>
      <w:r w:rsidRPr="009867C1">
        <w:rPr>
          <w:noProof/>
        </w:rPr>
        <w:instrText xml:space="preserve"> PAGEREF _Toc74949409 \h </w:instrText>
      </w:r>
      <w:r w:rsidRPr="009867C1">
        <w:rPr>
          <w:noProof/>
        </w:rPr>
      </w:r>
      <w:r w:rsidRPr="009867C1">
        <w:rPr>
          <w:noProof/>
        </w:rPr>
        <w:fldChar w:fldCharType="separate"/>
      </w:r>
      <w:r w:rsidR="000667DB">
        <w:rPr>
          <w:noProof/>
        </w:rPr>
        <w:t>107</w:t>
      </w:r>
      <w:r w:rsidRPr="009867C1">
        <w:rPr>
          <w:noProof/>
        </w:rPr>
        <w:fldChar w:fldCharType="end"/>
      </w:r>
    </w:p>
    <w:p w14:paraId="7A339BB7" w14:textId="60B03658" w:rsidR="00AB5664" w:rsidRPr="009867C1" w:rsidRDefault="00AB5664">
      <w:pPr>
        <w:pStyle w:val="TableofFigures"/>
        <w:tabs>
          <w:tab w:val="right" w:leader="dot" w:pos="9350"/>
        </w:tabs>
        <w:rPr>
          <w:rFonts w:eastAsiaTheme="minorEastAsia"/>
          <w:noProof/>
          <w:sz w:val="22"/>
          <w:szCs w:val="22"/>
          <w:lang w:val="en-CA" w:eastAsia="en-CA"/>
        </w:rPr>
      </w:pPr>
      <w:r w:rsidRPr="009867C1">
        <w:rPr>
          <w:noProof/>
        </w:rPr>
        <w:t>Table 6</w:t>
      </w:r>
      <w:r w:rsidRPr="009867C1">
        <w:rPr>
          <w:noProof/>
        </w:rPr>
        <w:noBreakHyphen/>
        <w:t>1: Regression table for the LM translated log δ</w:t>
      </w:r>
      <w:r w:rsidRPr="009867C1">
        <w:rPr>
          <w:noProof/>
          <w:vertAlign w:val="superscript"/>
        </w:rPr>
        <w:t>15</w:t>
      </w:r>
      <w:r w:rsidRPr="009867C1">
        <w:rPr>
          <w:noProof/>
        </w:rPr>
        <w:t>N ~ day * distance * treatment.</w:t>
      </w:r>
      <w:r w:rsidRPr="009867C1">
        <w:rPr>
          <w:noProof/>
        </w:rPr>
        <w:tab/>
      </w:r>
      <w:r w:rsidRPr="009867C1">
        <w:rPr>
          <w:noProof/>
        </w:rPr>
        <w:fldChar w:fldCharType="begin"/>
      </w:r>
      <w:r w:rsidRPr="009867C1">
        <w:rPr>
          <w:noProof/>
        </w:rPr>
        <w:instrText xml:space="preserve"> PAGEREF _Toc74949410 \h </w:instrText>
      </w:r>
      <w:r w:rsidRPr="009867C1">
        <w:rPr>
          <w:noProof/>
        </w:rPr>
      </w:r>
      <w:r w:rsidRPr="009867C1">
        <w:rPr>
          <w:noProof/>
        </w:rPr>
        <w:fldChar w:fldCharType="separate"/>
      </w:r>
      <w:r w:rsidR="000667DB">
        <w:rPr>
          <w:noProof/>
        </w:rPr>
        <w:t>202</w:t>
      </w:r>
      <w:r w:rsidRPr="009867C1">
        <w:rPr>
          <w:noProof/>
        </w:rPr>
        <w:fldChar w:fldCharType="end"/>
      </w:r>
    </w:p>
    <w:p w14:paraId="6300F717" w14:textId="77777777" w:rsidR="00AB5664" w:rsidRPr="009867C1" w:rsidRDefault="00B07829" w:rsidP="00014D18">
      <w:pPr>
        <w:pStyle w:val="TableofFigures"/>
        <w:rPr>
          <w:noProof/>
        </w:rPr>
      </w:pPr>
      <w:r w:rsidRPr="009867C1">
        <w:fldChar w:fldCharType="end"/>
      </w:r>
      <w:r w:rsidR="00F279B5" w:rsidRPr="009867C1">
        <w:fldChar w:fldCharType="begin"/>
      </w:r>
      <w:r w:rsidR="00F279B5" w:rsidRPr="009867C1">
        <w:instrText xml:space="preserve"> TOC \h \z \c "Appendix Table" </w:instrText>
      </w:r>
      <w:r w:rsidR="00F279B5" w:rsidRPr="009867C1">
        <w:fldChar w:fldCharType="separate"/>
      </w:r>
    </w:p>
    <w:p w14:paraId="371425C4" w14:textId="1EF88D50" w:rsidR="00AB5664" w:rsidRPr="009867C1" w:rsidRDefault="00557CA9">
      <w:pPr>
        <w:pStyle w:val="TableofFigures"/>
        <w:tabs>
          <w:tab w:val="right" w:leader="dot" w:pos="9350"/>
        </w:tabs>
        <w:rPr>
          <w:rFonts w:eastAsiaTheme="minorEastAsia"/>
          <w:noProof/>
          <w:sz w:val="22"/>
          <w:szCs w:val="22"/>
          <w:lang w:val="en-CA" w:eastAsia="en-CA"/>
        </w:rPr>
      </w:pPr>
      <w:hyperlink w:anchor="_Toc74949411" w:history="1">
        <w:r w:rsidR="00AB5664" w:rsidRPr="009867C1">
          <w:rPr>
            <w:rStyle w:val="Hyperlink"/>
            <w:noProof/>
          </w:rPr>
          <w:t>Table A</w:t>
        </w:r>
        <w:r w:rsidR="00AB5664" w:rsidRPr="009867C1">
          <w:rPr>
            <w:rStyle w:val="Hyperlink"/>
            <w:noProof/>
          </w:rPr>
          <w:noBreakHyphen/>
          <w:t>1: Correlation matrix of watershed size measures with salmon density (biomass per m of stream reach) for reference.</w:t>
        </w:r>
        <w:r w:rsidR="00AB5664" w:rsidRPr="009867C1">
          <w:rPr>
            <w:noProof/>
            <w:webHidden/>
          </w:rPr>
          <w:tab/>
        </w:r>
        <w:r w:rsidR="00AB5664" w:rsidRPr="009867C1">
          <w:rPr>
            <w:noProof/>
            <w:webHidden/>
          </w:rPr>
          <w:fldChar w:fldCharType="begin"/>
        </w:r>
        <w:r w:rsidR="00AB5664" w:rsidRPr="009867C1">
          <w:rPr>
            <w:noProof/>
            <w:webHidden/>
          </w:rPr>
          <w:instrText xml:space="preserve"> PAGEREF _Toc74949411 \h </w:instrText>
        </w:r>
        <w:r w:rsidR="00AB5664" w:rsidRPr="009867C1">
          <w:rPr>
            <w:noProof/>
            <w:webHidden/>
          </w:rPr>
        </w:r>
        <w:r w:rsidR="00AB5664" w:rsidRPr="009867C1">
          <w:rPr>
            <w:noProof/>
            <w:webHidden/>
          </w:rPr>
          <w:fldChar w:fldCharType="separate"/>
        </w:r>
        <w:r w:rsidR="000667DB">
          <w:rPr>
            <w:noProof/>
            <w:webHidden/>
          </w:rPr>
          <w:t>301</w:t>
        </w:r>
        <w:r w:rsidR="00AB5664" w:rsidRPr="009867C1">
          <w:rPr>
            <w:noProof/>
            <w:webHidden/>
          </w:rPr>
          <w:fldChar w:fldCharType="end"/>
        </w:r>
      </w:hyperlink>
    </w:p>
    <w:p w14:paraId="1AF9A613" w14:textId="20F20AE3" w:rsidR="00AB5664" w:rsidRPr="009867C1" w:rsidRDefault="00557CA9">
      <w:pPr>
        <w:pStyle w:val="TableofFigures"/>
        <w:tabs>
          <w:tab w:val="right" w:leader="dot" w:pos="9350"/>
        </w:tabs>
        <w:rPr>
          <w:rFonts w:eastAsiaTheme="minorEastAsia"/>
          <w:noProof/>
          <w:sz w:val="22"/>
          <w:szCs w:val="22"/>
          <w:lang w:val="en-CA" w:eastAsia="en-CA"/>
        </w:rPr>
      </w:pPr>
      <w:hyperlink w:anchor="_Toc74949412" w:history="1">
        <w:r w:rsidR="00AB5664" w:rsidRPr="009867C1">
          <w:rPr>
            <w:rStyle w:val="Hyperlink"/>
            <w:noProof/>
          </w:rPr>
          <w:t>Table A</w:t>
        </w:r>
        <w:r w:rsidR="00AB5664" w:rsidRPr="009867C1">
          <w:rPr>
            <w:rStyle w:val="Hyperlink"/>
            <w:noProof/>
          </w:rPr>
          <w:noBreakHyphen/>
          <w:t>2: Loadings of the four principle components of the ordination in Figure A-3.</w:t>
        </w:r>
        <w:r w:rsidR="00AB5664" w:rsidRPr="009867C1">
          <w:rPr>
            <w:noProof/>
            <w:webHidden/>
          </w:rPr>
          <w:tab/>
        </w:r>
        <w:r w:rsidR="00AB5664" w:rsidRPr="009867C1">
          <w:rPr>
            <w:noProof/>
            <w:webHidden/>
          </w:rPr>
          <w:fldChar w:fldCharType="begin"/>
        </w:r>
        <w:r w:rsidR="00AB5664" w:rsidRPr="009867C1">
          <w:rPr>
            <w:noProof/>
            <w:webHidden/>
          </w:rPr>
          <w:instrText xml:space="preserve"> PAGEREF _Toc74949412 \h </w:instrText>
        </w:r>
        <w:r w:rsidR="00AB5664" w:rsidRPr="009867C1">
          <w:rPr>
            <w:noProof/>
            <w:webHidden/>
          </w:rPr>
        </w:r>
        <w:r w:rsidR="00AB5664" w:rsidRPr="009867C1">
          <w:rPr>
            <w:noProof/>
            <w:webHidden/>
          </w:rPr>
          <w:fldChar w:fldCharType="separate"/>
        </w:r>
        <w:r w:rsidR="000667DB">
          <w:rPr>
            <w:noProof/>
            <w:webHidden/>
          </w:rPr>
          <w:t>301</w:t>
        </w:r>
        <w:r w:rsidR="00AB5664" w:rsidRPr="009867C1">
          <w:rPr>
            <w:noProof/>
            <w:webHidden/>
          </w:rPr>
          <w:fldChar w:fldCharType="end"/>
        </w:r>
      </w:hyperlink>
    </w:p>
    <w:p w14:paraId="7664E085" w14:textId="6FF5E1C3" w:rsidR="00AB5664" w:rsidRPr="009867C1" w:rsidRDefault="00557CA9">
      <w:pPr>
        <w:pStyle w:val="TableofFigures"/>
        <w:tabs>
          <w:tab w:val="right" w:leader="dot" w:pos="9350"/>
        </w:tabs>
        <w:rPr>
          <w:rFonts w:eastAsiaTheme="minorEastAsia"/>
          <w:noProof/>
          <w:sz w:val="22"/>
          <w:szCs w:val="22"/>
          <w:lang w:val="en-CA" w:eastAsia="en-CA"/>
        </w:rPr>
      </w:pPr>
      <w:hyperlink w:anchor="_Toc74949413" w:history="1">
        <w:r w:rsidR="00AB5664" w:rsidRPr="009867C1">
          <w:rPr>
            <w:rStyle w:val="Hyperlink"/>
            <w:noProof/>
          </w:rPr>
          <w:t>Table B</w:t>
        </w:r>
        <w:r w:rsidR="00AB5664" w:rsidRPr="009867C1">
          <w:rPr>
            <w:rStyle w:val="Hyperlink"/>
            <w:noProof/>
          </w:rPr>
          <w:noBreakHyphen/>
          <w:t>1: Average mass at spawning for different salmon species used in salmon density calculations.</w:t>
        </w:r>
        <w:r w:rsidR="00AB5664" w:rsidRPr="009867C1">
          <w:rPr>
            <w:noProof/>
            <w:webHidden/>
          </w:rPr>
          <w:tab/>
        </w:r>
        <w:r w:rsidR="00AB5664" w:rsidRPr="009867C1">
          <w:rPr>
            <w:noProof/>
            <w:webHidden/>
          </w:rPr>
          <w:fldChar w:fldCharType="begin"/>
        </w:r>
        <w:r w:rsidR="00AB5664" w:rsidRPr="009867C1">
          <w:rPr>
            <w:noProof/>
            <w:webHidden/>
          </w:rPr>
          <w:instrText xml:space="preserve"> PAGEREF _Toc74949413 \h </w:instrText>
        </w:r>
        <w:r w:rsidR="00AB5664" w:rsidRPr="009867C1">
          <w:rPr>
            <w:noProof/>
            <w:webHidden/>
          </w:rPr>
        </w:r>
        <w:r w:rsidR="00AB5664" w:rsidRPr="009867C1">
          <w:rPr>
            <w:noProof/>
            <w:webHidden/>
          </w:rPr>
          <w:fldChar w:fldCharType="separate"/>
        </w:r>
        <w:r w:rsidR="000667DB">
          <w:rPr>
            <w:noProof/>
            <w:webHidden/>
          </w:rPr>
          <w:t>309</w:t>
        </w:r>
        <w:r w:rsidR="00AB5664" w:rsidRPr="009867C1">
          <w:rPr>
            <w:noProof/>
            <w:webHidden/>
          </w:rPr>
          <w:fldChar w:fldCharType="end"/>
        </w:r>
      </w:hyperlink>
    </w:p>
    <w:p w14:paraId="1706424F" w14:textId="0BB844B4" w:rsidR="00AB5664" w:rsidRPr="009867C1" w:rsidRDefault="00557CA9">
      <w:pPr>
        <w:pStyle w:val="TableofFigures"/>
        <w:tabs>
          <w:tab w:val="right" w:leader="dot" w:pos="9350"/>
        </w:tabs>
        <w:rPr>
          <w:rFonts w:eastAsiaTheme="minorEastAsia"/>
          <w:noProof/>
          <w:sz w:val="22"/>
          <w:szCs w:val="22"/>
          <w:lang w:val="en-CA" w:eastAsia="en-CA"/>
        </w:rPr>
      </w:pPr>
      <w:hyperlink w:anchor="_Toc74949414" w:history="1">
        <w:r w:rsidR="00AB5664" w:rsidRPr="009867C1">
          <w:rPr>
            <w:rStyle w:val="Hyperlink"/>
            <w:noProof/>
          </w:rPr>
          <w:t>Table B</w:t>
        </w:r>
        <w:r w:rsidR="00AB5664" w:rsidRPr="009867C1">
          <w:rPr>
            <w:rStyle w:val="Hyperlink"/>
            <w:noProof/>
          </w:rPr>
          <w:noBreakHyphen/>
          <w:t>2: Correlation table between salmon-density indices.</w:t>
        </w:r>
        <w:r w:rsidR="00AB5664" w:rsidRPr="009867C1">
          <w:rPr>
            <w:noProof/>
            <w:webHidden/>
          </w:rPr>
          <w:tab/>
        </w:r>
        <w:r w:rsidR="00AB5664" w:rsidRPr="009867C1">
          <w:rPr>
            <w:noProof/>
            <w:webHidden/>
          </w:rPr>
          <w:fldChar w:fldCharType="begin"/>
        </w:r>
        <w:r w:rsidR="00AB5664" w:rsidRPr="009867C1">
          <w:rPr>
            <w:noProof/>
            <w:webHidden/>
          </w:rPr>
          <w:instrText xml:space="preserve"> PAGEREF _Toc74949414 \h </w:instrText>
        </w:r>
        <w:r w:rsidR="00AB5664" w:rsidRPr="009867C1">
          <w:rPr>
            <w:noProof/>
            <w:webHidden/>
          </w:rPr>
        </w:r>
        <w:r w:rsidR="00AB5664" w:rsidRPr="009867C1">
          <w:rPr>
            <w:noProof/>
            <w:webHidden/>
          </w:rPr>
          <w:fldChar w:fldCharType="separate"/>
        </w:r>
        <w:r w:rsidR="000667DB">
          <w:rPr>
            <w:noProof/>
            <w:webHidden/>
          </w:rPr>
          <w:t>310</w:t>
        </w:r>
        <w:r w:rsidR="00AB5664" w:rsidRPr="009867C1">
          <w:rPr>
            <w:noProof/>
            <w:webHidden/>
          </w:rPr>
          <w:fldChar w:fldCharType="end"/>
        </w:r>
      </w:hyperlink>
    </w:p>
    <w:p w14:paraId="662A8B11" w14:textId="5534DF80" w:rsidR="00AB5664" w:rsidRPr="009867C1" w:rsidRDefault="00557CA9">
      <w:pPr>
        <w:pStyle w:val="TableofFigures"/>
        <w:tabs>
          <w:tab w:val="right" w:leader="dot" w:pos="9350"/>
        </w:tabs>
        <w:rPr>
          <w:rFonts w:eastAsiaTheme="minorEastAsia"/>
          <w:noProof/>
          <w:sz w:val="22"/>
          <w:szCs w:val="22"/>
          <w:lang w:val="en-CA" w:eastAsia="en-CA"/>
        </w:rPr>
      </w:pPr>
      <w:hyperlink w:anchor="_Toc74949415" w:history="1">
        <w:r w:rsidR="00AB5664" w:rsidRPr="009867C1">
          <w:rPr>
            <w:rStyle w:val="Hyperlink"/>
            <w:noProof/>
          </w:rPr>
          <w:t>Table B</w:t>
        </w:r>
        <w:r w:rsidR="00AB5664" w:rsidRPr="009867C1">
          <w:rPr>
            <w:rStyle w:val="Hyperlink"/>
            <w:noProof/>
          </w:rPr>
          <w:noBreakHyphen/>
          <w:t>3: Four principal components of biomass and the three density indices.</w:t>
        </w:r>
        <w:r w:rsidR="00AB5664" w:rsidRPr="009867C1">
          <w:rPr>
            <w:noProof/>
            <w:webHidden/>
          </w:rPr>
          <w:tab/>
        </w:r>
        <w:r w:rsidR="00AB5664" w:rsidRPr="009867C1">
          <w:rPr>
            <w:noProof/>
            <w:webHidden/>
          </w:rPr>
          <w:fldChar w:fldCharType="begin"/>
        </w:r>
        <w:r w:rsidR="00AB5664" w:rsidRPr="009867C1">
          <w:rPr>
            <w:noProof/>
            <w:webHidden/>
          </w:rPr>
          <w:instrText xml:space="preserve"> PAGEREF _Toc74949415 \h </w:instrText>
        </w:r>
        <w:r w:rsidR="00AB5664" w:rsidRPr="009867C1">
          <w:rPr>
            <w:noProof/>
            <w:webHidden/>
          </w:rPr>
        </w:r>
        <w:r w:rsidR="00AB5664" w:rsidRPr="009867C1">
          <w:rPr>
            <w:noProof/>
            <w:webHidden/>
          </w:rPr>
          <w:fldChar w:fldCharType="separate"/>
        </w:r>
        <w:r w:rsidR="000667DB">
          <w:rPr>
            <w:noProof/>
            <w:webHidden/>
          </w:rPr>
          <w:t>312</w:t>
        </w:r>
        <w:r w:rsidR="00AB5664" w:rsidRPr="009867C1">
          <w:rPr>
            <w:noProof/>
            <w:webHidden/>
          </w:rPr>
          <w:fldChar w:fldCharType="end"/>
        </w:r>
      </w:hyperlink>
    </w:p>
    <w:p w14:paraId="0925F820" w14:textId="0A9C518B" w:rsidR="00AB5664" w:rsidRPr="009867C1" w:rsidRDefault="00557CA9">
      <w:pPr>
        <w:pStyle w:val="TableofFigures"/>
        <w:tabs>
          <w:tab w:val="right" w:leader="dot" w:pos="9350"/>
        </w:tabs>
        <w:rPr>
          <w:rFonts w:eastAsiaTheme="minorEastAsia"/>
          <w:noProof/>
          <w:sz w:val="22"/>
          <w:szCs w:val="22"/>
          <w:lang w:val="en-CA" w:eastAsia="en-CA"/>
        </w:rPr>
      </w:pPr>
      <w:hyperlink w:anchor="_Toc74949416" w:history="1">
        <w:r w:rsidR="00AB5664" w:rsidRPr="009867C1">
          <w:rPr>
            <w:rStyle w:val="Hyperlink"/>
            <w:noProof/>
          </w:rPr>
          <w:t>Table C</w:t>
        </w:r>
        <w:r w:rsidR="00AB5664" w:rsidRPr="009867C1">
          <w:rPr>
            <w:rStyle w:val="Hyperlink"/>
            <w:noProof/>
          </w:rPr>
          <w:noBreakHyphen/>
          <w:t>1: Species observed and identified in this thesis</w:t>
        </w:r>
        <w:r w:rsidR="00AB5664" w:rsidRPr="009867C1">
          <w:rPr>
            <w:noProof/>
            <w:webHidden/>
          </w:rPr>
          <w:tab/>
        </w:r>
        <w:r w:rsidR="00AB5664" w:rsidRPr="009867C1">
          <w:rPr>
            <w:noProof/>
            <w:webHidden/>
          </w:rPr>
          <w:fldChar w:fldCharType="begin"/>
        </w:r>
        <w:r w:rsidR="00AB5664" w:rsidRPr="009867C1">
          <w:rPr>
            <w:noProof/>
            <w:webHidden/>
          </w:rPr>
          <w:instrText xml:space="preserve"> PAGEREF _Toc74949416 \h </w:instrText>
        </w:r>
        <w:r w:rsidR="00AB5664" w:rsidRPr="009867C1">
          <w:rPr>
            <w:noProof/>
            <w:webHidden/>
          </w:rPr>
        </w:r>
        <w:r w:rsidR="00AB5664" w:rsidRPr="009867C1">
          <w:rPr>
            <w:noProof/>
            <w:webHidden/>
          </w:rPr>
          <w:fldChar w:fldCharType="separate"/>
        </w:r>
        <w:r w:rsidR="000667DB">
          <w:rPr>
            <w:noProof/>
            <w:webHidden/>
          </w:rPr>
          <w:t>316</w:t>
        </w:r>
        <w:r w:rsidR="00AB5664" w:rsidRPr="009867C1">
          <w:rPr>
            <w:noProof/>
            <w:webHidden/>
          </w:rPr>
          <w:fldChar w:fldCharType="end"/>
        </w:r>
      </w:hyperlink>
    </w:p>
    <w:p w14:paraId="10AC9B26" w14:textId="1CD01C2C" w:rsidR="00AB5664" w:rsidRPr="009867C1" w:rsidRDefault="00557CA9">
      <w:pPr>
        <w:pStyle w:val="TableofFigures"/>
        <w:tabs>
          <w:tab w:val="right" w:leader="dot" w:pos="9350"/>
        </w:tabs>
        <w:rPr>
          <w:rFonts w:eastAsiaTheme="minorEastAsia"/>
          <w:noProof/>
          <w:sz w:val="22"/>
          <w:szCs w:val="22"/>
          <w:lang w:val="en-CA" w:eastAsia="en-CA"/>
        </w:rPr>
      </w:pPr>
      <w:hyperlink w:anchor="_Toc74949417" w:history="1">
        <w:r w:rsidR="00AB5664" w:rsidRPr="009867C1">
          <w:rPr>
            <w:rStyle w:val="Hyperlink"/>
            <w:noProof/>
          </w:rPr>
          <w:t>Table D</w:t>
        </w:r>
        <w:r w:rsidR="00AB5664" w:rsidRPr="009867C1">
          <w:rPr>
            <w:rStyle w:val="Hyperlink"/>
            <w:noProof/>
          </w:rPr>
          <w:noBreakHyphen/>
          <w:t>1: Nutrients, their molar masses and their proportion by mass of a salmon carcass.</w:t>
        </w:r>
        <w:r w:rsidR="00AB5664" w:rsidRPr="009867C1">
          <w:rPr>
            <w:noProof/>
            <w:webHidden/>
          </w:rPr>
          <w:tab/>
        </w:r>
        <w:r w:rsidR="00AB5664" w:rsidRPr="009867C1">
          <w:rPr>
            <w:noProof/>
            <w:webHidden/>
          </w:rPr>
          <w:fldChar w:fldCharType="begin"/>
        </w:r>
        <w:r w:rsidR="00AB5664" w:rsidRPr="009867C1">
          <w:rPr>
            <w:noProof/>
            <w:webHidden/>
          </w:rPr>
          <w:instrText xml:space="preserve"> PAGEREF _Toc74949417 \h </w:instrText>
        </w:r>
        <w:r w:rsidR="00AB5664" w:rsidRPr="009867C1">
          <w:rPr>
            <w:noProof/>
            <w:webHidden/>
          </w:rPr>
        </w:r>
        <w:r w:rsidR="00AB5664" w:rsidRPr="009867C1">
          <w:rPr>
            <w:noProof/>
            <w:webHidden/>
          </w:rPr>
          <w:fldChar w:fldCharType="separate"/>
        </w:r>
        <w:r w:rsidR="000667DB">
          <w:rPr>
            <w:noProof/>
            <w:webHidden/>
          </w:rPr>
          <w:t>334</w:t>
        </w:r>
        <w:r w:rsidR="00AB5664" w:rsidRPr="009867C1">
          <w:rPr>
            <w:noProof/>
            <w:webHidden/>
          </w:rPr>
          <w:fldChar w:fldCharType="end"/>
        </w:r>
      </w:hyperlink>
    </w:p>
    <w:p w14:paraId="48C8CB22" w14:textId="7A73AC13" w:rsidR="00AB5664" w:rsidRPr="009867C1" w:rsidRDefault="00557CA9">
      <w:pPr>
        <w:pStyle w:val="TableofFigures"/>
        <w:tabs>
          <w:tab w:val="right" w:leader="dot" w:pos="9350"/>
        </w:tabs>
        <w:rPr>
          <w:rFonts w:eastAsiaTheme="minorEastAsia"/>
          <w:noProof/>
          <w:sz w:val="22"/>
          <w:szCs w:val="22"/>
          <w:lang w:val="en-CA" w:eastAsia="en-CA"/>
        </w:rPr>
      </w:pPr>
      <w:hyperlink w:anchor="_Toc74949418" w:history="1">
        <w:r w:rsidR="00AB5664" w:rsidRPr="009867C1">
          <w:rPr>
            <w:rStyle w:val="Hyperlink"/>
            <w:noProof/>
          </w:rPr>
          <w:t>Table D</w:t>
        </w:r>
        <w:r w:rsidR="00AB5664" w:rsidRPr="009867C1">
          <w:rPr>
            <w:rStyle w:val="Hyperlink"/>
            <w:noProof/>
          </w:rPr>
          <w:noBreakHyphen/>
          <w:t>2: Compound salts used in Drake 2006 and in this study.</w:t>
        </w:r>
        <w:r w:rsidR="00AB5664" w:rsidRPr="009867C1">
          <w:rPr>
            <w:noProof/>
            <w:webHidden/>
          </w:rPr>
          <w:tab/>
        </w:r>
        <w:r w:rsidR="00AB5664" w:rsidRPr="009867C1">
          <w:rPr>
            <w:noProof/>
            <w:webHidden/>
          </w:rPr>
          <w:fldChar w:fldCharType="begin"/>
        </w:r>
        <w:r w:rsidR="00AB5664" w:rsidRPr="009867C1">
          <w:rPr>
            <w:noProof/>
            <w:webHidden/>
          </w:rPr>
          <w:instrText xml:space="preserve"> PAGEREF _Toc74949418 \h </w:instrText>
        </w:r>
        <w:r w:rsidR="00AB5664" w:rsidRPr="009867C1">
          <w:rPr>
            <w:noProof/>
            <w:webHidden/>
          </w:rPr>
        </w:r>
        <w:r w:rsidR="00AB5664" w:rsidRPr="009867C1">
          <w:rPr>
            <w:noProof/>
            <w:webHidden/>
          </w:rPr>
          <w:fldChar w:fldCharType="separate"/>
        </w:r>
        <w:r w:rsidR="000667DB">
          <w:rPr>
            <w:noProof/>
            <w:webHidden/>
          </w:rPr>
          <w:t>334</w:t>
        </w:r>
        <w:r w:rsidR="00AB5664" w:rsidRPr="009867C1">
          <w:rPr>
            <w:noProof/>
            <w:webHidden/>
          </w:rPr>
          <w:fldChar w:fldCharType="end"/>
        </w:r>
      </w:hyperlink>
    </w:p>
    <w:p w14:paraId="5A25B862" w14:textId="26589B45" w:rsidR="00AB5664" w:rsidRPr="009867C1" w:rsidRDefault="00557CA9">
      <w:pPr>
        <w:pStyle w:val="TableofFigures"/>
        <w:tabs>
          <w:tab w:val="right" w:leader="dot" w:pos="9350"/>
        </w:tabs>
        <w:rPr>
          <w:rFonts w:eastAsiaTheme="minorEastAsia"/>
          <w:noProof/>
          <w:sz w:val="22"/>
          <w:szCs w:val="22"/>
          <w:lang w:val="en-CA" w:eastAsia="en-CA"/>
        </w:rPr>
      </w:pPr>
      <w:hyperlink w:anchor="_Toc74949419" w:history="1">
        <w:r w:rsidR="00AB5664" w:rsidRPr="009867C1">
          <w:rPr>
            <w:rStyle w:val="Hyperlink"/>
            <w:noProof/>
          </w:rPr>
          <w:t>Table D</w:t>
        </w:r>
        <w:r w:rsidR="00AB5664" w:rsidRPr="009867C1">
          <w:rPr>
            <w:rStyle w:val="Hyperlink"/>
            <w:noProof/>
          </w:rPr>
          <w:noBreakHyphen/>
          <w:t>3: Amount of each compound added.</w:t>
        </w:r>
        <w:r w:rsidR="00AB5664" w:rsidRPr="009867C1">
          <w:rPr>
            <w:noProof/>
            <w:webHidden/>
          </w:rPr>
          <w:tab/>
        </w:r>
        <w:r w:rsidR="00AB5664" w:rsidRPr="009867C1">
          <w:rPr>
            <w:noProof/>
            <w:webHidden/>
          </w:rPr>
          <w:fldChar w:fldCharType="begin"/>
        </w:r>
        <w:r w:rsidR="00AB5664" w:rsidRPr="009867C1">
          <w:rPr>
            <w:noProof/>
            <w:webHidden/>
          </w:rPr>
          <w:instrText xml:space="preserve"> PAGEREF _Toc74949419 \h </w:instrText>
        </w:r>
        <w:r w:rsidR="00AB5664" w:rsidRPr="009867C1">
          <w:rPr>
            <w:noProof/>
            <w:webHidden/>
          </w:rPr>
        </w:r>
        <w:r w:rsidR="00AB5664" w:rsidRPr="009867C1">
          <w:rPr>
            <w:noProof/>
            <w:webHidden/>
          </w:rPr>
          <w:fldChar w:fldCharType="separate"/>
        </w:r>
        <w:r w:rsidR="000667DB">
          <w:rPr>
            <w:noProof/>
            <w:webHidden/>
          </w:rPr>
          <w:t>334</w:t>
        </w:r>
        <w:r w:rsidR="00AB5664" w:rsidRPr="009867C1">
          <w:rPr>
            <w:noProof/>
            <w:webHidden/>
          </w:rPr>
          <w:fldChar w:fldCharType="end"/>
        </w:r>
      </w:hyperlink>
    </w:p>
    <w:p w14:paraId="4AD98189" w14:textId="00ECBD36" w:rsidR="00E9753B" w:rsidRPr="009867C1" w:rsidRDefault="00F279B5" w:rsidP="004A1DFB">
      <w:pPr>
        <w:pStyle w:val="Heading1"/>
      </w:pPr>
      <w:r w:rsidRPr="009867C1">
        <w:fldChar w:fldCharType="end"/>
      </w:r>
      <w:bookmarkStart w:id="13" w:name="_Toc153357230"/>
      <w:bookmarkStart w:id="14" w:name="_Toc157169038"/>
      <w:r w:rsidR="00E9753B" w:rsidRPr="009867C1">
        <w:t>List of Figures</w:t>
      </w:r>
      <w:bookmarkEnd w:id="13"/>
      <w:bookmarkEnd w:id="14"/>
    </w:p>
    <w:p w14:paraId="10F479DB" w14:textId="221848D9" w:rsidR="00660F9E" w:rsidRDefault="00F16FAD">
      <w:pPr>
        <w:pStyle w:val="TableofFigures"/>
        <w:tabs>
          <w:tab w:val="right" w:leader="dot" w:pos="9350"/>
        </w:tabs>
        <w:rPr>
          <w:rFonts w:asciiTheme="minorHAnsi" w:eastAsiaTheme="minorEastAsia" w:hAnsiTheme="minorHAnsi" w:cstheme="minorBidi"/>
          <w:noProof/>
          <w:sz w:val="22"/>
          <w:szCs w:val="22"/>
          <w:lang w:val="en-CA" w:eastAsia="en-CA"/>
        </w:rPr>
      </w:pPr>
      <w:r w:rsidRPr="009867C1">
        <w:fldChar w:fldCharType="begin"/>
      </w:r>
      <w:r w:rsidRPr="009867C1">
        <w:instrText xml:space="preserve"> TOC \c "Figure" </w:instrText>
      </w:r>
      <w:r w:rsidRPr="009867C1">
        <w:fldChar w:fldCharType="separate"/>
      </w:r>
      <w:r w:rsidR="00660F9E">
        <w:rPr>
          <w:noProof/>
        </w:rPr>
        <w:t>Figure 2</w:t>
      </w:r>
      <w:r w:rsidR="00660F9E">
        <w:rPr>
          <w:noProof/>
        </w:rPr>
        <w:noBreakHyphen/>
        <w:t>1: Canonical correspondence ordination for aggregate soil chemistry.</w:t>
      </w:r>
      <w:r w:rsidR="00660F9E">
        <w:rPr>
          <w:noProof/>
        </w:rPr>
        <w:tab/>
      </w:r>
      <w:r w:rsidR="00660F9E">
        <w:rPr>
          <w:noProof/>
        </w:rPr>
        <w:fldChar w:fldCharType="begin"/>
      </w:r>
      <w:r w:rsidR="00660F9E">
        <w:rPr>
          <w:noProof/>
        </w:rPr>
        <w:instrText xml:space="preserve"> PAGEREF _Toc101783799 \h </w:instrText>
      </w:r>
      <w:r w:rsidR="00660F9E">
        <w:rPr>
          <w:noProof/>
        </w:rPr>
      </w:r>
      <w:r w:rsidR="00660F9E">
        <w:rPr>
          <w:noProof/>
        </w:rPr>
        <w:fldChar w:fldCharType="separate"/>
      </w:r>
      <w:r w:rsidR="000667DB">
        <w:rPr>
          <w:noProof/>
        </w:rPr>
        <w:t>61</w:t>
      </w:r>
      <w:r w:rsidR="00660F9E">
        <w:rPr>
          <w:noProof/>
        </w:rPr>
        <w:fldChar w:fldCharType="end"/>
      </w:r>
    </w:p>
    <w:p w14:paraId="0DF38A86" w14:textId="1EA37F1E" w:rsidR="00660F9E" w:rsidRDefault="00660F9E">
      <w:pPr>
        <w:pStyle w:val="TableofFigures"/>
        <w:tabs>
          <w:tab w:val="right" w:leader="dot" w:pos="9350"/>
        </w:tabs>
        <w:rPr>
          <w:rFonts w:asciiTheme="minorHAnsi" w:eastAsiaTheme="minorEastAsia" w:hAnsiTheme="minorHAnsi" w:cstheme="minorBidi"/>
          <w:noProof/>
          <w:sz w:val="22"/>
          <w:szCs w:val="22"/>
          <w:lang w:val="en-CA" w:eastAsia="en-CA"/>
        </w:rPr>
      </w:pPr>
      <w:r>
        <w:rPr>
          <w:noProof/>
        </w:rPr>
        <w:t>Figure 2</w:t>
      </w:r>
      <w:r>
        <w:rPr>
          <w:noProof/>
        </w:rPr>
        <w:noBreakHyphen/>
        <w:t>2: Nitrogen GLM results for regional gradient data and boxplots for above/below waterfall data.</w:t>
      </w:r>
      <w:r>
        <w:rPr>
          <w:noProof/>
        </w:rPr>
        <w:tab/>
      </w:r>
      <w:r>
        <w:rPr>
          <w:noProof/>
        </w:rPr>
        <w:fldChar w:fldCharType="begin"/>
      </w:r>
      <w:r>
        <w:rPr>
          <w:noProof/>
        </w:rPr>
        <w:instrText xml:space="preserve"> PAGEREF _Toc101783800 \h </w:instrText>
      </w:r>
      <w:r>
        <w:rPr>
          <w:noProof/>
        </w:rPr>
      </w:r>
      <w:r>
        <w:rPr>
          <w:noProof/>
        </w:rPr>
        <w:fldChar w:fldCharType="separate"/>
      </w:r>
      <w:r w:rsidR="000667DB">
        <w:rPr>
          <w:noProof/>
        </w:rPr>
        <w:t>64</w:t>
      </w:r>
      <w:r>
        <w:rPr>
          <w:noProof/>
        </w:rPr>
        <w:fldChar w:fldCharType="end"/>
      </w:r>
    </w:p>
    <w:p w14:paraId="5315E07D" w14:textId="060CC5D4" w:rsidR="00660F9E" w:rsidRDefault="00660F9E">
      <w:pPr>
        <w:pStyle w:val="TableofFigures"/>
        <w:tabs>
          <w:tab w:val="right" w:leader="dot" w:pos="9350"/>
        </w:tabs>
        <w:rPr>
          <w:rFonts w:asciiTheme="minorHAnsi" w:eastAsiaTheme="minorEastAsia" w:hAnsiTheme="minorHAnsi" w:cstheme="minorBidi"/>
          <w:noProof/>
          <w:sz w:val="22"/>
          <w:szCs w:val="22"/>
          <w:lang w:val="en-CA" w:eastAsia="en-CA"/>
        </w:rPr>
      </w:pPr>
      <w:r>
        <w:rPr>
          <w:noProof/>
        </w:rPr>
        <w:t>Figure 2</w:t>
      </w:r>
      <w:r>
        <w:rPr>
          <w:noProof/>
        </w:rPr>
        <w:noBreakHyphen/>
        <w:t>3: pH and organic substance GLM results for regional gradient data and boxplots for above/below waterfall data.</w:t>
      </w:r>
      <w:r>
        <w:rPr>
          <w:noProof/>
        </w:rPr>
        <w:tab/>
      </w:r>
      <w:r>
        <w:rPr>
          <w:noProof/>
        </w:rPr>
        <w:fldChar w:fldCharType="begin"/>
      </w:r>
      <w:r>
        <w:rPr>
          <w:noProof/>
        </w:rPr>
        <w:instrText xml:space="preserve"> PAGEREF _Toc101783801 \h </w:instrText>
      </w:r>
      <w:r>
        <w:rPr>
          <w:noProof/>
        </w:rPr>
      </w:r>
      <w:r>
        <w:rPr>
          <w:noProof/>
        </w:rPr>
        <w:fldChar w:fldCharType="separate"/>
      </w:r>
      <w:r w:rsidR="000667DB">
        <w:rPr>
          <w:noProof/>
        </w:rPr>
        <w:t>67</w:t>
      </w:r>
      <w:r>
        <w:rPr>
          <w:noProof/>
        </w:rPr>
        <w:fldChar w:fldCharType="end"/>
      </w:r>
    </w:p>
    <w:p w14:paraId="095202E4" w14:textId="3E918CCB" w:rsidR="00660F9E" w:rsidRDefault="00660F9E">
      <w:pPr>
        <w:pStyle w:val="TableofFigures"/>
        <w:tabs>
          <w:tab w:val="right" w:leader="dot" w:pos="9350"/>
        </w:tabs>
        <w:rPr>
          <w:rFonts w:asciiTheme="minorHAnsi" w:eastAsiaTheme="minorEastAsia" w:hAnsiTheme="minorHAnsi" w:cstheme="minorBidi"/>
          <w:noProof/>
          <w:sz w:val="22"/>
          <w:szCs w:val="22"/>
          <w:lang w:val="en-CA" w:eastAsia="en-CA"/>
        </w:rPr>
      </w:pPr>
      <w:r>
        <w:rPr>
          <w:noProof/>
        </w:rPr>
        <w:t>Figure 2</w:t>
      </w:r>
      <w:r>
        <w:rPr>
          <w:noProof/>
        </w:rPr>
        <w:noBreakHyphen/>
        <w:t>4: Exchangeable cations GLM results for regional gradient data and boxplots for above/below waterfall data.</w:t>
      </w:r>
      <w:r>
        <w:rPr>
          <w:noProof/>
        </w:rPr>
        <w:tab/>
      </w:r>
      <w:r>
        <w:rPr>
          <w:noProof/>
        </w:rPr>
        <w:fldChar w:fldCharType="begin"/>
      </w:r>
      <w:r>
        <w:rPr>
          <w:noProof/>
        </w:rPr>
        <w:instrText xml:space="preserve"> PAGEREF _Toc101783802 \h </w:instrText>
      </w:r>
      <w:r>
        <w:rPr>
          <w:noProof/>
        </w:rPr>
      </w:r>
      <w:r>
        <w:rPr>
          <w:noProof/>
        </w:rPr>
        <w:fldChar w:fldCharType="separate"/>
      </w:r>
      <w:r w:rsidR="000667DB">
        <w:rPr>
          <w:noProof/>
        </w:rPr>
        <w:t>69</w:t>
      </w:r>
      <w:r>
        <w:rPr>
          <w:noProof/>
        </w:rPr>
        <w:fldChar w:fldCharType="end"/>
      </w:r>
    </w:p>
    <w:p w14:paraId="2A459263" w14:textId="6E677CF0" w:rsidR="00660F9E" w:rsidRDefault="00660F9E">
      <w:pPr>
        <w:pStyle w:val="TableofFigures"/>
        <w:tabs>
          <w:tab w:val="right" w:leader="dot" w:pos="9350"/>
        </w:tabs>
        <w:rPr>
          <w:rFonts w:asciiTheme="minorHAnsi" w:eastAsiaTheme="minorEastAsia" w:hAnsiTheme="minorHAnsi" w:cstheme="minorBidi"/>
          <w:noProof/>
          <w:sz w:val="22"/>
          <w:szCs w:val="22"/>
          <w:lang w:val="en-CA" w:eastAsia="en-CA"/>
        </w:rPr>
      </w:pPr>
      <w:r>
        <w:rPr>
          <w:noProof/>
        </w:rPr>
        <w:t>Figure 2</w:t>
      </w:r>
      <w:r>
        <w:rPr>
          <w:noProof/>
        </w:rPr>
        <w:noBreakHyphen/>
        <w:t>5: Metal GLM results for regional gradient data and boxplots for above/below waterfall data.</w:t>
      </w:r>
      <w:r>
        <w:rPr>
          <w:noProof/>
        </w:rPr>
        <w:tab/>
      </w:r>
      <w:r>
        <w:rPr>
          <w:noProof/>
        </w:rPr>
        <w:fldChar w:fldCharType="begin"/>
      </w:r>
      <w:r>
        <w:rPr>
          <w:noProof/>
        </w:rPr>
        <w:instrText xml:space="preserve"> PAGEREF _Toc101783803 \h </w:instrText>
      </w:r>
      <w:r>
        <w:rPr>
          <w:noProof/>
        </w:rPr>
      </w:r>
      <w:r>
        <w:rPr>
          <w:noProof/>
        </w:rPr>
        <w:fldChar w:fldCharType="separate"/>
      </w:r>
      <w:r w:rsidR="000667DB">
        <w:rPr>
          <w:noProof/>
        </w:rPr>
        <w:t>73</w:t>
      </w:r>
      <w:r>
        <w:rPr>
          <w:noProof/>
        </w:rPr>
        <w:fldChar w:fldCharType="end"/>
      </w:r>
    </w:p>
    <w:p w14:paraId="4A0DA439" w14:textId="5AC3606B" w:rsidR="00660F9E" w:rsidRDefault="00660F9E">
      <w:pPr>
        <w:pStyle w:val="TableofFigures"/>
        <w:tabs>
          <w:tab w:val="right" w:leader="dot" w:pos="9350"/>
        </w:tabs>
        <w:rPr>
          <w:rFonts w:asciiTheme="minorHAnsi" w:eastAsiaTheme="minorEastAsia" w:hAnsiTheme="minorHAnsi" w:cstheme="minorBidi"/>
          <w:noProof/>
          <w:sz w:val="22"/>
          <w:szCs w:val="22"/>
          <w:lang w:val="en-CA" w:eastAsia="en-CA"/>
        </w:rPr>
      </w:pPr>
      <w:r>
        <w:rPr>
          <w:noProof/>
        </w:rPr>
        <w:t>Figure 2</w:t>
      </w:r>
      <w:r>
        <w:rPr>
          <w:noProof/>
        </w:rPr>
        <w:noBreakHyphen/>
        <w:t>6:  Ergosterol GLM results for regional gradient data and boxplots for above/below waterfall data.</w:t>
      </w:r>
      <w:r>
        <w:rPr>
          <w:noProof/>
        </w:rPr>
        <w:tab/>
      </w:r>
      <w:r>
        <w:rPr>
          <w:noProof/>
        </w:rPr>
        <w:fldChar w:fldCharType="begin"/>
      </w:r>
      <w:r>
        <w:rPr>
          <w:noProof/>
        </w:rPr>
        <w:instrText xml:space="preserve"> PAGEREF _Toc101783804 \h </w:instrText>
      </w:r>
      <w:r>
        <w:rPr>
          <w:noProof/>
        </w:rPr>
      </w:r>
      <w:r>
        <w:rPr>
          <w:noProof/>
        </w:rPr>
        <w:fldChar w:fldCharType="separate"/>
      </w:r>
      <w:r w:rsidR="000667DB">
        <w:rPr>
          <w:noProof/>
        </w:rPr>
        <w:t>74</w:t>
      </w:r>
      <w:r>
        <w:rPr>
          <w:noProof/>
        </w:rPr>
        <w:fldChar w:fldCharType="end"/>
      </w:r>
    </w:p>
    <w:p w14:paraId="08620AC2" w14:textId="61361DBE" w:rsidR="00660F9E" w:rsidRDefault="00660F9E">
      <w:pPr>
        <w:pStyle w:val="TableofFigures"/>
        <w:tabs>
          <w:tab w:val="right" w:leader="dot" w:pos="9350"/>
        </w:tabs>
        <w:rPr>
          <w:rFonts w:asciiTheme="minorHAnsi" w:eastAsiaTheme="minorEastAsia" w:hAnsiTheme="minorHAnsi" w:cstheme="minorBidi"/>
          <w:noProof/>
          <w:sz w:val="22"/>
          <w:szCs w:val="22"/>
          <w:lang w:val="en-CA" w:eastAsia="en-CA"/>
        </w:rPr>
      </w:pPr>
      <w:r>
        <w:rPr>
          <w:noProof/>
        </w:rPr>
        <w:t>Figure 2</w:t>
      </w:r>
      <w:r>
        <w:rPr>
          <w:noProof/>
        </w:rPr>
        <w:noBreakHyphen/>
        <w:t>7: Random forest model response for all chemical response variables as a function of an extended set of explanatory variables.</w:t>
      </w:r>
      <w:r>
        <w:rPr>
          <w:noProof/>
        </w:rPr>
        <w:tab/>
      </w:r>
      <w:r>
        <w:rPr>
          <w:noProof/>
        </w:rPr>
        <w:fldChar w:fldCharType="begin"/>
      </w:r>
      <w:r>
        <w:rPr>
          <w:noProof/>
        </w:rPr>
        <w:instrText xml:space="preserve"> PAGEREF _Toc101783805 \h </w:instrText>
      </w:r>
      <w:r>
        <w:rPr>
          <w:noProof/>
        </w:rPr>
      </w:r>
      <w:r>
        <w:rPr>
          <w:noProof/>
        </w:rPr>
        <w:fldChar w:fldCharType="separate"/>
      </w:r>
      <w:r w:rsidR="000667DB">
        <w:rPr>
          <w:noProof/>
        </w:rPr>
        <w:t>77</w:t>
      </w:r>
      <w:r>
        <w:rPr>
          <w:noProof/>
        </w:rPr>
        <w:fldChar w:fldCharType="end"/>
      </w:r>
    </w:p>
    <w:p w14:paraId="3443651B" w14:textId="0733C896" w:rsidR="00660F9E" w:rsidRDefault="00660F9E">
      <w:pPr>
        <w:pStyle w:val="TableofFigures"/>
        <w:tabs>
          <w:tab w:val="right" w:leader="dot" w:pos="9350"/>
        </w:tabs>
        <w:rPr>
          <w:rFonts w:asciiTheme="minorHAnsi" w:eastAsiaTheme="minorEastAsia" w:hAnsiTheme="minorHAnsi" w:cstheme="minorBidi"/>
          <w:noProof/>
          <w:sz w:val="22"/>
          <w:szCs w:val="22"/>
          <w:lang w:val="en-CA" w:eastAsia="en-CA"/>
        </w:rPr>
      </w:pPr>
      <w:r>
        <w:rPr>
          <w:noProof/>
        </w:rPr>
        <w:t>Figure 2</w:t>
      </w:r>
      <w:r>
        <w:rPr>
          <w:noProof/>
        </w:rPr>
        <w:noBreakHyphen/>
        <w:t>8: Calcium to aluminum ratio along the salmon regional gradient and above and below waterfalls.</w:t>
      </w:r>
      <w:r>
        <w:rPr>
          <w:noProof/>
        </w:rPr>
        <w:tab/>
      </w:r>
      <w:r>
        <w:rPr>
          <w:noProof/>
        </w:rPr>
        <w:fldChar w:fldCharType="begin"/>
      </w:r>
      <w:r>
        <w:rPr>
          <w:noProof/>
        </w:rPr>
        <w:instrText xml:space="preserve"> PAGEREF _Toc101783806 \h </w:instrText>
      </w:r>
      <w:r>
        <w:rPr>
          <w:noProof/>
        </w:rPr>
      </w:r>
      <w:r>
        <w:rPr>
          <w:noProof/>
        </w:rPr>
        <w:fldChar w:fldCharType="separate"/>
      </w:r>
      <w:r w:rsidR="000667DB">
        <w:rPr>
          <w:noProof/>
        </w:rPr>
        <w:t>78</w:t>
      </w:r>
      <w:r>
        <w:rPr>
          <w:noProof/>
        </w:rPr>
        <w:fldChar w:fldCharType="end"/>
      </w:r>
    </w:p>
    <w:p w14:paraId="188A923B" w14:textId="4C4D41DE" w:rsidR="00660F9E" w:rsidRDefault="00660F9E">
      <w:pPr>
        <w:pStyle w:val="TableofFigures"/>
        <w:tabs>
          <w:tab w:val="right" w:leader="dot" w:pos="9350"/>
        </w:tabs>
        <w:rPr>
          <w:rFonts w:asciiTheme="minorHAnsi" w:eastAsiaTheme="minorEastAsia" w:hAnsiTheme="minorHAnsi" w:cstheme="minorBidi"/>
          <w:noProof/>
          <w:sz w:val="22"/>
          <w:szCs w:val="22"/>
          <w:lang w:val="en-CA" w:eastAsia="en-CA"/>
        </w:rPr>
      </w:pPr>
      <w:r>
        <w:rPr>
          <w:noProof/>
        </w:rPr>
        <w:t>Figure 2</w:t>
      </w:r>
      <w:r>
        <w:rPr>
          <w:noProof/>
        </w:rPr>
        <w:noBreakHyphen/>
        <w:t>9: A comparison of forest floor and organic soil values from across a regional gradient of salmon density for pH, cation exchange capacity (CEC), total soil organic carbon (SOC), soil organic nitrogen (SON) and the C:N ratio for forest floor soil from this study (FF), organic soil from this study (O) and regional averages</w:t>
      </w:r>
      <w:r>
        <w:rPr>
          <w:noProof/>
        </w:rPr>
        <w:tab/>
      </w:r>
      <w:r>
        <w:rPr>
          <w:noProof/>
        </w:rPr>
        <w:fldChar w:fldCharType="begin"/>
      </w:r>
      <w:r>
        <w:rPr>
          <w:noProof/>
        </w:rPr>
        <w:instrText xml:space="preserve"> PAGEREF _Toc101783807 \h </w:instrText>
      </w:r>
      <w:r>
        <w:rPr>
          <w:noProof/>
        </w:rPr>
      </w:r>
      <w:r>
        <w:rPr>
          <w:noProof/>
        </w:rPr>
        <w:fldChar w:fldCharType="separate"/>
      </w:r>
      <w:r w:rsidR="000667DB">
        <w:rPr>
          <w:noProof/>
        </w:rPr>
        <w:t>80</w:t>
      </w:r>
      <w:r>
        <w:rPr>
          <w:noProof/>
        </w:rPr>
        <w:fldChar w:fldCharType="end"/>
      </w:r>
    </w:p>
    <w:p w14:paraId="1718979C" w14:textId="41EE539F" w:rsidR="00660F9E" w:rsidRDefault="00660F9E">
      <w:pPr>
        <w:pStyle w:val="TableofFigures"/>
        <w:tabs>
          <w:tab w:val="right" w:leader="dot" w:pos="9350"/>
        </w:tabs>
        <w:rPr>
          <w:rFonts w:asciiTheme="minorHAnsi" w:eastAsiaTheme="minorEastAsia" w:hAnsiTheme="minorHAnsi" w:cstheme="minorBidi"/>
          <w:noProof/>
          <w:sz w:val="22"/>
          <w:szCs w:val="22"/>
          <w:lang w:val="en-CA" w:eastAsia="en-CA"/>
        </w:rPr>
      </w:pPr>
      <w:r>
        <w:rPr>
          <w:noProof/>
        </w:rPr>
        <w:t>Figure 3</w:t>
      </w:r>
      <w:r>
        <w:rPr>
          <w:noProof/>
        </w:rPr>
        <w:noBreakHyphen/>
        <w:t xml:space="preserve">1: A: Conceptual outline of N and </w:t>
      </w:r>
      <w:r w:rsidRPr="00AB29D1">
        <w:rPr>
          <w:noProof/>
          <w:vertAlign w:val="superscript"/>
        </w:rPr>
        <w:t>15</w:t>
      </w:r>
      <w:r>
        <w:rPr>
          <w:noProof/>
        </w:rPr>
        <w:t xml:space="preserve">N transfer, with expectations of isotopic enrichment in pools highlighted green and depletion in red. Expectations of fractionation factors associated with flows are in brackets. B: Expectations of </w:t>
      </w:r>
      <w:r w:rsidRPr="00AB29D1">
        <w:rPr>
          <w:noProof/>
          <w:vertAlign w:val="superscript"/>
        </w:rPr>
        <w:t>15</w:t>
      </w:r>
      <w:r>
        <w:rPr>
          <w:noProof/>
        </w:rPr>
        <w:t>N discrimination between belowground and aboveground compartments due to i. increases in mycorrhizal transfer rate; and ii. increasing salmon inputs.</w:t>
      </w:r>
      <w:r>
        <w:rPr>
          <w:noProof/>
        </w:rPr>
        <w:tab/>
      </w:r>
      <w:r>
        <w:rPr>
          <w:noProof/>
        </w:rPr>
        <w:fldChar w:fldCharType="begin"/>
      </w:r>
      <w:r>
        <w:rPr>
          <w:noProof/>
        </w:rPr>
        <w:instrText xml:space="preserve"> PAGEREF _Toc101783808 \h </w:instrText>
      </w:r>
      <w:r>
        <w:rPr>
          <w:noProof/>
        </w:rPr>
      </w:r>
      <w:r>
        <w:rPr>
          <w:noProof/>
        </w:rPr>
        <w:fldChar w:fldCharType="separate"/>
      </w:r>
      <w:r w:rsidR="000667DB">
        <w:rPr>
          <w:noProof/>
        </w:rPr>
        <w:t>104</w:t>
      </w:r>
      <w:r>
        <w:rPr>
          <w:noProof/>
        </w:rPr>
        <w:fldChar w:fldCharType="end"/>
      </w:r>
    </w:p>
    <w:p w14:paraId="257CFBAA" w14:textId="0AE48824" w:rsidR="00660F9E" w:rsidRDefault="00660F9E">
      <w:pPr>
        <w:pStyle w:val="TableofFigures"/>
        <w:tabs>
          <w:tab w:val="right" w:leader="dot" w:pos="9350"/>
        </w:tabs>
        <w:rPr>
          <w:rFonts w:asciiTheme="minorHAnsi" w:eastAsiaTheme="minorEastAsia" w:hAnsiTheme="minorHAnsi" w:cstheme="minorBidi"/>
          <w:noProof/>
          <w:sz w:val="22"/>
          <w:szCs w:val="22"/>
          <w:lang w:val="en-CA" w:eastAsia="en-CA"/>
        </w:rPr>
      </w:pPr>
      <w:r>
        <w:rPr>
          <w:noProof/>
        </w:rPr>
        <w:t>Figure 3</w:t>
      </w:r>
      <w:r>
        <w:rPr>
          <w:noProof/>
        </w:rPr>
        <w:noBreakHyphen/>
        <w:t>2: δ</w:t>
      </w:r>
      <w:r w:rsidRPr="00AB29D1">
        <w:rPr>
          <w:noProof/>
          <w:vertAlign w:val="superscript"/>
        </w:rPr>
        <w:t>15</w:t>
      </w:r>
      <w:r>
        <w:rPr>
          <w:noProof/>
        </w:rPr>
        <w:t>N, %N, δ</w:t>
      </w:r>
      <w:r w:rsidRPr="00AB29D1">
        <w:rPr>
          <w:noProof/>
          <w:vertAlign w:val="superscript"/>
        </w:rPr>
        <w:t>13</w:t>
      </w:r>
      <w:r>
        <w:rPr>
          <w:noProof/>
        </w:rPr>
        <w:t>C, %C, and C:N ratio as a function of salmon density (p in axes and titles denotes percent).</w:t>
      </w:r>
      <w:r>
        <w:rPr>
          <w:noProof/>
        </w:rPr>
        <w:tab/>
      </w:r>
      <w:r>
        <w:rPr>
          <w:noProof/>
        </w:rPr>
        <w:fldChar w:fldCharType="begin"/>
      </w:r>
      <w:r>
        <w:rPr>
          <w:noProof/>
        </w:rPr>
        <w:instrText xml:space="preserve"> PAGEREF _Toc101783809 \h </w:instrText>
      </w:r>
      <w:r>
        <w:rPr>
          <w:noProof/>
        </w:rPr>
      </w:r>
      <w:r>
        <w:rPr>
          <w:noProof/>
        </w:rPr>
        <w:fldChar w:fldCharType="separate"/>
      </w:r>
      <w:r w:rsidR="000667DB">
        <w:rPr>
          <w:noProof/>
        </w:rPr>
        <w:t>105</w:t>
      </w:r>
      <w:r>
        <w:rPr>
          <w:noProof/>
        </w:rPr>
        <w:fldChar w:fldCharType="end"/>
      </w:r>
    </w:p>
    <w:p w14:paraId="46CF60E1" w14:textId="6015827F" w:rsidR="00660F9E" w:rsidRDefault="00660F9E">
      <w:pPr>
        <w:pStyle w:val="TableofFigures"/>
        <w:tabs>
          <w:tab w:val="right" w:leader="dot" w:pos="9350"/>
        </w:tabs>
        <w:rPr>
          <w:rFonts w:asciiTheme="minorHAnsi" w:eastAsiaTheme="minorEastAsia" w:hAnsiTheme="minorHAnsi" w:cstheme="minorBidi"/>
          <w:noProof/>
          <w:sz w:val="22"/>
          <w:szCs w:val="22"/>
          <w:lang w:val="en-CA" w:eastAsia="en-CA"/>
        </w:rPr>
      </w:pPr>
      <w:r>
        <w:rPr>
          <w:noProof/>
        </w:rPr>
        <w:t>Figure 3</w:t>
      </w:r>
      <w:r>
        <w:rPr>
          <w:noProof/>
        </w:rPr>
        <w:noBreakHyphen/>
        <w:t>3: Averaged standardized GLM coefficients for all explanatory variables (EVs) in the linear models δ</w:t>
      </w:r>
      <w:r w:rsidRPr="00AB29D1">
        <w:rPr>
          <w:noProof/>
          <w:vertAlign w:val="superscript"/>
        </w:rPr>
        <w:t>15</w:t>
      </w:r>
      <w:r>
        <w:rPr>
          <w:noProof/>
        </w:rPr>
        <w:t>N</w:t>
      </w:r>
      <w:r w:rsidRPr="00AB29D1">
        <w:rPr>
          <w:noProof/>
          <w:vertAlign w:val="subscript"/>
        </w:rPr>
        <w:t>sample type</w:t>
      </w:r>
      <w:r>
        <w:rPr>
          <w:noProof/>
        </w:rPr>
        <w:t xml:space="preserve"> ~ EVs (first column) and %N</w:t>
      </w:r>
      <w:r w:rsidRPr="00AB29D1">
        <w:rPr>
          <w:noProof/>
          <w:vertAlign w:val="subscript"/>
        </w:rPr>
        <w:t>sample type</w:t>
      </w:r>
      <w:r>
        <w:rPr>
          <w:noProof/>
        </w:rPr>
        <w:t xml:space="preserve"> ~ EVs (second column).</w:t>
      </w:r>
      <w:r>
        <w:rPr>
          <w:noProof/>
        </w:rPr>
        <w:tab/>
      </w:r>
      <w:r>
        <w:rPr>
          <w:noProof/>
        </w:rPr>
        <w:fldChar w:fldCharType="begin"/>
      </w:r>
      <w:r>
        <w:rPr>
          <w:noProof/>
        </w:rPr>
        <w:instrText xml:space="preserve"> PAGEREF _Toc101783810 \h </w:instrText>
      </w:r>
      <w:r>
        <w:rPr>
          <w:noProof/>
        </w:rPr>
      </w:r>
      <w:r>
        <w:rPr>
          <w:noProof/>
        </w:rPr>
        <w:fldChar w:fldCharType="separate"/>
      </w:r>
      <w:r w:rsidR="000667DB">
        <w:rPr>
          <w:noProof/>
        </w:rPr>
        <w:t>108</w:t>
      </w:r>
      <w:r>
        <w:rPr>
          <w:noProof/>
        </w:rPr>
        <w:fldChar w:fldCharType="end"/>
      </w:r>
    </w:p>
    <w:p w14:paraId="1CC47374" w14:textId="018891CE" w:rsidR="00660F9E" w:rsidRDefault="00660F9E">
      <w:pPr>
        <w:pStyle w:val="TableofFigures"/>
        <w:tabs>
          <w:tab w:val="right" w:leader="dot" w:pos="9350"/>
        </w:tabs>
        <w:rPr>
          <w:rFonts w:asciiTheme="minorHAnsi" w:eastAsiaTheme="minorEastAsia" w:hAnsiTheme="minorHAnsi" w:cstheme="minorBidi"/>
          <w:noProof/>
          <w:sz w:val="22"/>
          <w:szCs w:val="22"/>
          <w:lang w:val="en-CA" w:eastAsia="en-CA"/>
        </w:rPr>
      </w:pPr>
      <w:r>
        <w:rPr>
          <w:noProof/>
        </w:rPr>
        <w:t>Figure 3</w:t>
      </w:r>
      <w:r>
        <w:rPr>
          <w:noProof/>
        </w:rPr>
        <w:noBreakHyphen/>
        <w:t>4: Averaged standardized GLM coefficients for all explanatory variables (EVs) in the linear models δ</w:t>
      </w:r>
      <w:r w:rsidRPr="00AB29D1">
        <w:rPr>
          <w:noProof/>
          <w:vertAlign w:val="superscript"/>
        </w:rPr>
        <w:t>13</w:t>
      </w:r>
      <w:r>
        <w:rPr>
          <w:noProof/>
        </w:rPr>
        <w:t>C</w:t>
      </w:r>
      <w:r w:rsidRPr="00AB29D1">
        <w:rPr>
          <w:noProof/>
          <w:vertAlign w:val="subscript"/>
        </w:rPr>
        <w:t>sample type</w:t>
      </w:r>
      <w:r>
        <w:rPr>
          <w:noProof/>
        </w:rPr>
        <w:t xml:space="preserve"> ~ EVs (first column) and %C</w:t>
      </w:r>
      <w:r w:rsidRPr="00AB29D1">
        <w:rPr>
          <w:noProof/>
          <w:vertAlign w:val="subscript"/>
        </w:rPr>
        <w:t>sample type</w:t>
      </w:r>
      <w:r>
        <w:rPr>
          <w:noProof/>
        </w:rPr>
        <w:t xml:space="preserve"> ~ EVs (second column) and C</w:t>
      </w:r>
      <w:r w:rsidRPr="00AB29D1">
        <w:rPr>
          <w:noProof/>
          <w:vertAlign w:val="subscript"/>
        </w:rPr>
        <w:t>sample type</w:t>
      </w:r>
      <w:r>
        <w:rPr>
          <w:noProof/>
        </w:rPr>
        <w:t xml:space="preserve"> : N</w:t>
      </w:r>
      <w:r w:rsidRPr="00AB29D1">
        <w:rPr>
          <w:noProof/>
          <w:vertAlign w:val="subscript"/>
        </w:rPr>
        <w:t>sample type</w:t>
      </w:r>
      <w:r>
        <w:rPr>
          <w:noProof/>
        </w:rPr>
        <w:t xml:space="preserve"> ~ EVs (third column).</w:t>
      </w:r>
      <w:r>
        <w:rPr>
          <w:noProof/>
        </w:rPr>
        <w:tab/>
      </w:r>
      <w:r>
        <w:rPr>
          <w:noProof/>
        </w:rPr>
        <w:fldChar w:fldCharType="begin"/>
      </w:r>
      <w:r>
        <w:rPr>
          <w:noProof/>
        </w:rPr>
        <w:instrText xml:space="preserve"> PAGEREF _Toc101783811 \h </w:instrText>
      </w:r>
      <w:r>
        <w:rPr>
          <w:noProof/>
        </w:rPr>
      </w:r>
      <w:r>
        <w:rPr>
          <w:noProof/>
        </w:rPr>
        <w:fldChar w:fldCharType="separate"/>
      </w:r>
      <w:r w:rsidR="000667DB">
        <w:rPr>
          <w:noProof/>
        </w:rPr>
        <w:t>109</w:t>
      </w:r>
      <w:r>
        <w:rPr>
          <w:noProof/>
        </w:rPr>
        <w:fldChar w:fldCharType="end"/>
      </w:r>
    </w:p>
    <w:p w14:paraId="378DE935" w14:textId="2960E068" w:rsidR="00660F9E" w:rsidRDefault="00660F9E">
      <w:pPr>
        <w:pStyle w:val="TableofFigures"/>
        <w:tabs>
          <w:tab w:val="right" w:leader="dot" w:pos="9350"/>
        </w:tabs>
        <w:rPr>
          <w:rFonts w:asciiTheme="minorHAnsi" w:eastAsiaTheme="minorEastAsia" w:hAnsiTheme="minorHAnsi" w:cstheme="minorBidi"/>
          <w:noProof/>
          <w:sz w:val="22"/>
          <w:szCs w:val="22"/>
          <w:lang w:val="en-CA" w:eastAsia="en-CA"/>
        </w:rPr>
      </w:pPr>
      <w:r>
        <w:rPr>
          <w:noProof/>
        </w:rPr>
        <w:t>Figure 3</w:t>
      </w:r>
      <w:r>
        <w:rPr>
          <w:noProof/>
        </w:rPr>
        <w:noBreakHyphen/>
        <w:t>5: Heatmap of random forest model importance for mushroom, litter, and soil response variables.</w:t>
      </w:r>
      <w:r>
        <w:rPr>
          <w:noProof/>
        </w:rPr>
        <w:tab/>
      </w:r>
      <w:r>
        <w:rPr>
          <w:noProof/>
        </w:rPr>
        <w:fldChar w:fldCharType="begin"/>
      </w:r>
      <w:r>
        <w:rPr>
          <w:noProof/>
        </w:rPr>
        <w:instrText xml:space="preserve"> PAGEREF _Toc101783812 \h </w:instrText>
      </w:r>
      <w:r>
        <w:rPr>
          <w:noProof/>
        </w:rPr>
      </w:r>
      <w:r>
        <w:rPr>
          <w:noProof/>
        </w:rPr>
        <w:fldChar w:fldCharType="separate"/>
      </w:r>
      <w:r w:rsidR="000667DB">
        <w:rPr>
          <w:noProof/>
        </w:rPr>
        <w:t>110</w:t>
      </w:r>
      <w:r>
        <w:rPr>
          <w:noProof/>
        </w:rPr>
        <w:fldChar w:fldCharType="end"/>
      </w:r>
    </w:p>
    <w:p w14:paraId="5A385558" w14:textId="4EC79F6B" w:rsidR="00660F9E" w:rsidRDefault="00660F9E">
      <w:pPr>
        <w:pStyle w:val="TableofFigures"/>
        <w:tabs>
          <w:tab w:val="right" w:leader="dot" w:pos="9350"/>
        </w:tabs>
        <w:rPr>
          <w:rFonts w:asciiTheme="minorHAnsi" w:eastAsiaTheme="minorEastAsia" w:hAnsiTheme="minorHAnsi" w:cstheme="minorBidi"/>
          <w:noProof/>
          <w:sz w:val="22"/>
          <w:szCs w:val="22"/>
          <w:lang w:val="en-CA" w:eastAsia="en-CA"/>
        </w:rPr>
      </w:pPr>
      <w:r>
        <w:rPr>
          <w:noProof/>
        </w:rPr>
        <w:t>Figure 3</w:t>
      </w:r>
      <w:r>
        <w:rPr>
          <w:noProof/>
        </w:rPr>
        <w:noBreakHyphen/>
        <w:t>6: δ</w:t>
      </w:r>
      <w:r w:rsidRPr="00AB29D1">
        <w:rPr>
          <w:noProof/>
          <w:vertAlign w:val="superscript"/>
        </w:rPr>
        <w:t>15</w:t>
      </w:r>
      <w:r>
        <w:rPr>
          <w:noProof/>
        </w:rPr>
        <w:t>N as a function %N, with sample type denoted by colour.</w:t>
      </w:r>
      <w:r>
        <w:rPr>
          <w:noProof/>
        </w:rPr>
        <w:tab/>
      </w:r>
      <w:r>
        <w:rPr>
          <w:noProof/>
        </w:rPr>
        <w:fldChar w:fldCharType="begin"/>
      </w:r>
      <w:r>
        <w:rPr>
          <w:noProof/>
        </w:rPr>
        <w:instrText xml:space="preserve"> PAGEREF _Toc101783813 \h </w:instrText>
      </w:r>
      <w:r>
        <w:rPr>
          <w:noProof/>
        </w:rPr>
      </w:r>
      <w:r>
        <w:rPr>
          <w:noProof/>
        </w:rPr>
        <w:fldChar w:fldCharType="separate"/>
      </w:r>
      <w:r w:rsidR="000667DB">
        <w:rPr>
          <w:noProof/>
        </w:rPr>
        <w:t>111</w:t>
      </w:r>
      <w:r>
        <w:rPr>
          <w:noProof/>
        </w:rPr>
        <w:fldChar w:fldCharType="end"/>
      </w:r>
    </w:p>
    <w:p w14:paraId="3E2EE88F" w14:textId="191A96C2" w:rsidR="00660F9E" w:rsidRDefault="00660F9E">
      <w:pPr>
        <w:pStyle w:val="TableofFigures"/>
        <w:tabs>
          <w:tab w:val="right" w:leader="dot" w:pos="9350"/>
        </w:tabs>
        <w:rPr>
          <w:rFonts w:asciiTheme="minorHAnsi" w:eastAsiaTheme="minorEastAsia" w:hAnsiTheme="minorHAnsi" w:cstheme="minorBidi"/>
          <w:noProof/>
          <w:sz w:val="22"/>
          <w:szCs w:val="22"/>
          <w:lang w:val="en-CA" w:eastAsia="en-CA"/>
        </w:rPr>
      </w:pPr>
      <w:r>
        <w:rPr>
          <w:noProof/>
        </w:rPr>
        <w:t>Figure 3</w:t>
      </w:r>
      <w:r>
        <w:rPr>
          <w:noProof/>
        </w:rPr>
        <w:noBreakHyphen/>
        <w:t>7: Isoplot of δ</w:t>
      </w:r>
      <w:r w:rsidRPr="00AB29D1">
        <w:rPr>
          <w:noProof/>
          <w:vertAlign w:val="superscript"/>
        </w:rPr>
        <w:t>15</w:t>
      </w:r>
      <w:r>
        <w:rPr>
          <w:noProof/>
        </w:rPr>
        <w:t>N vs. δ</w:t>
      </w:r>
      <w:r w:rsidRPr="00AB29D1">
        <w:rPr>
          <w:noProof/>
          <w:vertAlign w:val="superscript"/>
        </w:rPr>
        <w:t>13</w:t>
      </w:r>
      <w:r>
        <w:rPr>
          <w:noProof/>
        </w:rPr>
        <w:t>C for vegetation, litter, and mushroom samples.</w:t>
      </w:r>
      <w:r>
        <w:rPr>
          <w:noProof/>
        </w:rPr>
        <w:tab/>
      </w:r>
      <w:r>
        <w:rPr>
          <w:noProof/>
        </w:rPr>
        <w:fldChar w:fldCharType="begin"/>
      </w:r>
      <w:r>
        <w:rPr>
          <w:noProof/>
        </w:rPr>
        <w:instrText xml:space="preserve"> PAGEREF _Toc101783814 \h </w:instrText>
      </w:r>
      <w:r>
        <w:rPr>
          <w:noProof/>
        </w:rPr>
      </w:r>
      <w:r>
        <w:rPr>
          <w:noProof/>
        </w:rPr>
        <w:fldChar w:fldCharType="separate"/>
      </w:r>
      <w:r w:rsidR="000667DB">
        <w:rPr>
          <w:noProof/>
        </w:rPr>
        <w:t>112</w:t>
      </w:r>
      <w:r>
        <w:rPr>
          <w:noProof/>
        </w:rPr>
        <w:fldChar w:fldCharType="end"/>
      </w:r>
    </w:p>
    <w:p w14:paraId="289C9CC1" w14:textId="709DD241" w:rsidR="00660F9E" w:rsidRDefault="00660F9E">
      <w:pPr>
        <w:pStyle w:val="TableofFigures"/>
        <w:tabs>
          <w:tab w:val="right" w:leader="dot" w:pos="9350"/>
        </w:tabs>
        <w:rPr>
          <w:rFonts w:asciiTheme="minorHAnsi" w:eastAsiaTheme="minorEastAsia" w:hAnsiTheme="minorHAnsi" w:cstheme="minorBidi"/>
          <w:noProof/>
          <w:sz w:val="22"/>
          <w:szCs w:val="22"/>
          <w:lang w:val="en-CA" w:eastAsia="en-CA"/>
        </w:rPr>
      </w:pPr>
      <w:r>
        <w:rPr>
          <w:noProof/>
        </w:rPr>
        <w:t>Figure 3</w:t>
      </w:r>
      <w:r>
        <w:rPr>
          <w:noProof/>
        </w:rPr>
        <w:noBreakHyphen/>
        <w:t>8: δ</w:t>
      </w:r>
      <w:r w:rsidRPr="00AB29D1">
        <w:rPr>
          <w:noProof/>
          <w:vertAlign w:val="superscript"/>
        </w:rPr>
        <w:t>15</w:t>
      </w:r>
      <w:r>
        <w:rPr>
          <w:noProof/>
        </w:rPr>
        <w:t>N measures by genus.</w:t>
      </w:r>
      <w:r>
        <w:rPr>
          <w:noProof/>
        </w:rPr>
        <w:tab/>
      </w:r>
      <w:r>
        <w:rPr>
          <w:noProof/>
        </w:rPr>
        <w:fldChar w:fldCharType="begin"/>
      </w:r>
      <w:r>
        <w:rPr>
          <w:noProof/>
        </w:rPr>
        <w:instrText xml:space="preserve"> PAGEREF _Toc101783815 \h </w:instrText>
      </w:r>
      <w:r>
        <w:rPr>
          <w:noProof/>
        </w:rPr>
      </w:r>
      <w:r>
        <w:rPr>
          <w:noProof/>
        </w:rPr>
        <w:fldChar w:fldCharType="separate"/>
      </w:r>
      <w:r w:rsidR="000667DB">
        <w:rPr>
          <w:noProof/>
        </w:rPr>
        <w:t>113</w:t>
      </w:r>
      <w:r>
        <w:rPr>
          <w:noProof/>
        </w:rPr>
        <w:fldChar w:fldCharType="end"/>
      </w:r>
    </w:p>
    <w:p w14:paraId="1B3653AF" w14:textId="6DD5CCAC" w:rsidR="00660F9E" w:rsidRDefault="00660F9E">
      <w:pPr>
        <w:pStyle w:val="TableofFigures"/>
        <w:tabs>
          <w:tab w:val="right" w:leader="dot" w:pos="9350"/>
        </w:tabs>
        <w:rPr>
          <w:rFonts w:asciiTheme="minorHAnsi" w:eastAsiaTheme="minorEastAsia" w:hAnsiTheme="minorHAnsi" w:cstheme="minorBidi"/>
          <w:noProof/>
          <w:sz w:val="22"/>
          <w:szCs w:val="22"/>
          <w:lang w:val="en-CA" w:eastAsia="en-CA"/>
        </w:rPr>
      </w:pPr>
      <w:r>
        <w:rPr>
          <w:noProof/>
        </w:rPr>
        <w:t>Figure 4</w:t>
      </w:r>
      <w:r>
        <w:rPr>
          <w:noProof/>
        </w:rPr>
        <w:noBreakHyphen/>
        <w:t>1: Heat trees of ITS relative abundance agglomerated to genus for the regional gradient data for forest floor (A) and organic (B) soils</w:t>
      </w:r>
      <w:r>
        <w:rPr>
          <w:noProof/>
        </w:rPr>
        <w:tab/>
      </w:r>
      <w:r>
        <w:rPr>
          <w:noProof/>
        </w:rPr>
        <w:fldChar w:fldCharType="begin"/>
      </w:r>
      <w:r>
        <w:rPr>
          <w:noProof/>
        </w:rPr>
        <w:instrText xml:space="preserve"> PAGEREF _Toc101783816 \h </w:instrText>
      </w:r>
      <w:r>
        <w:rPr>
          <w:noProof/>
        </w:rPr>
      </w:r>
      <w:r>
        <w:rPr>
          <w:noProof/>
        </w:rPr>
        <w:fldChar w:fldCharType="separate"/>
      </w:r>
      <w:r w:rsidR="000667DB">
        <w:rPr>
          <w:noProof/>
        </w:rPr>
        <w:t>139</w:t>
      </w:r>
      <w:r>
        <w:rPr>
          <w:noProof/>
        </w:rPr>
        <w:fldChar w:fldCharType="end"/>
      </w:r>
    </w:p>
    <w:p w14:paraId="0E352390" w14:textId="02A4457B" w:rsidR="00660F9E" w:rsidRDefault="00660F9E">
      <w:pPr>
        <w:pStyle w:val="TableofFigures"/>
        <w:tabs>
          <w:tab w:val="right" w:leader="dot" w:pos="9350"/>
        </w:tabs>
        <w:rPr>
          <w:rFonts w:asciiTheme="minorHAnsi" w:eastAsiaTheme="minorEastAsia" w:hAnsiTheme="minorHAnsi" w:cstheme="minorBidi"/>
          <w:noProof/>
          <w:sz w:val="22"/>
          <w:szCs w:val="22"/>
          <w:lang w:val="en-CA" w:eastAsia="en-CA"/>
        </w:rPr>
      </w:pPr>
      <w:r>
        <w:rPr>
          <w:noProof/>
        </w:rPr>
        <w:t xml:space="preserve">Figure </w:t>
      </w:r>
      <w:r>
        <w:rPr>
          <w:noProof/>
        </w:rPr>
        <w:noBreakHyphen/>
        <w:t>2: : Heat trees of SSU relative abundance agglomerated to genus for the regional gradient data for forest floor (A) and organic (B) soils</w:t>
      </w:r>
      <w:r>
        <w:rPr>
          <w:noProof/>
        </w:rPr>
        <w:tab/>
      </w:r>
      <w:r>
        <w:rPr>
          <w:noProof/>
        </w:rPr>
        <w:fldChar w:fldCharType="begin"/>
      </w:r>
      <w:r>
        <w:rPr>
          <w:noProof/>
        </w:rPr>
        <w:instrText xml:space="preserve"> PAGEREF _Toc101783817 \h </w:instrText>
      </w:r>
      <w:r>
        <w:rPr>
          <w:noProof/>
        </w:rPr>
      </w:r>
      <w:r>
        <w:rPr>
          <w:noProof/>
        </w:rPr>
        <w:fldChar w:fldCharType="separate"/>
      </w:r>
      <w:r w:rsidR="000667DB">
        <w:rPr>
          <w:noProof/>
        </w:rPr>
        <w:t>140</w:t>
      </w:r>
      <w:r>
        <w:rPr>
          <w:noProof/>
        </w:rPr>
        <w:fldChar w:fldCharType="end"/>
      </w:r>
    </w:p>
    <w:p w14:paraId="27A20DA0" w14:textId="696D9CA9" w:rsidR="00660F9E" w:rsidRDefault="00660F9E">
      <w:pPr>
        <w:pStyle w:val="TableofFigures"/>
        <w:tabs>
          <w:tab w:val="right" w:leader="dot" w:pos="9350"/>
        </w:tabs>
        <w:rPr>
          <w:rFonts w:asciiTheme="minorHAnsi" w:eastAsiaTheme="minorEastAsia" w:hAnsiTheme="minorHAnsi" w:cstheme="minorBidi"/>
          <w:noProof/>
          <w:sz w:val="22"/>
          <w:szCs w:val="22"/>
          <w:lang w:val="en-CA" w:eastAsia="en-CA"/>
        </w:rPr>
      </w:pPr>
      <w:r>
        <w:rPr>
          <w:noProof/>
        </w:rPr>
        <w:t>Figure 4</w:t>
      </w:r>
      <w:r>
        <w:rPr>
          <w:noProof/>
        </w:rPr>
        <w:noBreakHyphen/>
        <w:t>3: Relative read abundance for ITS (A-D) and SSU (E-H) amplicons for forest floor soil (first and third row) and organic soil (second and fourth row)</w:t>
      </w:r>
      <w:r>
        <w:rPr>
          <w:noProof/>
        </w:rPr>
        <w:tab/>
      </w:r>
      <w:r>
        <w:rPr>
          <w:noProof/>
        </w:rPr>
        <w:fldChar w:fldCharType="begin"/>
      </w:r>
      <w:r>
        <w:rPr>
          <w:noProof/>
        </w:rPr>
        <w:instrText xml:space="preserve"> PAGEREF _Toc101783818 \h </w:instrText>
      </w:r>
      <w:r>
        <w:rPr>
          <w:noProof/>
        </w:rPr>
      </w:r>
      <w:r>
        <w:rPr>
          <w:noProof/>
        </w:rPr>
        <w:fldChar w:fldCharType="separate"/>
      </w:r>
      <w:r w:rsidR="000667DB">
        <w:rPr>
          <w:noProof/>
        </w:rPr>
        <w:t>142</w:t>
      </w:r>
      <w:r>
        <w:rPr>
          <w:noProof/>
        </w:rPr>
        <w:fldChar w:fldCharType="end"/>
      </w:r>
    </w:p>
    <w:p w14:paraId="0EF18374" w14:textId="3EABED1E" w:rsidR="00660F9E" w:rsidRDefault="00660F9E">
      <w:pPr>
        <w:pStyle w:val="TableofFigures"/>
        <w:tabs>
          <w:tab w:val="right" w:leader="dot" w:pos="9350"/>
        </w:tabs>
        <w:rPr>
          <w:rFonts w:asciiTheme="minorHAnsi" w:eastAsiaTheme="minorEastAsia" w:hAnsiTheme="minorHAnsi" w:cstheme="minorBidi"/>
          <w:noProof/>
          <w:sz w:val="22"/>
          <w:szCs w:val="22"/>
          <w:lang w:val="en-CA" w:eastAsia="en-CA"/>
        </w:rPr>
      </w:pPr>
      <w:r>
        <w:rPr>
          <w:noProof/>
        </w:rPr>
        <w:t>Figure 4</w:t>
      </w:r>
      <w:r>
        <w:rPr>
          <w:noProof/>
        </w:rPr>
        <w:noBreakHyphen/>
        <w:t>4: Species richness for ITS (A-D) and SSU (E-H) amplicons for forest floor soil (first and third row) and organic soil (second and fourth row)</w:t>
      </w:r>
      <w:r>
        <w:rPr>
          <w:noProof/>
        </w:rPr>
        <w:tab/>
      </w:r>
      <w:r>
        <w:rPr>
          <w:noProof/>
        </w:rPr>
        <w:fldChar w:fldCharType="begin"/>
      </w:r>
      <w:r>
        <w:rPr>
          <w:noProof/>
        </w:rPr>
        <w:instrText xml:space="preserve"> PAGEREF _Toc101783819 \h </w:instrText>
      </w:r>
      <w:r>
        <w:rPr>
          <w:noProof/>
        </w:rPr>
      </w:r>
      <w:r>
        <w:rPr>
          <w:noProof/>
        </w:rPr>
        <w:fldChar w:fldCharType="separate"/>
      </w:r>
      <w:r w:rsidR="000667DB">
        <w:rPr>
          <w:noProof/>
        </w:rPr>
        <w:t>144</w:t>
      </w:r>
      <w:r>
        <w:rPr>
          <w:noProof/>
        </w:rPr>
        <w:fldChar w:fldCharType="end"/>
      </w:r>
    </w:p>
    <w:p w14:paraId="624CA1D3" w14:textId="798D708E" w:rsidR="00660F9E" w:rsidRDefault="00660F9E">
      <w:pPr>
        <w:pStyle w:val="TableofFigures"/>
        <w:tabs>
          <w:tab w:val="right" w:leader="dot" w:pos="9350"/>
        </w:tabs>
        <w:rPr>
          <w:rFonts w:asciiTheme="minorHAnsi" w:eastAsiaTheme="minorEastAsia" w:hAnsiTheme="minorHAnsi" w:cstheme="minorBidi"/>
          <w:noProof/>
          <w:sz w:val="22"/>
          <w:szCs w:val="22"/>
          <w:lang w:val="en-CA" w:eastAsia="en-CA"/>
        </w:rPr>
      </w:pPr>
      <w:r>
        <w:rPr>
          <w:noProof/>
        </w:rPr>
        <w:t>Figure 4</w:t>
      </w:r>
      <w:r>
        <w:rPr>
          <w:noProof/>
        </w:rPr>
        <w:noBreakHyphen/>
        <w:t>5: Shannon diversity for ITS (A-D) and SSU (E-H) amplicons for forest floor soil (first and third row) and organic soil (second and fourth row)</w:t>
      </w:r>
      <w:r>
        <w:rPr>
          <w:noProof/>
        </w:rPr>
        <w:tab/>
      </w:r>
      <w:r>
        <w:rPr>
          <w:noProof/>
        </w:rPr>
        <w:fldChar w:fldCharType="begin"/>
      </w:r>
      <w:r>
        <w:rPr>
          <w:noProof/>
        </w:rPr>
        <w:instrText xml:space="preserve"> PAGEREF _Toc101783820 \h </w:instrText>
      </w:r>
      <w:r>
        <w:rPr>
          <w:noProof/>
        </w:rPr>
      </w:r>
      <w:r>
        <w:rPr>
          <w:noProof/>
        </w:rPr>
        <w:fldChar w:fldCharType="separate"/>
      </w:r>
      <w:r w:rsidR="000667DB">
        <w:rPr>
          <w:noProof/>
        </w:rPr>
        <w:t>146</w:t>
      </w:r>
      <w:r>
        <w:rPr>
          <w:noProof/>
        </w:rPr>
        <w:fldChar w:fldCharType="end"/>
      </w:r>
    </w:p>
    <w:p w14:paraId="30E90DB2" w14:textId="751FFD95" w:rsidR="00660F9E" w:rsidRDefault="00660F9E">
      <w:pPr>
        <w:pStyle w:val="TableofFigures"/>
        <w:tabs>
          <w:tab w:val="right" w:leader="dot" w:pos="9350"/>
        </w:tabs>
        <w:rPr>
          <w:rFonts w:asciiTheme="minorHAnsi" w:eastAsiaTheme="minorEastAsia" w:hAnsiTheme="minorHAnsi" w:cstheme="minorBidi"/>
          <w:noProof/>
          <w:sz w:val="22"/>
          <w:szCs w:val="22"/>
          <w:lang w:val="en-CA" w:eastAsia="en-CA"/>
        </w:rPr>
      </w:pPr>
      <w:r>
        <w:rPr>
          <w:noProof/>
        </w:rPr>
        <w:t>Figure 4</w:t>
      </w:r>
      <w:r>
        <w:rPr>
          <w:noProof/>
        </w:rPr>
        <w:noBreakHyphen/>
        <w:t>6: Phylogenetic dispersion index (PDI) for ITS (A-D) and SSU (E-H) amplicons for forest floor soil (first and third row) and organic soil (second and fourth row)</w:t>
      </w:r>
      <w:r>
        <w:rPr>
          <w:noProof/>
        </w:rPr>
        <w:tab/>
      </w:r>
      <w:r>
        <w:rPr>
          <w:noProof/>
        </w:rPr>
        <w:fldChar w:fldCharType="begin"/>
      </w:r>
      <w:r>
        <w:rPr>
          <w:noProof/>
        </w:rPr>
        <w:instrText xml:space="preserve"> PAGEREF _Toc101783821 \h </w:instrText>
      </w:r>
      <w:r>
        <w:rPr>
          <w:noProof/>
        </w:rPr>
      </w:r>
      <w:r>
        <w:rPr>
          <w:noProof/>
        </w:rPr>
        <w:fldChar w:fldCharType="separate"/>
      </w:r>
      <w:r w:rsidR="000667DB">
        <w:rPr>
          <w:noProof/>
        </w:rPr>
        <w:t>148</w:t>
      </w:r>
      <w:r>
        <w:rPr>
          <w:noProof/>
        </w:rPr>
        <w:fldChar w:fldCharType="end"/>
      </w:r>
    </w:p>
    <w:p w14:paraId="77BF2AAC" w14:textId="08120876" w:rsidR="00660F9E" w:rsidRDefault="00660F9E">
      <w:pPr>
        <w:pStyle w:val="TableofFigures"/>
        <w:tabs>
          <w:tab w:val="right" w:leader="dot" w:pos="9350"/>
        </w:tabs>
        <w:rPr>
          <w:rFonts w:asciiTheme="minorHAnsi" w:eastAsiaTheme="minorEastAsia" w:hAnsiTheme="minorHAnsi" w:cstheme="minorBidi"/>
          <w:noProof/>
          <w:sz w:val="22"/>
          <w:szCs w:val="22"/>
          <w:lang w:val="en-CA" w:eastAsia="en-CA"/>
        </w:rPr>
      </w:pPr>
      <w:r>
        <w:rPr>
          <w:noProof/>
        </w:rPr>
        <w:t>Figure 4</w:t>
      </w:r>
      <w:r>
        <w:rPr>
          <w:noProof/>
        </w:rPr>
        <w:noBreakHyphen/>
        <w:t>7: Standardized model-averaged coefficients for ITS GLMs for three taxonomic groups</w:t>
      </w:r>
      <w:r>
        <w:rPr>
          <w:noProof/>
        </w:rPr>
        <w:tab/>
      </w:r>
      <w:r>
        <w:rPr>
          <w:noProof/>
        </w:rPr>
        <w:fldChar w:fldCharType="begin"/>
      </w:r>
      <w:r>
        <w:rPr>
          <w:noProof/>
        </w:rPr>
        <w:instrText xml:space="preserve"> PAGEREF _Toc101783822 \h </w:instrText>
      </w:r>
      <w:r>
        <w:rPr>
          <w:noProof/>
        </w:rPr>
      </w:r>
      <w:r>
        <w:rPr>
          <w:noProof/>
        </w:rPr>
        <w:fldChar w:fldCharType="separate"/>
      </w:r>
      <w:r w:rsidR="000667DB">
        <w:rPr>
          <w:noProof/>
        </w:rPr>
        <w:t>150</w:t>
      </w:r>
      <w:r>
        <w:rPr>
          <w:noProof/>
        </w:rPr>
        <w:fldChar w:fldCharType="end"/>
      </w:r>
    </w:p>
    <w:p w14:paraId="7BD4ED7C" w14:textId="14E28D9A" w:rsidR="00660F9E" w:rsidRDefault="00660F9E">
      <w:pPr>
        <w:pStyle w:val="TableofFigures"/>
        <w:tabs>
          <w:tab w:val="right" w:leader="dot" w:pos="9350"/>
        </w:tabs>
        <w:rPr>
          <w:rFonts w:asciiTheme="minorHAnsi" w:eastAsiaTheme="minorEastAsia" w:hAnsiTheme="minorHAnsi" w:cstheme="minorBidi"/>
          <w:noProof/>
          <w:sz w:val="22"/>
          <w:szCs w:val="22"/>
          <w:lang w:val="en-CA" w:eastAsia="en-CA"/>
        </w:rPr>
      </w:pPr>
      <w:r>
        <w:rPr>
          <w:noProof/>
        </w:rPr>
        <w:t>Figure 4</w:t>
      </w:r>
      <w:r>
        <w:rPr>
          <w:noProof/>
        </w:rPr>
        <w:noBreakHyphen/>
        <w:t>8: Standardized model-averaged coefficients for SSU GLMs for three taxonomic groups</w:t>
      </w:r>
      <w:r>
        <w:rPr>
          <w:noProof/>
        </w:rPr>
        <w:tab/>
      </w:r>
      <w:r>
        <w:rPr>
          <w:noProof/>
        </w:rPr>
        <w:fldChar w:fldCharType="begin"/>
      </w:r>
      <w:r>
        <w:rPr>
          <w:noProof/>
        </w:rPr>
        <w:instrText xml:space="preserve"> PAGEREF _Toc101783823 \h </w:instrText>
      </w:r>
      <w:r>
        <w:rPr>
          <w:noProof/>
        </w:rPr>
      </w:r>
      <w:r>
        <w:rPr>
          <w:noProof/>
        </w:rPr>
        <w:fldChar w:fldCharType="separate"/>
      </w:r>
      <w:r w:rsidR="000667DB">
        <w:rPr>
          <w:noProof/>
        </w:rPr>
        <w:t>152</w:t>
      </w:r>
      <w:r>
        <w:rPr>
          <w:noProof/>
        </w:rPr>
        <w:fldChar w:fldCharType="end"/>
      </w:r>
    </w:p>
    <w:p w14:paraId="32A7A88E" w14:textId="231E4FB5" w:rsidR="00660F9E" w:rsidRDefault="00660F9E">
      <w:pPr>
        <w:pStyle w:val="TableofFigures"/>
        <w:tabs>
          <w:tab w:val="right" w:leader="dot" w:pos="9350"/>
        </w:tabs>
        <w:rPr>
          <w:rFonts w:asciiTheme="minorHAnsi" w:eastAsiaTheme="minorEastAsia" w:hAnsiTheme="minorHAnsi" w:cstheme="minorBidi"/>
          <w:noProof/>
          <w:sz w:val="22"/>
          <w:szCs w:val="22"/>
          <w:lang w:val="en-CA" w:eastAsia="en-CA"/>
        </w:rPr>
      </w:pPr>
      <w:r>
        <w:rPr>
          <w:noProof/>
        </w:rPr>
        <w:t>Figure 4</w:t>
      </w:r>
      <w:r>
        <w:rPr>
          <w:noProof/>
        </w:rPr>
        <w:noBreakHyphen/>
        <w:t>9: Heatmap of ITS random forest model importance coefficients for community metrics across the regional salmon density gradient.</w:t>
      </w:r>
      <w:r>
        <w:rPr>
          <w:noProof/>
        </w:rPr>
        <w:tab/>
      </w:r>
      <w:r>
        <w:rPr>
          <w:noProof/>
        </w:rPr>
        <w:fldChar w:fldCharType="begin"/>
      </w:r>
      <w:r>
        <w:rPr>
          <w:noProof/>
        </w:rPr>
        <w:instrText xml:space="preserve"> PAGEREF _Toc101783824 \h </w:instrText>
      </w:r>
      <w:r>
        <w:rPr>
          <w:noProof/>
        </w:rPr>
      </w:r>
      <w:r>
        <w:rPr>
          <w:noProof/>
        </w:rPr>
        <w:fldChar w:fldCharType="separate"/>
      </w:r>
      <w:r w:rsidR="000667DB">
        <w:rPr>
          <w:noProof/>
        </w:rPr>
        <w:t>153</w:t>
      </w:r>
      <w:r>
        <w:rPr>
          <w:noProof/>
        </w:rPr>
        <w:fldChar w:fldCharType="end"/>
      </w:r>
    </w:p>
    <w:p w14:paraId="64FA28D3" w14:textId="4A0648AD" w:rsidR="00660F9E" w:rsidRDefault="00660F9E">
      <w:pPr>
        <w:pStyle w:val="TableofFigures"/>
        <w:tabs>
          <w:tab w:val="right" w:leader="dot" w:pos="9350"/>
        </w:tabs>
        <w:rPr>
          <w:rFonts w:asciiTheme="minorHAnsi" w:eastAsiaTheme="minorEastAsia" w:hAnsiTheme="minorHAnsi" w:cstheme="minorBidi"/>
          <w:noProof/>
          <w:sz w:val="22"/>
          <w:szCs w:val="22"/>
          <w:lang w:val="en-CA" w:eastAsia="en-CA"/>
        </w:rPr>
      </w:pPr>
      <w:r>
        <w:rPr>
          <w:noProof/>
        </w:rPr>
        <w:t>Figure 4</w:t>
      </w:r>
      <w:r>
        <w:rPr>
          <w:noProof/>
        </w:rPr>
        <w:noBreakHyphen/>
        <w:t>10: SSU random forest model importance coefficients for community metrics over the regional salmon density gradient.</w:t>
      </w:r>
      <w:r>
        <w:rPr>
          <w:noProof/>
        </w:rPr>
        <w:tab/>
      </w:r>
      <w:r>
        <w:rPr>
          <w:noProof/>
        </w:rPr>
        <w:fldChar w:fldCharType="begin"/>
      </w:r>
      <w:r>
        <w:rPr>
          <w:noProof/>
        </w:rPr>
        <w:instrText xml:space="preserve"> PAGEREF _Toc101783825 \h </w:instrText>
      </w:r>
      <w:r>
        <w:rPr>
          <w:noProof/>
        </w:rPr>
      </w:r>
      <w:r>
        <w:rPr>
          <w:noProof/>
        </w:rPr>
        <w:fldChar w:fldCharType="separate"/>
      </w:r>
      <w:r w:rsidR="000667DB">
        <w:rPr>
          <w:noProof/>
        </w:rPr>
        <w:t>155</w:t>
      </w:r>
      <w:r>
        <w:rPr>
          <w:noProof/>
        </w:rPr>
        <w:fldChar w:fldCharType="end"/>
      </w:r>
    </w:p>
    <w:p w14:paraId="6BFD0D4D" w14:textId="36276B8C" w:rsidR="00660F9E" w:rsidRDefault="00660F9E">
      <w:pPr>
        <w:pStyle w:val="TableofFigures"/>
        <w:tabs>
          <w:tab w:val="right" w:leader="dot" w:pos="9350"/>
        </w:tabs>
        <w:rPr>
          <w:rFonts w:asciiTheme="minorHAnsi" w:eastAsiaTheme="minorEastAsia" w:hAnsiTheme="minorHAnsi" w:cstheme="minorBidi"/>
          <w:noProof/>
          <w:sz w:val="22"/>
          <w:szCs w:val="22"/>
          <w:lang w:val="en-CA" w:eastAsia="en-CA"/>
        </w:rPr>
      </w:pPr>
      <w:r>
        <w:rPr>
          <w:noProof/>
        </w:rPr>
        <w:t>Figure 4</w:t>
      </w:r>
      <w:r>
        <w:rPr>
          <w:noProof/>
        </w:rPr>
        <w:noBreakHyphen/>
        <w:t>11: ITS beta diversity NMDS plots (2-axis) standardized Bray-Curtis distance over three community subsets (columns): ‘all reads’, ‘symbiotrophs’, and ‘saprotrophs’.</w:t>
      </w:r>
      <w:r>
        <w:rPr>
          <w:noProof/>
        </w:rPr>
        <w:tab/>
      </w:r>
      <w:r>
        <w:rPr>
          <w:noProof/>
        </w:rPr>
        <w:fldChar w:fldCharType="begin"/>
      </w:r>
      <w:r>
        <w:rPr>
          <w:noProof/>
        </w:rPr>
        <w:instrText xml:space="preserve"> PAGEREF _Toc101783826 \h </w:instrText>
      </w:r>
      <w:r>
        <w:rPr>
          <w:noProof/>
        </w:rPr>
      </w:r>
      <w:r>
        <w:rPr>
          <w:noProof/>
        </w:rPr>
        <w:fldChar w:fldCharType="separate"/>
      </w:r>
      <w:r w:rsidR="000667DB">
        <w:rPr>
          <w:noProof/>
        </w:rPr>
        <w:t>157</w:t>
      </w:r>
      <w:r>
        <w:rPr>
          <w:noProof/>
        </w:rPr>
        <w:fldChar w:fldCharType="end"/>
      </w:r>
    </w:p>
    <w:p w14:paraId="65F43D54" w14:textId="6E0440E8" w:rsidR="00660F9E" w:rsidRDefault="00660F9E">
      <w:pPr>
        <w:pStyle w:val="TableofFigures"/>
        <w:tabs>
          <w:tab w:val="right" w:leader="dot" w:pos="9350"/>
        </w:tabs>
        <w:rPr>
          <w:rFonts w:asciiTheme="minorHAnsi" w:eastAsiaTheme="minorEastAsia" w:hAnsiTheme="minorHAnsi" w:cstheme="minorBidi"/>
          <w:noProof/>
          <w:sz w:val="22"/>
          <w:szCs w:val="22"/>
          <w:lang w:val="en-CA" w:eastAsia="en-CA"/>
        </w:rPr>
      </w:pPr>
      <w:r>
        <w:rPr>
          <w:noProof/>
        </w:rPr>
        <w:t>Figure 4</w:t>
      </w:r>
      <w:r>
        <w:rPr>
          <w:noProof/>
        </w:rPr>
        <w:noBreakHyphen/>
        <w:t>12: SSU beta diversity NMDS plots (2-axis) using weighted unifrac distance over three community subsets (columns): ‘all reads’, ‘symbiotrophs’, and ‘saprotrophs’.</w:t>
      </w:r>
      <w:r>
        <w:rPr>
          <w:noProof/>
        </w:rPr>
        <w:tab/>
      </w:r>
      <w:r>
        <w:rPr>
          <w:noProof/>
        </w:rPr>
        <w:fldChar w:fldCharType="begin"/>
      </w:r>
      <w:r>
        <w:rPr>
          <w:noProof/>
        </w:rPr>
        <w:instrText xml:space="preserve"> PAGEREF _Toc101783827 \h </w:instrText>
      </w:r>
      <w:r>
        <w:rPr>
          <w:noProof/>
        </w:rPr>
      </w:r>
      <w:r>
        <w:rPr>
          <w:noProof/>
        </w:rPr>
        <w:fldChar w:fldCharType="separate"/>
      </w:r>
      <w:r w:rsidR="000667DB">
        <w:rPr>
          <w:noProof/>
        </w:rPr>
        <w:t>158</w:t>
      </w:r>
      <w:r>
        <w:rPr>
          <w:noProof/>
        </w:rPr>
        <w:fldChar w:fldCharType="end"/>
      </w:r>
    </w:p>
    <w:p w14:paraId="65E1B12E" w14:textId="54E334EB" w:rsidR="00660F9E" w:rsidRDefault="00660F9E">
      <w:pPr>
        <w:pStyle w:val="TableofFigures"/>
        <w:tabs>
          <w:tab w:val="right" w:leader="dot" w:pos="9350"/>
        </w:tabs>
        <w:rPr>
          <w:rFonts w:asciiTheme="minorHAnsi" w:eastAsiaTheme="minorEastAsia" w:hAnsiTheme="minorHAnsi" w:cstheme="minorBidi"/>
          <w:noProof/>
          <w:sz w:val="22"/>
          <w:szCs w:val="22"/>
          <w:lang w:val="en-CA" w:eastAsia="en-CA"/>
        </w:rPr>
      </w:pPr>
      <w:r>
        <w:rPr>
          <w:noProof/>
        </w:rPr>
        <w:t>Figure 4</w:t>
      </w:r>
      <w:r>
        <w:rPr>
          <w:noProof/>
        </w:rPr>
        <w:noBreakHyphen/>
        <w:t>13: ITS differential analysis coefficients.</w:t>
      </w:r>
      <w:r>
        <w:rPr>
          <w:noProof/>
        </w:rPr>
        <w:tab/>
      </w:r>
      <w:r>
        <w:rPr>
          <w:noProof/>
        </w:rPr>
        <w:fldChar w:fldCharType="begin"/>
      </w:r>
      <w:r>
        <w:rPr>
          <w:noProof/>
        </w:rPr>
        <w:instrText xml:space="preserve"> PAGEREF _Toc101783828 \h </w:instrText>
      </w:r>
      <w:r>
        <w:rPr>
          <w:noProof/>
        </w:rPr>
      </w:r>
      <w:r>
        <w:rPr>
          <w:noProof/>
        </w:rPr>
        <w:fldChar w:fldCharType="separate"/>
      </w:r>
      <w:r w:rsidR="000667DB">
        <w:rPr>
          <w:noProof/>
        </w:rPr>
        <w:t>159</w:t>
      </w:r>
      <w:r>
        <w:rPr>
          <w:noProof/>
        </w:rPr>
        <w:fldChar w:fldCharType="end"/>
      </w:r>
    </w:p>
    <w:p w14:paraId="1E57209B" w14:textId="4D1852F4" w:rsidR="00660F9E" w:rsidRDefault="00660F9E">
      <w:pPr>
        <w:pStyle w:val="TableofFigures"/>
        <w:tabs>
          <w:tab w:val="right" w:leader="dot" w:pos="9350"/>
        </w:tabs>
        <w:rPr>
          <w:rFonts w:asciiTheme="minorHAnsi" w:eastAsiaTheme="minorEastAsia" w:hAnsiTheme="minorHAnsi" w:cstheme="minorBidi"/>
          <w:noProof/>
          <w:sz w:val="22"/>
          <w:szCs w:val="22"/>
          <w:lang w:val="en-CA" w:eastAsia="en-CA"/>
        </w:rPr>
      </w:pPr>
      <w:r>
        <w:rPr>
          <w:noProof/>
        </w:rPr>
        <w:t>Figure 4</w:t>
      </w:r>
      <w:r>
        <w:rPr>
          <w:noProof/>
        </w:rPr>
        <w:noBreakHyphen/>
        <w:t>14: SSU differential abundance effect coefficients.</w:t>
      </w:r>
      <w:r>
        <w:rPr>
          <w:noProof/>
        </w:rPr>
        <w:tab/>
      </w:r>
      <w:r>
        <w:rPr>
          <w:noProof/>
        </w:rPr>
        <w:fldChar w:fldCharType="begin"/>
      </w:r>
      <w:r>
        <w:rPr>
          <w:noProof/>
        </w:rPr>
        <w:instrText xml:space="preserve"> PAGEREF _Toc101783829 \h </w:instrText>
      </w:r>
      <w:r>
        <w:rPr>
          <w:noProof/>
        </w:rPr>
      </w:r>
      <w:r>
        <w:rPr>
          <w:noProof/>
        </w:rPr>
        <w:fldChar w:fldCharType="separate"/>
      </w:r>
      <w:r w:rsidR="000667DB">
        <w:rPr>
          <w:noProof/>
        </w:rPr>
        <w:t>160</w:t>
      </w:r>
      <w:r>
        <w:rPr>
          <w:noProof/>
        </w:rPr>
        <w:fldChar w:fldCharType="end"/>
      </w:r>
    </w:p>
    <w:p w14:paraId="0F8AAD8F" w14:textId="7D823811" w:rsidR="00660F9E" w:rsidRDefault="00660F9E">
      <w:pPr>
        <w:pStyle w:val="TableofFigures"/>
        <w:tabs>
          <w:tab w:val="right" w:leader="dot" w:pos="9350"/>
        </w:tabs>
        <w:rPr>
          <w:rFonts w:asciiTheme="minorHAnsi" w:eastAsiaTheme="minorEastAsia" w:hAnsiTheme="minorHAnsi" w:cstheme="minorBidi"/>
          <w:noProof/>
          <w:sz w:val="22"/>
          <w:szCs w:val="22"/>
          <w:lang w:val="en-CA" w:eastAsia="en-CA"/>
        </w:rPr>
      </w:pPr>
      <w:r>
        <w:rPr>
          <w:noProof/>
        </w:rPr>
        <w:t>Figure 5</w:t>
      </w:r>
      <w:r>
        <w:rPr>
          <w:noProof/>
        </w:rPr>
        <w:noBreakHyphen/>
        <w:t>1: Heat trees of 16S relative abundance agglomerated to genus along gradient forest floor (A) and organic (B) soils; and above/below forest floor (C) and organic (D) datasets.</w:t>
      </w:r>
      <w:r>
        <w:rPr>
          <w:noProof/>
        </w:rPr>
        <w:tab/>
      </w:r>
      <w:r>
        <w:rPr>
          <w:noProof/>
        </w:rPr>
        <w:fldChar w:fldCharType="begin"/>
      </w:r>
      <w:r>
        <w:rPr>
          <w:noProof/>
        </w:rPr>
        <w:instrText xml:space="preserve"> PAGEREF _Toc101783830 \h </w:instrText>
      </w:r>
      <w:r>
        <w:rPr>
          <w:noProof/>
        </w:rPr>
      </w:r>
      <w:r>
        <w:rPr>
          <w:noProof/>
        </w:rPr>
        <w:fldChar w:fldCharType="separate"/>
      </w:r>
      <w:r w:rsidR="000667DB">
        <w:rPr>
          <w:noProof/>
        </w:rPr>
        <w:t>178</w:t>
      </w:r>
      <w:r>
        <w:rPr>
          <w:noProof/>
        </w:rPr>
        <w:fldChar w:fldCharType="end"/>
      </w:r>
    </w:p>
    <w:p w14:paraId="5630F2DB" w14:textId="33E01D44" w:rsidR="00660F9E" w:rsidRDefault="00660F9E">
      <w:pPr>
        <w:pStyle w:val="TableofFigures"/>
        <w:tabs>
          <w:tab w:val="right" w:leader="dot" w:pos="9350"/>
        </w:tabs>
        <w:rPr>
          <w:rFonts w:asciiTheme="minorHAnsi" w:eastAsiaTheme="minorEastAsia" w:hAnsiTheme="minorHAnsi" w:cstheme="minorBidi"/>
          <w:noProof/>
          <w:sz w:val="22"/>
          <w:szCs w:val="22"/>
          <w:lang w:val="en-CA" w:eastAsia="en-CA"/>
        </w:rPr>
      </w:pPr>
      <w:r>
        <w:rPr>
          <w:noProof/>
        </w:rPr>
        <w:t>Figure 5</w:t>
      </w:r>
      <w:r>
        <w:rPr>
          <w:noProof/>
        </w:rPr>
        <w:noBreakHyphen/>
        <w:t>2: Community species richness for forest floor soil (top row) and organic soil (bottom row)</w:t>
      </w:r>
      <w:r>
        <w:rPr>
          <w:noProof/>
        </w:rPr>
        <w:tab/>
      </w:r>
      <w:r>
        <w:rPr>
          <w:noProof/>
        </w:rPr>
        <w:fldChar w:fldCharType="begin"/>
      </w:r>
      <w:r>
        <w:rPr>
          <w:noProof/>
        </w:rPr>
        <w:instrText xml:space="preserve"> PAGEREF _Toc101783831 \h </w:instrText>
      </w:r>
      <w:r>
        <w:rPr>
          <w:noProof/>
        </w:rPr>
      </w:r>
      <w:r>
        <w:rPr>
          <w:noProof/>
        </w:rPr>
        <w:fldChar w:fldCharType="separate"/>
      </w:r>
      <w:r w:rsidR="000667DB">
        <w:rPr>
          <w:noProof/>
        </w:rPr>
        <w:t>179</w:t>
      </w:r>
      <w:r>
        <w:rPr>
          <w:noProof/>
        </w:rPr>
        <w:fldChar w:fldCharType="end"/>
      </w:r>
    </w:p>
    <w:p w14:paraId="2EE1A655" w14:textId="30DAB2FD" w:rsidR="00660F9E" w:rsidRDefault="00660F9E">
      <w:pPr>
        <w:pStyle w:val="TableofFigures"/>
        <w:tabs>
          <w:tab w:val="right" w:leader="dot" w:pos="9350"/>
        </w:tabs>
        <w:rPr>
          <w:rFonts w:asciiTheme="minorHAnsi" w:eastAsiaTheme="minorEastAsia" w:hAnsiTheme="minorHAnsi" w:cstheme="minorBidi"/>
          <w:noProof/>
          <w:sz w:val="22"/>
          <w:szCs w:val="22"/>
          <w:lang w:val="en-CA" w:eastAsia="en-CA"/>
        </w:rPr>
      </w:pPr>
      <w:r>
        <w:rPr>
          <w:noProof/>
        </w:rPr>
        <w:t>Figure 5</w:t>
      </w:r>
      <w:r>
        <w:rPr>
          <w:noProof/>
        </w:rPr>
        <w:noBreakHyphen/>
        <w:t>3: Community Shannon diversity for forest floor soil (top row) and organic soil (bottom row)</w:t>
      </w:r>
      <w:r>
        <w:rPr>
          <w:noProof/>
        </w:rPr>
        <w:tab/>
      </w:r>
      <w:r>
        <w:rPr>
          <w:noProof/>
        </w:rPr>
        <w:fldChar w:fldCharType="begin"/>
      </w:r>
      <w:r>
        <w:rPr>
          <w:noProof/>
        </w:rPr>
        <w:instrText xml:space="preserve"> PAGEREF _Toc101783832 \h </w:instrText>
      </w:r>
      <w:r>
        <w:rPr>
          <w:noProof/>
        </w:rPr>
      </w:r>
      <w:r>
        <w:rPr>
          <w:noProof/>
        </w:rPr>
        <w:fldChar w:fldCharType="separate"/>
      </w:r>
      <w:r w:rsidR="000667DB">
        <w:rPr>
          <w:noProof/>
        </w:rPr>
        <w:t>181</w:t>
      </w:r>
      <w:r>
        <w:rPr>
          <w:noProof/>
        </w:rPr>
        <w:fldChar w:fldCharType="end"/>
      </w:r>
    </w:p>
    <w:p w14:paraId="21B6DE80" w14:textId="23A69C31" w:rsidR="00660F9E" w:rsidRDefault="00660F9E">
      <w:pPr>
        <w:pStyle w:val="TableofFigures"/>
        <w:tabs>
          <w:tab w:val="right" w:leader="dot" w:pos="9350"/>
        </w:tabs>
        <w:rPr>
          <w:rFonts w:asciiTheme="minorHAnsi" w:eastAsiaTheme="minorEastAsia" w:hAnsiTheme="minorHAnsi" w:cstheme="minorBidi"/>
          <w:noProof/>
          <w:sz w:val="22"/>
          <w:szCs w:val="22"/>
          <w:lang w:val="en-CA" w:eastAsia="en-CA"/>
        </w:rPr>
      </w:pPr>
      <w:r>
        <w:rPr>
          <w:noProof/>
        </w:rPr>
        <w:t>Figure 5</w:t>
      </w:r>
      <w:r>
        <w:rPr>
          <w:noProof/>
        </w:rPr>
        <w:noBreakHyphen/>
        <w:t>4: Community phylogenetic dispersion index (PDI) for forest floor soil (top row) and organic soil (bottom row)</w:t>
      </w:r>
      <w:r>
        <w:rPr>
          <w:noProof/>
        </w:rPr>
        <w:tab/>
      </w:r>
      <w:r>
        <w:rPr>
          <w:noProof/>
        </w:rPr>
        <w:fldChar w:fldCharType="begin"/>
      </w:r>
      <w:r>
        <w:rPr>
          <w:noProof/>
        </w:rPr>
        <w:instrText xml:space="preserve"> PAGEREF _Toc101783833 \h </w:instrText>
      </w:r>
      <w:r>
        <w:rPr>
          <w:noProof/>
        </w:rPr>
      </w:r>
      <w:r>
        <w:rPr>
          <w:noProof/>
        </w:rPr>
        <w:fldChar w:fldCharType="separate"/>
      </w:r>
      <w:r w:rsidR="000667DB">
        <w:rPr>
          <w:noProof/>
        </w:rPr>
        <w:t>182</w:t>
      </w:r>
      <w:r>
        <w:rPr>
          <w:noProof/>
        </w:rPr>
        <w:fldChar w:fldCharType="end"/>
      </w:r>
    </w:p>
    <w:p w14:paraId="7F82A33F" w14:textId="5261DDE6" w:rsidR="00660F9E" w:rsidRDefault="00660F9E">
      <w:pPr>
        <w:pStyle w:val="TableofFigures"/>
        <w:tabs>
          <w:tab w:val="right" w:leader="dot" w:pos="9350"/>
        </w:tabs>
        <w:rPr>
          <w:rFonts w:asciiTheme="minorHAnsi" w:eastAsiaTheme="minorEastAsia" w:hAnsiTheme="minorHAnsi" w:cstheme="minorBidi"/>
          <w:noProof/>
          <w:sz w:val="22"/>
          <w:szCs w:val="22"/>
          <w:lang w:val="en-CA" w:eastAsia="en-CA"/>
        </w:rPr>
      </w:pPr>
      <w:r>
        <w:rPr>
          <w:noProof/>
        </w:rPr>
        <w:t>Figure 5</w:t>
      </w:r>
      <w:r>
        <w:rPr>
          <w:noProof/>
        </w:rPr>
        <w:noBreakHyphen/>
        <w:t>5: Standardized GLM model-averaged coefficients for four community measures</w:t>
      </w:r>
      <w:r>
        <w:rPr>
          <w:noProof/>
        </w:rPr>
        <w:tab/>
      </w:r>
      <w:r>
        <w:rPr>
          <w:noProof/>
        </w:rPr>
        <w:fldChar w:fldCharType="begin"/>
      </w:r>
      <w:r>
        <w:rPr>
          <w:noProof/>
        </w:rPr>
        <w:instrText xml:space="preserve"> PAGEREF _Toc101783834 \h </w:instrText>
      </w:r>
      <w:r>
        <w:rPr>
          <w:noProof/>
        </w:rPr>
      </w:r>
      <w:r>
        <w:rPr>
          <w:noProof/>
        </w:rPr>
        <w:fldChar w:fldCharType="separate"/>
      </w:r>
      <w:r w:rsidR="000667DB">
        <w:rPr>
          <w:noProof/>
        </w:rPr>
        <w:t>184</w:t>
      </w:r>
      <w:r>
        <w:rPr>
          <w:noProof/>
        </w:rPr>
        <w:fldChar w:fldCharType="end"/>
      </w:r>
    </w:p>
    <w:p w14:paraId="51BDA46B" w14:textId="533DC745" w:rsidR="00660F9E" w:rsidRDefault="00660F9E">
      <w:pPr>
        <w:pStyle w:val="TableofFigures"/>
        <w:tabs>
          <w:tab w:val="right" w:leader="dot" w:pos="9350"/>
        </w:tabs>
        <w:rPr>
          <w:rFonts w:asciiTheme="minorHAnsi" w:eastAsiaTheme="minorEastAsia" w:hAnsiTheme="minorHAnsi" w:cstheme="minorBidi"/>
          <w:noProof/>
          <w:sz w:val="22"/>
          <w:szCs w:val="22"/>
          <w:lang w:val="en-CA" w:eastAsia="en-CA"/>
        </w:rPr>
      </w:pPr>
      <w:r>
        <w:rPr>
          <w:noProof/>
        </w:rPr>
        <w:t>Figure 5</w:t>
      </w:r>
      <w:r>
        <w:rPr>
          <w:noProof/>
        </w:rPr>
        <w:noBreakHyphen/>
        <w:t>6: Heatmap of 16S random forest model importance coefficients for community metrics</w:t>
      </w:r>
      <w:r>
        <w:rPr>
          <w:noProof/>
        </w:rPr>
        <w:tab/>
      </w:r>
      <w:r>
        <w:rPr>
          <w:noProof/>
        </w:rPr>
        <w:fldChar w:fldCharType="begin"/>
      </w:r>
      <w:r>
        <w:rPr>
          <w:noProof/>
        </w:rPr>
        <w:instrText xml:space="preserve"> PAGEREF _Toc101783835 \h </w:instrText>
      </w:r>
      <w:r>
        <w:rPr>
          <w:noProof/>
        </w:rPr>
      </w:r>
      <w:r>
        <w:rPr>
          <w:noProof/>
        </w:rPr>
        <w:fldChar w:fldCharType="separate"/>
      </w:r>
      <w:r w:rsidR="000667DB">
        <w:rPr>
          <w:noProof/>
        </w:rPr>
        <w:t>185</w:t>
      </w:r>
      <w:r>
        <w:rPr>
          <w:noProof/>
        </w:rPr>
        <w:fldChar w:fldCharType="end"/>
      </w:r>
    </w:p>
    <w:p w14:paraId="73597283" w14:textId="52A9F627" w:rsidR="00660F9E" w:rsidRDefault="00660F9E">
      <w:pPr>
        <w:pStyle w:val="TableofFigures"/>
        <w:tabs>
          <w:tab w:val="right" w:leader="dot" w:pos="9350"/>
        </w:tabs>
        <w:rPr>
          <w:rFonts w:asciiTheme="minorHAnsi" w:eastAsiaTheme="minorEastAsia" w:hAnsiTheme="minorHAnsi" w:cstheme="minorBidi"/>
          <w:noProof/>
          <w:sz w:val="22"/>
          <w:szCs w:val="22"/>
          <w:lang w:val="en-CA" w:eastAsia="en-CA"/>
        </w:rPr>
      </w:pPr>
      <w:r>
        <w:rPr>
          <w:noProof/>
        </w:rPr>
        <w:t>Figure 5</w:t>
      </w:r>
      <w:r>
        <w:rPr>
          <w:noProof/>
        </w:rPr>
        <w:noBreakHyphen/>
        <w:t>7: 16S beta diversity NMDS plots</w:t>
      </w:r>
      <w:r>
        <w:rPr>
          <w:noProof/>
        </w:rPr>
        <w:tab/>
      </w:r>
      <w:r>
        <w:rPr>
          <w:noProof/>
        </w:rPr>
        <w:fldChar w:fldCharType="begin"/>
      </w:r>
      <w:r>
        <w:rPr>
          <w:noProof/>
        </w:rPr>
        <w:instrText xml:space="preserve"> PAGEREF _Toc101783836 \h </w:instrText>
      </w:r>
      <w:r>
        <w:rPr>
          <w:noProof/>
        </w:rPr>
      </w:r>
      <w:r>
        <w:rPr>
          <w:noProof/>
        </w:rPr>
        <w:fldChar w:fldCharType="separate"/>
      </w:r>
      <w:r w:rsidR="000667DB">
        <w:rPr>
          <w:noProof/>
        </w:rPr>
        <w:t>186</w:t>
      </w:r>
      <w:r>
        <w:rPr>
          <w:noProof/>
        </w:rPr>
        <w:fldChar w:fldCharType="end"/>
      </w:r>
    </w:p>
    <w:p w14:paraId="498AFD08" w14:textId="24E93C2A" w:rsidR="00660F9E" w:rsidRDefault="00660F9E">
      <w:pPr>
        <w:pStyle w:val="TableofFigures"/>
        <w:tabs>
          <w:tab w:val="right" w:leader="dot" w:pos="9350"/>
        </w:tabs>
        <w:rPr>
          <w:rFonts w:asciiTheme="minorHAnsi" w:eastAsiaTheme="minorEastAsia" w:hAnsiTheme="minorHAnsi" w:cstheme="minorBidi"/>
          <w:noProof/>
          <w:sz w:val="22"/>
          <w:szCs w:val="22"/>
          <w:lang w:val="en-CA" w:eastAsia="en-CA"/>
        </w:rPr>
      </w:pPr>
      <w:r>
        <w:rPr>
          <w:noProof/>
        </w:rPr>
        <w:t>Figure 5</w:t>
      </w:r>
      <w:r>
        <w:rPr>
          <w:noProof/>
        </w:rPr>
        <w:noBreakHyphen/>
        <w:t>8: 16S differential abundance analysis coefficients.</w:t>
      </w:r>
      <w:r>
        <w:rPr>
          <w:noProof/>
        </w:rPr>
        <w:tab/>
      </w:r>
      <w:r>
        <w:rPr>
          <w:noProof/>
        </w:rPr>
        <w:fldChar w:fldCharType="begin"/>
      </w:r>
      <w:r>
        <w:rPr>
          <w:noProof/>
        </w:rPr>
        <w:instrText xml:space="preserve"> PAGEREF _Toc101783837 \h </w:instrText>
      </w:r>
      <w:r>
        <w:rPr>
          <w:noProof/>
        </w:rPr>
      </w:r>
      <w:r>
        <w:rPr>
          <w:noProof/>
        </w:rPr>
        <w:fldChar w:fldCharType="separate"/>
      </w:r>
      <w:r w:rsidR="000667DB">
        <w:rPr>
          <w:noProof/>
        </w:rPr>
        <w:t>187</w:t>
      </w:r>
      <w:r>
        <w:rPr>
          <w:noProof/>
        </w:rPr>
        <w:fldChar w:fldCharType="end"/>
      </w:r>
    </w:p>
    <w:p w14:paraId="7419F60B" w14:textId="3806483B" w:rsidR="00660F9E" w:rsidRDefault="00660F9E">
      <w:pPr>
        <w:pStyle w:val="TableofFigures"/>
        <w:tabs>
          <w:tab w:val="right" w:leader="dot" w:pos="9350"/>
        </w:tabs>
        <w:rPr>
          <w:rFonts w:asciiTheme="minorHAnsi" w:eastAsiaTheme="minorEastAsia" w:hAnsiTheme="minorHAnsi" w:cstheme="minorBidi"/>
          <w:noProof/>
          <w:sz w:val="22"/>
          <w:szCs w:val="22"/>
          <w:lang w:val="en-CA" w:eastAsia="en-CA"/>
        </w:rPr>
      </w:pPr>
      <w:r>
        <w:rPr>
          <w:noProof/>
        </w:rPr>
        <w:t>Figure 6</w:t>
      </w:r>
      <w:r>
        <w:rPr>
          <w:noProof/>
        </w:rPr>
        <w:noBreakHyphen/>
        <w:t>1: Time series of δ</w:t>
      </w:r>
      <w:r w:rsidRPr="00AB29D1">
        <w:rPr>
          <w:noProof/>
          <w:vertAlign w:val="superscript"/>
        </w:rPr>
        <w:t>15</w:t>
      </w:r>
      <w:r>
        <w:rPr>
          <w:noProof/>
        </w:rPr>
        <w:t>N values per plant</w:t>
      </w:r>
      <w:r>
        <w:rPr>
          <w:noProof/>
        </w:rPr>
        <w:tab/>
      </w:r>
      <w:r>
        <w:rPr>
          <w:noProof/>
        </w:rPr>
        <w:fldChar w:fldCharType="begin"/>
      </w:r>
      <w:r>
        <w:rPr>
          <w:noProof/>
        </w:rPr>
        <w:instrText xml:space="preserve"> PAGEREF _Toc101783838 \h </w:instrText>
      </w:r>
      <w:r>
        <w:rPr>
          <w:noProof/>
        </w:rPr>
      </w:r>
      <w:r>
        <w:rPr>
          <w:noProof/>
        </w:rPr>
        <w:fldChar w:fldCharType="separate"/>
      </w:r>
      <w:r w:rsidR="000667DB">
        <w:rPr>
          <w:noProof/>
        </w:rPr>
        <w:t>198</w:t>
      </w:r>
      <w:r>
        <w:rPr>
          <w:noProof/>
        </w:rPr>
        <w:fldChar w:fldCharType="end"/>
      </w:r>
    </w:p>
    <w:p w14:paraId="2300F18B" w14:textId="008C18AB" w:rsidR="00660F9E" w:rsidRDefault="00660F9E">
      <w:pPr>
        <w:pStyle w:val="TableofFigures"/>
        <w:tabs>
          <w:tab w:val="right" w:leader="dot" w:pos="9350"/>
        </w:tabs>
        <w:rPr>
          <w:rFonts w:asciiTheme="minorHAnsi" w:eastAsiaTheme="minorEastAsia" w:hAnsiTheme="minorHAnsi" w:cstheme="minorBidi"/>
          <w:noProof/>
          <w:sz w:val="22"/>
          <w:szCs w:val="22"/>
          <w:lang w:val="en-CA" w:eastAsia="en-CA"/>
        </w:rPr>
      </w:pPr>
      <w:r>
        <w:rPr>
          <w:noProof/>
        </w:rPr>
        <w:t>Figure 6</w:t>
      </w:r>
      <w:r>
        <w:rPr>
          <w:noProof/>
        </w:rPr>
        <w:noBreakHyphen/>
        <w:t>2: Time series of log δ</w:t>
      </w:r>
      <w:r w:rsidRPr="00AB29D1">
        <w:rPr>
          <w:noProof/>
          <w:vertAlign w:val="superscript"/>
        </w:rPr>
        <w:t>15</w:t>
      </w:r>
      <w:r>
        <w:rPr>
          <w:noProof/>
        </w:rPr>
        <w:t>N values per plant</w:t>
      </w:r>
      <w:r>
        <w:rPr>
          <w:noProof/>
        </w:rPr>
        <w:tab/>
      </w:r>
      <w:r>
        <w:rPr>
          <w:noProof/>
        </w:rPr>
        <w:fldChar w:fldCharType="begin"/>
      </w:r>
      <w:r>
        <w:rPr>
          <w:noProof/>
        </w:rPr>
        <w:instrText xml:space="preserve"> PAGEREF _Toc101783839 \h </w:instrText>
      </w:r>
      <w:r>
        <w:rPr>
          <w:noProof/>
        </w:rPr>
      </w:r>
      <w:r>
        <w:rPr>
          <w:noProof/>
        </w:rPr>
        <w:fldChar w:fldCharType="separate"/>
      </w:r>
      <w:r w:rsidR="000667DB">
        <w:rPr>
          <w:noProof/>
        </w:rPr>
        <w:t>199</w:t>
      </w:r>
      <w:r>
        <w:rPr>
          <w:noProof/>
        </w:rPr>
        <w:fldChar w:fldCharType="end"/>
      </w:r>
    </w:p>
    <w:p w14:paraId="763F2A8C" w14:textId="6C7D59BA" w:rsidR="00660F9E" w:rsidRDefault="00660F9E">
      <w:pPr>
        <w:pStyle w:val="TableofFigures"/>
        <w:tabs>
          <w:tab w:val="right" w:leader="dot" w:pos="9350"/>
        </w:tabs>
        <w:rPr>
          <w:rFonts w:asciiTheme="minorHAnsi" w:eastAsiaTheme="minorEastAsia" w:hAnsiTheme="minorHAnsi" w:cstheme="minorBidi"/>
          <w:noProof/>
          <w:sz w:val="22"/>
          <w:szCs w:val="22"/>
          <w:lang w:val="en-CA" w:eastAsia="en-CA"/>
        </w:rPr>
      </w:pPr>
      <w:r>
        <w:rPr>
          <w:noProof/>
        </w:rPr>
        <w:t>Figure 6</w:t>
      </w:r>
      <w:r>
        <w:rPr>
          <w:noProof/>
        </w:rPr>
        <w:noBreakHyphen/>
        <w:t>3: log transformed δ</w:t>
      </w:r>
      <w:r w:rsidRPr="00AB29D1">
        <w:rPr>
          <w:noProof/>
          <w:vertAlign w:val="superscript"/>
        </w:rPr>
        <w:t>15</w:t>
      </w:r>
      <w:r>
        <w:rPr>
          <w:noProof/>
        </w:rPr>
        <w:t>N values as a function of days since application.</w:t>
      </w:r>
      <w:r>
        <w:rPr>
          <w:noProof/>
        </w:rPr>
        <w:tab/>
      </w:r>
      <w:r>
        <w:rPr>
          <w:noProof/>
        </w:rPr>
        <w:fldChar w:fldCharType="begin"/>
      </w:r>
      <w:r>
        <w:rPr>
          <w:noProof/>
        </w:rPr>
        <w:instrText xml:space="preserve"> PAGEREF _Toc101783840 \h </w:instrText>
      </w:r>
      <w:r>
        <w:rPr>
          <w:noProof/>
        </w:rPr>
      </w:r>
      <w:r>
        <w:rPr>
          <w:noProof/>
        </w:rPr>
        <w:fldChar w:fldCharType="separate"/>
      </w:r>
      <w:r w:rsidR="000667DB">
        <w:rPr>
          <w:noProof/>
        </w:rPr>
        <w:t>200</w:t>
      </w:r>
      <w:r>
        <w:rPr>
          <w:noProof/>
        </w:rPr>
        <w:fldChar w:fldCharType="end"/>
      </w:r>
    </w:p>
    <w:p w14:paraId="705040E1" w14:textId="278730DF" w:rsidR="00660F9E" w:rsidRDefault="00660F9E">
      <w:pPr>
        <w:pStyle w:val="TableofFigures"/>
        <w:tabs>
          <w:tab w:val="right" w:leader="dot" w:pos="9350"/>
        </w:tabs>
        <w:rPr>
          <w:rFonts w:asciiTheme="minorHAnsi" w:eastAsiaTheme="minorEastAsia" w:hAnsiTheme="minorHAnsi" w:cstheme="minorBidi"/>
          <w:noProof/>
          <w:sz w:val="22"/>
          <w:szCs w:val="22"/>
          <w:lang w:val="en-CA" w:eastAsia="en-CA"/>
        </w:rPr>
      </w:pPr>
      <w:r>
        <w:rPr>
          <w:noProof/>
        </w:rPr>
        <w:t>Figure 6</w:t>
      </w:r>
      <w:r>
        <w:rPr>
          <w:noProof/>
        </w:rPr>
        <w:noBreakHyphen/>
        <w:t>4: 3-D plots of translated log δ</w:t>
      </w:r>
      <w:r w:rsidRPr="00AB29D1">
        <w:rPr>
          <w:noProof/>
          <w:vertAlign w:val="superscript"/>
        </w:rPr>
        <w:t>15</w:t>
      </w:r>
      <w:r>
        <w:rPr>
          <w:noProof/>
        </w:rPr>
        <w:t>N values for the three treatment groups as a function of distance from the center of the plot and days since application.</w:t>
      </w:r>
      <w:r>
        <w:rPr>
          <w:noProof/>
        </w:rPr>
        <w:tab/>
      </w:r>
      <w:r>
        <w:rPr>
          <w:noProof/>
        </w:rPr>
        <w:fldChar w:fldCharType="begin"/>
      </w:r>
      <w:r>
        <w:rPr>
          <w:noProof/>
        </w:rPr>
        <w:instrText xml:space="preserve"> PAGEREF _Toc101783841 \h </w:instrText>
      </w:r>
      <w:r>
        <w:rPr>
          <w:noProof/>
        </w:rPr>
      </w:r>
      <w:r>
        <w:rPr>
          <w:noProof/>
        </w:rPr>
        <w:fldChar w:fldCharType="separate"/>
      </w:r>
      <w:r w:rsidR="000667DB">
        <w:rPr>
          <w:noProof/>
        </w:rPr>
        <w:t>201</w:t>
      </w:r>
      <w:r>
        <w:rPr>
          <w:noProof/>
        </w:rPr>
        <w:fldChar w:fldCharType="end"/>
      </w:r>
    </w:p>
    <w:p w14:paraId="51D5FA0A" w14:textId="00C87F73" w:rsidR="00660F9E" w:rsidRDefault="00660F9E">
      <w:pPr>
        <w:pStyle w:val="TableofFigures"/>
        <w:tabs>
          <w:tab w:val="right" w:leader="dot" w:pos="9350"/>
        </w:tabs>
        <w:rPr>
          <w:rFonts w:asciiTheme="minorHAnsi" w:eastAsiaTheme="minorEastAsia" w:hAnsiTheme="minorHAnsi" w:cstheme="minorBidi"/>
          <w:noProof/>
          <w:sz w:val="22"/>
          <w:szCs w:val="22"/>
          <w:lang w:val="en-CA" w:eastAsia="en-CA"/>
        </w:rPr>
      </w:pPr>
      <w:r>
        <w:rPr>
          <w:noProof/>
        </w:rPr>
        <w:t>Figure 6</w:t>
      </w:r>
      <w:r>
        <w:rPr>
          <w:noProof/>
        </w:rPr>
        <w:noBreakHyphen/>
        <w:t>5: Estimated V</w:t>
      </w:r>
      <w:r w:rsidRPr="00AB29D1">
        <w:rPr>
          <w:noProof/>
          <w:vertAlign w:val="subscript"/>
        </w:rPr>
        <w:t>max</w:t>
      </w:r>
      <w:r>
        <w:rPr>
          <w:noProof/>
        </w:rPr>
        <w:t xml:space="preserve"> and K</w:t>
      </w:r>
      <w:r w:rsidRPr="00AB29D1">
        <w:rPr>
          <w:noProof/>
          <w:vertAlign w:val="subscript"/>
        </w:rPr>
        <w:t>M</w:t>
      </w:r>
      <w:r>
        <w:rPr>
          <w:noProof/>
        </w:rPr>
        <w:t xml:space="preserve"> values from Michaelis-Menten function fits of the closest plant for each treatment group.</w:t>
      </w:r>
      <w:r>
        <w:rPr>
          <w:noProof/>
        </w:rPr>
        <w:tab/>
      </w:r>
      <w:r>
        <w:rPr>
          <w:noProof/>
        </w:rPr>
        <w:fldChar w:fldCharType="begin"/>
      </w:r>
      <w:r>
        <w:rPr>
          <w:noProof/>
        </w:rPr>
        <w:instrText xml:space="preserve"> PAGEREF _Toc101783842 \h </w:instrText>
      </w:r>
      <w:r>
        <w:rPr>
          <w:noProof/>
        </w:rPr>
      </w:r>
      <w:r>
        <w:rPr>
          <w:noProof/>
        </w:rPr>
        <w:fldChar w:fldCharType="separate"/>
      </w:r>
      <w:r w:rsidR="000667DB">
        <w:rPr>
          <w:noProof/>
        </w:rPr>
        <w:t>203</w:t>
      </w:r>
      <w:r>
        <w:rPr>
          <w:noProof/>
        </w:rPr>
        <w:fldChar w:fldCharType="end"/>
      </w:r>
    </w:p>
    <w:p w14:paraId="02C0D48A" w14:textId="18E626AE" w:rsidR="00E9753B" w:rsidRPr="009867C1" w:rsidRDefault="00F16FAD" w:rsidP="00014D18">
      <w:pPr>
        <w:pStyle w:val="TableofFigures"/>
      </w:pPr>
      <w:r w:rsidRPr="009867C1">
        <w:fldChar w:fldCharType="end"/>
      </w:r>
    </w:p>
    <w:p w14:paraId="6BA8AD44" w14:textId="49828617" w:rsidR="00E4751F" w:rsidRDefault="00F279B5">
      <w:pPr>
        <w:pStyle w:val="TableofFigures"/>
        <w:tabs>
          <w:tab w:val="right" w:leader="dot" w:pos="9350"/>
        </w:tabs>
        <w:rPr>
          <w:rFonts w:asciiTheme="minorHAnsi" w:eastAsiaTheme="minorEastAsia" w:hAnsiTheme="minorHAnsi" w:cstheme="minorBidi"/>
          <w:noProof/>
          <w:sz w:val="22"/>
          <w:szCs w:val="22"/>
          <w:lang w:val="en-CA" w:eastAsia="en-CA"/>
        </w:rPr>
      </w:pPr>
      <w:r w:rsidRPr="009867C1">
        <w:fldChar w:fldCharType="begin"/>
      </w:r>
      <w:r w:rsidRPr="009867C1">
        <w:instrText xml:space="preserve"> TOC \h \z \c "Appendix Figure" </w:instrText>
      </w:r>
      <w:r w:rsidRPr="009867C1">
        <w:fldChar w:fldCharType="separate"/>
      </w:r>
      <w:hyperlink w:anchor="_Toc86773933" w:history="1">
        <w:r w:rsidR="00E4751F" w:rsidRPr="002F0E76">
          <w:rPr>
            <w:rStyle w:val="Hyperlink"/>
            <w:noProof/>
          </w:rPr>
          <w:t>Figure A</w:t>
        </w:r>
        <w:r w:rsidR="00E4751F" w:rsidRPr="002F0E76">
          <w:rPr>
            <w:rStyle w:val="Hyperlink"/>
            <w:noProof/>
          </w:rPr>
          <w:noBreakHyphen/>
          <w:t>1: Map of study sites on the Central Coast examined in this thesis. Sites with waterfalls are indicated by a (W).</w:t>
        </w:r>
        <w:r w:rsidR="00E4751F">
          <w:rPr>
            <w:noProof/>
            <w:webHidden/>
          </w:rPr>
          <w:tab/>
        </w:r>
        <w:r w:rsidR="00E4751F">
          <w:rPr>
            <w:noProof/>
            <w:webHidden/>
          </w:rPr>
          <w:fldChar w:fldCharType="begin"/>
        </w:r>
        <w:r w:rsidR="00E4751F">
          <w:rPr>
            <w:noProof/>
            <w:webHidden/>
          </w:rPr>
          <w:instrText xml:space="preserve"> PAGEREF _Toc86773933 \h </w:instrText>
        </w:r>
        <w:r w:rsidR="00E4751F">
          <w:rPr>
            <w:noProof/>
            <w:webHidden/>
          </w:rPr>
        </w:r>
        <w:r w:rsidR="00E4751F">
          <w:rPr>
            <w:noProof/>
            <w:webHidden/>
          </w:rPr>
          <w:fldChar w:fldCharType="separate"/>
        </w:r>
        <w:r w:rsidR="000667DB">
          <w:rPr>
            <w:noProof/>
            <w:webHidden/>
          </w:rPr>
          <w:t>299</w:t>
        </w:r>
        <w:r w:rsidR="00E4751F">
          <w:rPr>
            <w:noProof/>
            <w:webHidden/>
          </w:rPr>
          <w:fldChar w:fldCharType="end"/>
        </w:r>
      </w:hyperlink>
    </w:p>
    <w:p w14:paraId="410C0B41" w14:textId="693F96E8" w:rsidR="00E4751F" w:rsidRDefault="00557CA9">
      <w:pPr>
        <w:pStyle w:val="TableofFigures"/>
        <w:tabs>
          <w:tab w:val="right" w:leader="dot" w:pos="9350"/>
        </w:tabs>
        <w:rPr>
          <w:rFonts w:asciiTheme="minorHAnsi" w:eastAsiaTheme="minorEastAsia" w:hAnsiTheme="minorHAnsi" w:cstheme="minorBidi"/>
          <w:noProof/>
          <w:sz w:val="22"/>
          <w:szCs w:val="22"/>
          <w:lang w:val="en-CA" w:eastAsia="en-CA"/>
        </w:rPr>
      </w:pPr>
      <w:hyperlink w:anchor="_Toc86773934" w:history="1">
        <w:r w:rsidR="00E4751F" w:rsidRPr="002F0E76">
          <w:rPr>
            <w:rStyle w:val="Hyperlink"/>
            <w:noProof/>
          </w:rPr>
          <w:t>Figure A</w:t>
        </w:r>
        <w:r w:rsidR="00E4751F" w:rsidRPr="002F0E76">
          <w:rPr>
            <w:rStyle w:val="Hyperlink"/>
            <w:noProof/>
          </w:rPr>
          <w:noBreakHyphen/>
          <w:t>2: PCA biplot of four watershed size indices</w:t>
        </w:r>
        <w:r w:rsidR="00E4751F">
          <w:rPr>
            <w:noProof/>
            <w:webHidden/>
          </w:rPr>
          <w:tab/>
        </w:r>
        <w:r w:rsidR="00E4751F">
          <w:rPr>
            <w:noProof/>
            <w:webHidden/>
          </w:rPr>
          <w:fldChar w:fldCharType="begin"/>
        </w:r>
        <w:r w:rsidR="00E4751F">
          <w:rPr>
            <w:noProof/>
            <w:webHidden/>
          </w:rPr>
          <w:instrText xml:space="preserve"> PAGEREF _Toc86773934 \h </w:instrText>
        </w:r>
        <w:r w:rsidR="00E4751F">
          <w:rPr>
            <w:noProof/>
            <w:webHidden/>
          </w:rPr>
        </w:r>
        <w:r w:rsidR="00E4751F">
          <w:rPr>
            <w:noProof/>
            <w:webHidden/>
          </w:rPr>
          <w:fldChar w:fldCharType="separate"/>
        </w:r>
        <w:r w:rsidR="000667DB">
          <w:rPr>
            <w:noProof/>
            <w:webHidden/>
          </w:rPr>
          <w:t>302</w:t>
        </w:r>
        <w:r w:rsidR="00E4751F">
          <w:rPr>
            <w:noProof/>
            <w:webHidden/>
          </w:rPr>
          <w:fldChar w:fldCharType="end"/>
        </w:r>
      </w:hyperlink>
    </w:p>
    <w:p w14:paraId="061898B4" w14:textId="0C4B99A0" w:rsidR="00E4751F" w:rsidRDefault="00557CA9">
      <w:pPr>
        <w:pStyle w:val="TableofFigures"/>
        <w:tabs>
          <w:tab w:val="right" w:leader="dot" w:pos="9350"/>
        </w:tabs>
        <w:rPr>
          <w:rFonts w:asciiTheme="minorHAnsi" w:eastAsiaTheme="minorEastAsia" w:hAnsiTheme="minorHAnsi" w:cstheme="minorBidi"/>
          <w:noProof/>
          <w:sz w:val="22"/>
          <w:szCs w:val="22"/>
          <w:lang w:val="en-CA" w:eastAsia="en-CA"/>
        </w:rPr>
      </w:pPr>
      <w:hyperlink w:anchor="_Toc86773935" w:history="1">
        <w:r w:rsidR="00E4751F" w:rsidRPr="002F0E76">
          <w:rPr>
            <w:rStyle w:val="Hyperlink"/>
            <w:noProof/>
          </w:rPr>
          <w:t>Figure B</w:t>
        </w:r>
        <w:r w:rsidR="00E4751F" w:rsidRPr="002F0E76">
          <w:rPr>
            <w:rStyle w:val="Hyperlink"/>
            <w:noProof/>
          </w:rPr>
          <w:noBreakHyphen/>
          <w:t>1: Salmon density (kg of salmon/m of accessible stream reach) for all streams used in this study.</w:t>
        </w:r>
        <w:r w:rsidR="00E4751F">
          <w:rPr>
            <w:noProof/>
            <w:webHidden/>
          </w:rPr>
          <w:tab/>
        </w:r>
        <w:r w:rsidR="00E4751F">
          <w:rPr>
            <w:noProof/>
            <w:webHidden/>
          </w:rPr>
          <w:fldChar w:fldCharType="begin"/>
        </w:r>
        <w:r w:rsidR="00E4751F">
          <w:rPr>
            <w:noProof/>
            <w:webHidden/>
          </w:rPr>
          <w:instrText xml:space="preserve"> PAGEREF _Toc86773935 \h </w:instrText>
        </w:r>
        <w:r w:rsidR="00E4751F">
          <w:rPr>
            <w:noProof/>
            <w:webHidden/>
          </w:rPr>
        </w:r>
        <w:r w:rsidR="00E4751F">
          <w:rPr>
            <w:noProof/>
            <w:webHidden/>
          </w:rPr>
          <w:fldChar w:fldCharType="separate"/>
        </w:r>
        <w:r w:rsidR="000667DB">
          <w:rPr>
            <w:noProof/>
            <w:webHidden/>
          </w:rPr>
          <w:t>306</w:t>
        </w:r>
        <w:r w:rsidR="00E4751F">
          <w:rPr>
            <w:noProof/>
            <w:webHidden/>
          </w:rPr>
          <w:fldChar w:fldCharType="end"/>
        </w:r>
      </w:hyperlink>
    </w:p>
    <w:p w14:paraId="78A6EDEE" w14:textId="08EA8ECF" w:rsidR="00E4751F" w:rsidRDefault="00557CA9">
      <w:pPr>
        <w:pStyle w:val="TableofFigures"/>
        <w:tabs>
          <w:tab w:val="right" w:leader="dot" w:pos="9350"/>
        </w:tabs>
        <w:rPr>
          <w:rFonts w:asciiTheme="minorHAnsi" w:eastAsiaTheme="minorEastAsia" w:hAnsiTheme="minorHAnsi" w:cstheme="minorBidi"/>
          <w:noProof/>
          <w:sz w:val="22"/>
          <w:szCs w:val="22"/>
          <w:lang w:val="en-CA" w:eastAsia="en-CA"/>
        </w:rPr>
      </w:pPr>
      <w:hyperlink w:anchor="_Toc86773936" w:history="1">
        <w:r w:rsidR="00E4751F" w:rsidRPr="002F0E76">
          <w:rPr>
            <w:rStyle w:val="Hyperlink"/>
            <w:noProof/>
          </w:rPr>
          <w:t>Figure B</w:t>
        </w:r>
        <w:r w:rsidR="00E4751F" w:rsidRPr="002F0E76">
          <w:rPr>
            <w:rStyle w:val="Hyperlink"/>
            <w:noProof/>
          </w:rPr>
          <w:noBreakHyphen/>
          <w:t>2: Salmon density (kg of salmon/m of accessible stream reach) for all streams used in this study.</w:t>
        </w:r>
        <w:r w:rsidR="00E4751F">
          <w:rPr>
            <w:noProof/>
            <w:webHidden/>
          </w:rPr>
          <w:tab/>
        </w:r>
        <w:r w:rsidR="00E4751F">
          <w:rPr>
            <w:noProof/>
            <w:webHidden/>
          </w:rPr>
          <w:fldChar w:fldCharType="begin"/>
        </w:r>
        <w:r w:rsidR="00E4751F">
          <w:rPr>
            <w:noProof/>
            <w:webHidden/>
          </w:rPr>
          <w:instrText xml:space="preserve"> PAGEREF _Toc86773936 \h </w:instrText>
        </w:r>
        <w:r w:rsidR="00E4751F">
          <w:rPr>
            <w:noProof/>
            <w:webHidden/>
          </w:rPr>
        </w:r>
        <w:r w:rsidR="00E4751F">
          <w:rPr>
            <w:noProof/>
            <w:webHidden/>
          </w:rPr>
          <w:fldChar w:fldCharType="separate"/>
        </w:r>
        <w:r w:rsidR="000667DB">
          <w:rPr>
            <w:noProof/>
            <w:webHidden/>
          </w:rPr>
          <w:t>307</w:t>
        </w:r>
        <w:r w:rsidR="00E4751F">
          <w:rPr>
            <w:noProof/>
            <w:webHidden/>
          </w:rPr>
          <w:fldChar w:fldCharType="end"/>
        </w:r>
      </w:hyperlink>
    </w:p>
    <w:p w14:paraId="3702BAAC" w14:textId="147A92F8" w:rsidR="00E4751F" w:rsidRDefault="00557CA9">
      <w:pPr>
        <w:pStyle w:val="TableofFigures"/>
        <w:tabs>
          <w:tab w:val="right" w:leader="dot" w:pos="9350"/>
        </w:tabs>
        <w:rPr>
          <w:rFonts w:asciiTheme="minorHAnsi" w:eastAsiaTheme="minorEastAsia" w:hAnsiTheme="minorHAnsi" w:cstheme="minorBidi"/>
          <w:noProof/>
          <w:sz w:val="22"/>
          <w:szCs w:val="22"/>
          <w:lang w:val="en-CA" w:eastAsia="en-CA"/>
        </w:rPr>
      </w:pPr>
      <w:hyperlink w:anchor="_Toc86773937" w:history="1">
        <w:r w:rsidR="00E4751F" w:rsidRPr="002F0E76">
          <w:rPr>
            <w:rStyle w:val="Hyperlink"/>
            <w:noProof/>
          </w:rPr>
          <w:t>Figure B</w:t>
        </w:r>
        <w:r w:rsidR="00E4751F" w:rsidRPr="002F0E76">
          <w:rPr>
            <w:rStyle w:val="Hyperlink"/>
            <w:noProof/>
          </w:rPr>
          <w:noBreakHyphen/>
          <w:t>3: Salmon biomass (metric tons) by year over all streams used in this thesis.</w:t>
        </w:r>
        <w:r w:rsidR="00E4751F">
          <w:rPr>
            <w:noProof/>
            <w:webHidden/>
          </w:rPr>
          <w:tab/>
        </w:r>
        <w:r w:rsidR="00E4751F">
          <w:rPr>
            <w:noProof/>
            <w:webHidden/>
          </w:rPr>
          <w:fldChar w:fldCharType="begin"/>
        </w:r>
        <w:r w:rsidR="00E4751F">
          <w:rPr>
            <w:noProof/>
            <w:webHidden/>
          </w:rPr>
          <w:instrText xml:space="preserve"> PAGEREF _Toc86773937 \h </w:instrText>
        </w:r>
        <w:r w:rsidR="00E4751F">
          <w:rPr>
            <w:noProof/>
            <w:webHidden/>
          </w:rPr>
        </w:r>
        <w:r w:rsidR="00E4751F">
          <w:rPr>
            <w:noProof/>
            <w:webHidden/>
          </w:rPr>
          <w:fldChar w:fldCharType="separate"/>
        </w:r>
        <w:r w:rsidR="000667DB">
          <w:rPr>
            <w:noProof/>
            <w:webHidden/>
          </w:rPr>
          <w:t>308</w:t>
        </w:r>
        <w:r w:rsidR="00E4751F">
          <w:rPr>
            <w:noProof/>
            <w:webHidden/>
          </w:rPr>
          <w:fldChar w:fldCharType="end"/>
        </w:r>
      </w:hyperlink>
    </w:p>
    <w:p w14:paraId="7EC03205" w14:textId="6719AF69" w:rsidR="00E4751F" w:rsidRDefault="00557CA9">
      <w:pPr>
        <w:pStyle w:val="TableofFigures"/>
        <w:tabs>
          <w:tab w:val="right" w:leader="dot" w:pos="9350"/>
        </w:tabs>
        <w:rPr>
          <w:rFonts w:asciiTheme="minorHAnsi" w:eastAsiaTheme="minorEastAsia" w:hAnsiTheme="minorHAnsi" w:cstheme="minorBidi"/>
          <w:noProof/>
          <w:sz w:val="22"/>
          <w:szCs w:val="22"/>
          <w:lang w:val="en-CA" w:eastAsia="en-CA"/>
        </w:rPr>
      </w:pPr>
      <w:hyperlink w:anchor="_Toc86773938" w:history="1">
        <w:r w:rsidR="00E4751F" w:rsidRPr="002F0E76">
          <w:rPr>
            <w:rStyle w:val="Hyperlink"/>
            <w:noProof/>
          </w:rPr>
          <w:t>Figure B</w:t>
        </w:r>
        <w:r w:rsidR="00E4751F" w:rsidRPr="002F0E76">
          <w:rPr>
            <w:rStyle w:val="Hyperlink"/>
            <w:noProof/>
          </w:rPr>
          <w:noBreakHyphen/>
          <w:t>4: Histogram of the distribution of salmon density (kg/m) across streams for all years. Note the skew-right distribution and gap between 20 and 40 kg/m (high density streams are Neekas and Clatse).</w:t>
        </w:r>
        <w:r w:rsidR="00E4751F">
          <w:rPr>
            <w:noProof/>
            <w:webHidden/>
          </w:rPr>
          <w:tab/>
        </w:r>
        <w:r w:rsidR="00E4751F">
          <w:rPr>
            <w:noProof/>
            <w:webHidden/>
          </w:rPr>
          <w:fldChar w:fldCharType="begin"/>
        </w:r>
        <w:r w:rsidR="00E4751F">
          <w:rPr>
            <w:noProof/>
            <w:webHidden/>
          </w:rPr>
          <w:instrText xml:space="preserve"> PAGEREF _Toc86773938 \h </w:instrText>
        </w:r>
        <w:r w:rsidR="00E4751F">
          <w:rPr>
            <w:noProof/>
            <w:webHidden/>
          </w:rPr>
        </w:r>
        <w:r w:rsidR="00E4751F">
          <w:rPr>
            <w:noProof/>
            <w:webHidden/>
          </w:rPr>
          <w:fldChar w:fldCharType="separate"/>
        </w:r>
        <w:r w:rsidR="000667DB">
          <w:rPr>
            <w:noProof/>
            <w:webHidden/>
          </w:rPr>
          <w:t>309</w:t>
        </w:r>
        <w:r w:rsidR="00E4751F">
          <w:rPr>
            <w:noProof/>
            <w:webHidden/>
          </w:rPr>
          <w:fldChar w:fldCharType="end"/>
        </w:r>
      </w:hyperlink>
    </w:p>
    <w:p w14:paraId="2E4BEC58" w14:textId="301DFA0B" w:rsidR="00E4751F" w:rsidRDefault="00557CA9">
      <w:pPr>
        <w:pStyle w:val="TableofFigures"/>
        <w:tabs>
          <w:tab w:val="right" w:leader="dot" w:pos="9350"/>
        </w:tabs>
        <w:rPr>
          <w:rFonts w:asciiTheme="minorHAnsi" w:eastAsiaTheme="minorEastAsia" w:hAnsiTheme="minorHAnsi" w:cstheme="minorBidi"/>
          <w:noProof/>
          <w:sz w:val="22"/>
          <w:szCs w:val="22"/>
          <w:lang w:val="en-CA" w:eastAsia="en-CA"/>
        </w:rPr>
      </w:pPr>
      <w:hyperlink w:anchor="_Toc86773939" w:history="1">
        <w:r w:rsidR="00E4751F" w:rsidRPr="002F0E76">
          <w:rPr>
            <w:rStyle w:val="Hyperlink"/>
            <w:noProof/>
          </w:rPr>
          <w:t>Figure B</w:t>
        </w:r>
        <w:r w:rsidR="00E4751F" w:rsidRPr="002F0E76">
          <w:rPr>
            <w:rStyle w:val="Hyperlink"/>
            <w:noProof/>
          </w:rPr>
          <w:noBreakHyphen/>
          <w:t>5: PCA biplot of density indices.</w:t>
        </w:r>
        <w:r w:rsidR="00E4751F">
          <w:rPr>
            <w:noProof/>
            <w:webHidden/>
          </w:rPr>
          <w:tab/>
        </w:r>
        <w:r w:rsidR="00E4751F">
          <w:rPr>
            <w:noProof/>
            <w:webHidden/>
          </w:rPr>
          <w:fldChar w:fldCharType="begin"/>
        </w:r>
        <w:r w:rsidR="00E4751F">
          <w:rPr>
            <w:noProof/>
            <w:webHidden/>
          </w:rPr>
          <w:instrText xml:space="preserve"> PAGEREF _Toc86773939 \h </w:instrText>
        </w:r>
        <w:r w:rsidR="00E4751F">
          <w:rPr>
            <w:noProof/>
            <w:webHidden/>
          </w:rPr>
        </w:r>
        <w:r w:rsidR="00E4751F">
          <w:rPr>
            <w:noProof/>
            <w:webHidden/>
          </w:rPr>
          <w:fldChar w:fldCharType="separate"/>
        </w:r>
        <w:r w:rsidR="000667DB">
          <w:rPr>
            <w:noProof/>
            <w:webHidden/>
          </w:rPr>
          <w:t>311</w:t>
        </w:r>
        <w:r w:rsidR="00E4751F">
          <w:rPr>
            <w:noProof/>
            <w:webHidden/>
          </w:rPr>
          <w:fldChar w:fldCharType="end"/>
        </w:r>
      </w:hyperlink>
    </w:p>
    <w:p w14:paraId="31B6AFA1" w14:textId="04131FAE" w:rsidR="00E4751F" w:rsidRDefault="00557CA9">
      <w:pPr>
        <w:pStyle w:val="TableofFigures"/>
        <w:tabs>
          <w:tab w:val="right" w:leader="dot" w:pos="9350"/>
        </w:tabs>
        <w:rPr>
          <w:rFonts w:asciiTheme="minorHAnsi" w:eastAsiaTheme="minorEastAsia" w:hAnsiTheme="minorHAnsi" w:cstheme="minorBidi"/>
          <w:noProof/>
          <w:sz w:val="22"/>
          <w:szCs w:val="22"/>
          <w:lang w:val="en-CA" w:eastAsia="en-CA"/>
        </w:rPr>
      </w:pPr>
      <w:hyperlink w:anchor="_Toc86773940" w:history="1">
        <w:r w:rsidR="00E4751F" w:rsidRPr="002F0E76">
          <w:rPr>
            <w:rStyle w:val="Hyperlink"/>
            <w:noProof/>
          </w:rPr>
          <w:t>Figure C</w:t>
        </w:r>
        <w:r w:rsidR="00E4751F" w:rsidRPr="002F0E76">
          <w:rPr>
            <w:rStyle w:val="Hyperlink"/>
            <w:noProof/>
          </w:rPr>
          <w:noBreakHyphen/>
          <w:t>1: Heatmap of observed moss percent cover by watershed</w:t>
        </w:r>
        <w:r w:rsidR="00E4751F">
          <w:rPr>
            <w:noProof/>
            <w:webHidden/>
          </w:rPr>
          <w:tab/>
        </w:r>
        <w:r w:rsidR="00E4751F">
          <w:rPr>
            <w:noProof/>
            <w:webHidden/>
          </w:rPr>
          <w:fldChar w:fldCharType="begin"/>
        </w:r>
        <w:r w:rsidR="00E4751F">
          <w:rPr>
            <w:noProof/>
            <w:webHidden/>
          </w:rPr>
          <w:instrText xml:space="preserve"> PAGEREF _Toc86773940 \h </w:instrText>
        </w:r>
        <w:r w:rsidR="00E4751F">
          <w:rPr>
            <w:noProof/>
            <w:webHidden/>
          </w:rPr>
        </w:r>
        <w:r w:rsidR="00E4751F">
          <w:rPr>
            <w:noProof/>
            <w:webHidden/>
          </w:rPr>
          <w:fldChar w:fldCharType="separate"/>
        </w:r>
        <w:r w:rsidR="000667DB">
          <w:rPr>
            <w:noProof/>
            <w:webHidden/>
          </w:rPr>
          <w:t>319</w:t>
        </w:r>
        <w:r w:rsidR="00E4751F">
          <w:rPr>
            <w:noProof/>
            <w:webHidden/>
          </w:rPr>
          <w:fldChar w:fldCharType="end"/>
        </w:r>
      </w:hyperlink>
    </w:p>
    <w:p w14:paraId="487C8E27" w14:textId="29990CDB" w:rsidR="00E4751F" w:rsidRDefault="00557CA9">
      <w:pPr>
        <w:pStyle w:val="TableofFigures"/>
        <w:tabs>
          <w:tab w:val="right" w:leader="dot" w:pos="9350"/>
        </w:tabs>
        <w:rPr>
          <w:rFonts w:asciiTheme="minorHAnsi" w:eastAsiaTheme="minorEastAsia" w:hAnsiTheme="minorHAnsi" w:cstheme="minorBidi"/>
          <w:noProof/>
          <w:sz w:val="22"/>
          <w:szCs w:val="22"/>
          <w:lang w:val="en-CA" w:eastAsia="en-CA"/>
        </w:rPr>
      </w:pPr>
      <w:hyperlink w:anchor="_Toc86773941" w:history="1">
        <w:r w:rsidR="00E4751F" w:rsidRPr="002F0E76">
          <w:rPr>
            <w:rStyle w:val="Hyperlink"/>
            <w:noProof/>
          </w:rPr>
          <w:t>Figure C</w:t>
        </w:r>
        <w:r w:rsidR="00E4751F" w:rsidRPr="002F0E76">
          <w:rPr>
            <w:rStyle w:val="Hyperlink"/>
            <w:noProof/>
          </w:rPr>
          <w:noBreakHyphen/>
          <w:t>2: Heatmap of observed herb and fern percent cover by watershed</w:t>
        </w:r>
        <w:r w:rsidR="00E4751F">
          <w:rPr>
            <w:noProof/>
            <w:webHidden/>
          </w:rPr>
          <w:tab/>
        </w:r>
        <w:r w:rsidR="00E4751F">
          <w:rPr>
            <w:noProof/>
            <w:webHidden/>
          </w:rPr>
          <w:fldChar w:fldCharType="begin"/>
        </w:r>
        <w:r w:rsidR="00E4751F">
          <w:rPr>
            <w:noProof/>
            <w:webHidden/>
          </w:rPr>
          <w:instrText xml:space="preserve"> PAGEREF _Toc86773941 \h </w:instrText>
        </w:r>
        <w:r w:rsidR="00E4751F">
          <w:rPr>
            <w:noProof/>
            <w:webHidden/>
          </w:rPr>
        </w:r>
        <w:r w:rsidR="00E4751F">
          <w:rPr>
            <w:noProof/>
            <w:webHidden/>
          </w:rPr>
          <w:fldChar w:fldCharType="separate"/>
        </w:r>
        <w:r w:rsidR="000667DB">
          <w:rPr>
            <w:noProof/>
            <w:webHidden/>
          </w:rPr>
          <w:t>320</w:t>
        </w:r>
        <w:r w:rsidR="00E4751F">
          <w:rPr>
            <w:noProof/>
            <w:webHidden/>
          </w:rPr>
          <w:fldChar w:fldCharType="end"/>
        </w:r>
      </w:hyperlink>
    </w:p>
    <w:p w14:paraId="6D663FC3" w14:textId="5A0DC8E7" w:rsidR="00E4751F" w:rsidRDefault="00557CA9">
      <w:pPr>
        <w:pStyle w:val="TableofFigures"/>
        <w:tabs>
          <w:tab w:val="right" w:leader="dot" w:pos="9350"/>
        </w:tabs>
        <w:rPr>
          <w:rFonts w:asciiTheme="minorHAnsi" w:eastAsiaTheme="minorEastAsia" w:hAnsiTheme="minorHAnsi" w:cstheme="minorBidi"/>
          <w:noProof/>
          <w:sz w:val="22"/>
          <w:szCs w:val="22"/>
          <w:lang w:val="en-CA" w:eastAsia="en-CA"/>
        </w:rPr>
      </w:pPr>
      <w:hyperlink w:anchor="_Toc86773942" w:history="1">
        <w:r w:rsidR="00E4751F" w:rsidRPr="002F0E76">
          <w:rPr>
            <w:rStyle w:val="Hyperlink"/>
            <w:noProof/>
          </w:rPr>
          <w:t>Figure C</w:t>
        </w:r>
        <w:r w:rsidR="00E4751F" w:rsidRPr="002F0E76">
          <w:rPr>
            <w:rStyle w:val="Hyperlink"/>
            <w:noProof/>
          </w:rPr>
          <w:noBreakHyphen/>
          <w:t>3: Heatmap of observed shrub volume by watershed</w:t>
        </w:r>
        <w:r w:rsidR="00E4751F">
          <w:rPr>
            <w:noProof/>
            <w:webHidden/>
          </w:rPr>
          <w:tab/>
        </w:r>
        <w:r w:rsidR="00E4751F">
          <w:rPr>
            <w:noProof/>
            <w:webHidden/>
          </w:rPr>
          <w:fldChar w:fldCharType="begin"/>
        </w:r>
        <w:r w:rsidR="00E4751F">
          <w:rPr>
            <w:noProof/>
            <w:webHidden/>
          </w:rPr>
          <w:instrText xml:space="preserve"> PAGEREF _Toc86773942 \h </w:instrText>
        </w:r>
        <w:r w:rsidR="00E4751F">
          <w:rPr>
            <w:noProof/>
            <w:webHidden/>
          </w:rPr>
        </w:r>
        <w:r w:rsidR="00E4751F">
          <w:rPr>
            <w:noProof/>
            <w:webHidden/>
          </w:rPr>
          <w:fldChar w:fldCharType="separate"/>
        </w:r>
        <w:r w:rsidR="000667DB">
          <w:rPr>
            <w:noProof/>
            <w:webHidden/>
          </w:rPr>
          <w:t>321</w:t>
        </w:r>
        <w:r w:rsidR="00E4751F">
          <w:rPr>
            <w:noProof/>
            <w:webHidden/>
          </w:rPr>
          <w:fldChar w:fldCharType="end"/>
        </w:r>
      </w:hyperlink>
    </w:p>
    <w:p w14:paraId="06A914A1" w14:textId="21C2992F" w:rsidR="00E4751F" w:rsidRDefault="00557CA9">
      <w:pPr>
        <w:pStyle w:val="TableofFigures"/>
        <w:tabs>
          <w:tab w:val="right" w:leader="dot" w:pos="9350"/>
        </w:tabs>
        <w:rPr>
          <w:rFonts w:asciiTheme="minorHAnsi" w:eastAsiaTheme="minorEastAsia" w:hAnsiTheme="minorHAnsi" w:cstheme="minorBidi"/>
          <w:noProof/>
          <w:sz w:val="22"/>
          <w:szCs w:val="22"/>
          <w:lang w:val="en-CA" w:eastAsia="en-CA"/>
        </w:rPr>
      </w:pPr>
      <w:hyperlink w:anchor="_Toc86773943" w:history="1">
        <w:r w:rsidR="00E4751F" w:rsidRPr="002F0E76">
          <w:rPr>
            <w:rStyle w:val="Hyperlink"/>
            <w:noProof/>
          </w:rPr>
          <w:t>Figure C</w:t>
        </w:r>
        <w:r w:rsidR="00E4751F" w:rsidRPr="002F0E76">
          <w:rPr>
            <w:rStyle w:val="Hyperlink"/>
            <w:noProof/>
          </w:rPr>
          <w:noBreakHyphen/>
          <w:t>4: Heatmap of observed tree basal area by watershed</w:t>
        </w:r>
        <w:r w:rsidR="00E4751F">
          <w:rPr>
            <w:noProof/>
            <w:webHidden/>
          </w:rPr>
          <w:tab/>
        </w:r>
        <w:r w:rsidR="00E4751F">
          <w:rPr>
            <w:noProof/>
            <w:webHidden/>
          </w:rPr>
          <w:fldChar w:fldCharType="begin"/>
        </w:r>
        <w:r w:rsidR="00E4751F">
          <w:rPr>
            <w:noProof/>
            <w:webHidden/>
          </w:rPr>
          <w:instrText xml:space="preserve"> PAGEREF _Toc86773943 \h </w:instrText>
        </w:r>
        <w:r w:rsidR="00E4751F">
          <w:rPr>
            <w:noProof/>
            <w:webHidden/>
          </w:rPr>
        </w:r>
        <w:r w:rsidR="00E4751F">
          <w:rPr>
            <w:noProof/>
            <w:webHidden/>
          </w:rPr>
          <w:fldChar w:fldCharType="separate"/>
        </w:r>
        <w:r w:rsidR="000667DB">
          <w:rPr>
            <w:noProof/>
            <w:webHidden/>
          </w:rPr>
          <w:t>322</w:t>
        </w:r>
        <w:r w:rsidR="00E4751F">
          <w:rPr>
            <w:noProof/>
            <w:webHidden/>
          </w:rPr>
          <w:fldChar w:fldCharType="end"/>
        </w:r>
      </w:hyperlink>
    </w:p>
    <w:p w14:paraId="1F891079" w14:textId="357A404A" w:rsidR="00E4751F" w:rsidRDefault="00557CA9">
      <w:pPr>
        <w:pStyle w:val="TableofFigures"/>
        <w:tabs>
          <w:tab w:val="right" w:leader="dot" w:pos="9350"/>
        </w:tabs>
        <w:rPr>
          <w:rFonts w:asciiTheme="minorHAnsi" w:eastAsiaTheme="minorEastAsia" w:hAnsiTheme="minorHAnsi" w:cstheme="minorBidi"/>
          <w:noProof/>
          <w:sz w:val="22"/>
          <w:szCs w:val="22"/>
          <w:lang w:val="en-CA" w:eastAsia="en-CA"/>
        </w:rPr>
      </w:pPr>
      <w:hyperlink w:anchor="_Toc86773944" w:history="1">
        <w:r w:rsidR="00E4751F" w:rsidRPr="002F0E76">
          <w:rPr>
            <w:rStyle w:val="Hyperlink"/>
            <w:noProof/>
          </w:rPr>
          <w:t>Figure C</w:t>
        </w:r>
        <w:r w:rsidR="00E4751F" w:rsidRPr="002F0E76">
          <w:rPr>
            <w:rStyle w:val="Hyperlink"/>
            <w:noProof/>
          </w:rPr>
          <w:noBreakHyphen/>
          <w:t>5: PCA loadings for moss.</w:t>
        </w:r>
        <w:r w:rsidR="00E4751F">
          <w:rPr>
            <w:noProof/>
            <w:webHidden/>
          </w:rPr>
          <w:tab/>
        </w:r>
        <w:r w:rsidR="00E4751F">
          <w:rPr>
            <w:noProof/>
            <w:webHidden/>
          </w:rPr>
          <w:fldChar w:fldCharType="begin"/>
        </w:r>
        <w:r w:rsidR="00E4751F">
          <w:rPr>
            <w:noProof/>
            <w:webHidden/>
          </w:rPr>
          <w:instrText xml:space="preserve"> PAGEREF _Toc86773944 \h </w:instrText>
        </w:r>
        <w:r w:rsidR="00E4751F">
          <w:rPr>
            <w:noProof/>
            <w:webHidden/>
          </w:rPr>
        </w:r>
        <w:r w:rsidR="00E4751F">
          <w:rPr>
            <w:noProof/>
            <w:webHidden/>
          </w:rPr>
          <w:fldChar w:fldCharType="separate"/>
        </w:r>
        <w:r w:rsidR="000667DB">
          <w:rPr>
            <w:noProof/>
            <w:webHidden/>
          </w:rPr>
          <w:t>323</w:t>
        </w:r>
        <w:r w:rsidR="00E4751F">
          <w:rPr>
            <w:noProof/>
            <w:webHidden/>
          </w:rPr>
          <w:fldChar w:fldCharType="end"/>
        </w:r>
      </w:hyperlink>
    </w:p>
    <w:p w14:paraId="6849BD55" w14:textId="7D190D80" w:rsidR="00E4751F" w:rsidRDefault="00557CA9">
      <w:pPr>
        <w:pStyle w:val="TableofFigures"/>
        <w:tabs>
          <w:tab w:val="right" w:leader="dot" w:pos="9350"/>
        </w:tabs>
        <w:rPr>
          <w:rFonts w:asciiTheme="minorHAnsi" w:eastAsiaTheme="minorEastAsia" w:hAnsiTheme="minorHAnsi" w:cstheme="minorBidi"/>
          <w:noProof/>
          <w:sz w:val="22"/>
          <w:szCs w:val="22"/>
          <w:lang w:val="en-CA" w:eastAsia="en-CA"/>
        </w:rPr>
      </w:pPr>
      <w:hyperlink w:anchor="_Toc86773945" w:history="1">
        <w:r w:rsidR="00E4751F" w:rsidRPr="002F0E76">
          <w:rPr>
            <w:rStyle w:val="Hyperlink"/>
            <w:noProof/>
          </w:rPr>
          <w:t>Figure C</w:t>
        </w:r>
        <w:r w:rsidR="00E4751F" w:rsidRPr="002F0E76">
          <w:rPr>
            <w:rStyle w:val="Hyperlink"/>
            <w:noProof/>
          </w:rPr>
          <w:noBreakHyphen/>
          <w:t>6: PCA loadings for herbs.</w:t>
        </w:r>
        <w:r w:rsidR="00E4751F">
          <w:rPr>
            <w:noProof/>
            <w:webHidden/>
          </w:rPr>
          <w:tab/>
        </w:r>
        <w:r w:rsidR="00E4751F">
          <w:rPr>
            <w:noProof/>
            <w:webHidden/>
          </w:rPr>
          <w:fldChar w:fldCharType="begin"/>
        </w:r>
        <w:r w:rsidR="00E4751F">
          <w:rPr>
            <w:noProof/>
            <w:webHidden/>
          </w:rPr>
          <w:instrText xml:space="preserve"> PAGEREF _Toc86773945 \h </w:instrText>
        </w:r>
        <w:r w:rsidR="00E4751F">
          <w:rPr>
            <w:noProof/>
            <w:webHidden/>
          </w:rPr>
        </w:r>
        <w:r w:rsidR="00E4751F">
          <w:rPr>
            <w:noProof/>
            <w:webHidden/>
          </w:rPr>
          <w:fldChar w:fldCharType="separate"/>
        </w:r>
        <w:r w:rsidR="000667DB">
          <w:rPr>
            <w:noProof/>
            <w:webHidden/>
          </w:rPr>
          <w:t>324</w:t>
        </w:r>
        <w:r w:rsidR="00E4751F">
          <w:rPr>
            <w:noProof/>
            <w:webHidden/>
          </w:rPr>
          <w:fldChar w:fldCharType="end"/>
        </w:r>
      </w:hyperlink>
    </w:p>
    <w:p w14:paraId="6FF15BBD" w14:textId="23D19A18" w:rsidR="00E4751F" w:rsidRDefault="00557CA9">
      <w:pPr>
        <w:pStyle w:val="TableofFigures"/>
        <w:tabs>
          <w:tab w:val="right" w:leader="dot" w:pos="9350"/>
        </w:tabs>
        <w:rPr>
          <w:rFonts w:asciiTheme="minorHAnsi" w:eastAsiaTheme="minorEastAsia" w:hAnsiTheme="minorHAnsi" w:cstheme="minorBidi"/>
          <w:noProof/>
          <w:sz w:val="22"/>
          <w:szCs w:val="22"/>
          <w:lang w:val="en-CA" w:eastAsia="en-CA"/>
        </w:rPr>
      </w:pPr>
      <w:hyperlink w:anchor="_Toc86773946" w:history="1">
        <w:r w:rsidR="00E4751F" w:rsidRPr="002F0E76">
          <w:rPr>
            <w:rStyle w:val="Hyperlink"/>
            <w:noProof/>
          </w:rPr>
          <w:t>Figure C</w:t>
        </w:r>
        <w:r w:rsidR="00E4751F" w:rsidRPr="002F0E76">
          <w:rPr>
            <w:rStyle w:val="Hyperlink"/>
            <w:noProof/>
          </w:rPr>
          <w:noBreakHyphen/>
          <w:t>7: PCA loadings for the shrub influence index.</w:t>
        </w:r>
        <w:r w:rsidR="00E4751F">
          <w:rPr>
            <w:noProof/>
            <w:webHidden/>
          </w:rPr>
          <w:tab/>
        </w:r>
        <w:r w:rsidR="00E4751F">
          <w:rPr>
            <w:noProof/>
            <w:webHidden/>
          </w:rPr>
          <w:fldChar w:fldCharType="begin"/>
        </w:r>
        <w:r w:rsidR="00E4751F">
          <w:rPr>
            <w:noProof/>
            <w:webHidden/>
          </w:rPr>
          <w:instrText xml:space="preserve"> PAGEREF _Toc86773946 \h </w:instrText>
        </w:r>
        <w:r w:rsidR="00E4751F">
          <w:rPr>
            <w:noProof/>
            <w:webHidden/>
          </w:rPr>
        </w:r>
        <w:r w:rsidR="00E4751F">
          <w:rPr>
            <w:noProof/>
            <w:webHidden/>
          </w:rPr>
          <w:fldChar w:fldCharType="separate"/>
        </w:r>
        <w:r w:rsidR="000667DB">
          <w:rPr>
            <w:noProof/>
            <w:webHidden/>
          </w:rPr>
          <w:t>325</w:t>
        </w:r>
        <w:r w:rsidR="00E4751F">
          <w:rPr>
            <w:noProof/>
            <w:webHidden/>
          </w:rPr>
          <w:fldChar w:fldCharType="end"/>
        </w:r>
      </w:hyperlink>
    </w:p>
    <w:p w14:paraId="19595727" w14:textId="1FBCB3A4" w:rsidR="00E4751F" w:rsidRDefault="00557CA9">
      <w:pPr>
        <w:pStyle w:val="TableofFigures"/>
        <w:tabs>
          <w:tab w:val="right" w:leader="dot" w:pos="9350"/>
        </w:tabs>
        <w:rPr>
          <w:rFonts w:asciiTheme="minorHAnsi" w:eastAsiaTheme="minorEastAsia" w:hAnsiTheme="minorHAnsi" w:cstheme="minorBidi"/>
          <w:noProof/>
          <w:sz w:val="22"/>
          <w:szCs w:val="22"/>
          <w:lang w:val="en-CA" w:eastAsia="en-CA"/>
        </w:rPr>
      </w:pPr>
      <w:hyperlink w:anchor="_Toc86773947" w:history="1">
        <w:r w:rsidR="00E4751F" w:rsidRPr="002F0E76">
          <w:rPr>
            <w:rStyle w:val="Hyperlink"/>
            <w:noProof/>
          </w:rPr>
          <w:t>Figure C</w:t>
        </w:r>
        <w:r w:rsidR="00E4751F" w:rsidRPr="002F0E76">
          <w:rPr>
            <w:rStyle w:val="Hyperlink"/>
            <w:noProof/>
          </w:rPr>
          <w:noBreakHyphen/>
          <w:t>8: PCA loadings for tree influence index.</w:t>
        </w:r>
        <w:r w:rsidR="00E4751F">
          <w:rPr>
            <w:noProof/>
            <w:webHidden/>
          </w:rPr>
          <w:tab/>
        </w:r>
        <w:r w:rsidR="00E4751F">
          <w:rPr>
            <w:noProof/>
            <w:webHidden/>
          </w:rPr>
          <w:fldChar w:fldCharType="begin"/>
        </w:r>
        <w:r w:rsidR="00E4751F">
          <w:rPr>
            <w:noProof/>
            <w:webHidden/>
          </w:rPr>
          <w:instrText xml:space="preserve"> PAGEREF _Toc86773947 \h </w:instrText>
        </w:r>
        <w:r w:rsidR="00E4751F">
          <w:rPr>
            <w:noProof/>
            <w:webHidden/>
          </w:rPr>
        </w:r>
        <w:r w:rsidR="00E4751F">
          <w:rPr>
            <w:noProof/>
            <w:webHidden/>
          </w:rPr>
          <w:fldChar w:fldCharType="separate"/>
        </w:r>
        <w:r w:rsidR="000667DB">
          <w:rPr>
            <w:noProof/>
            <w:webHidden/>
          </w:rPr>
          <w:t>326</w:t>
        </w:r>
        <w:r w:rsidR="00E4751F">
          <w:rPr>
            <w:noProof/>
            <w:webHidden/>
          </w:rPr>
          <w:fldChar w:fldCharType="end"/>
        </w:r>
      </w:hyperlink>
    </w:p>
    <w:p w14:paraId="13711F74" w14:textId="4961D606" w:rsidR="00E4751F" w:rsidRDefault="00557CA9">
      <w:pPr>
        <w:pStyle w:val="TableofFigures"/>
        <w:tabs>
          <w:tab w:val="right" w:leader="dot" w:pos="9350"/>
        </w:tabs>
        <w:rPr>
          <w:rFonts w:asciiTheme="minorHAnsi" w:eastAsiaTheme="minorEastAsia" w:hAnsiTheme="minorHAnsi" w:cstheme="minorBidi"/>
          <w:noProof/>
          <w:sz w:val="22"/>
          <w:szCs w:val="22"/>
          <w:lang w:val="en-CA" w:eastAsia="en-CA"/>
        </w:rPr>
      </w:pPr>
      <w:hyperlink w:anchor="_Toc86773948" w:history="1">
        <w:r w:rsidR="00E4751F" w:rsidRPr="002F0E76">
          <w:rPr>
            <w:rStyle w:val="Hyperlink"/>
            <w:noProof/>
          </w:rPr>
          <w:t>Figure C</w:t>
        </w:r>
        <w:r w:rsidR="00E4751F" w:rsidRPr="002F0E76">
          <w:rPr>
            <w:rStyle w:val="Hyperlink"/>
            <w:noProof/>
          </w:rPr>
          <w:noBreakHyphen/>
          <w:t>9: PCA loadings for moss, fall 2017.</w:t>
        </w:r>
        <w:r w:rsidR="00E4751F">
          <w:rPr>
            <w:noProof/>
            <w:webHidden/>
          </w:rPr>
          <w:tab/>
        </w:r>
        <w:r w:rsidR="00E4751F">
          <w:rPr>
            <w:noProof/>
            <w:webHidden/>
          </w:rPr>
          <w:fldChar w:fldCharType="begin"/>
        </w:r>
        <w:r w:rsidR="00E4751F">
          <w:rPr>
            <w:noProof/>
            <w:webHidden/>
          </w:rPr>
          <w:instrText xml:space="preserve"> PAGEREF _Toc86773948 \h </w:instrText>
        </w:r>
        <w:r w:rsidR="00E4751F">
          <w:rPr>
            <w:noProof/>
            <w:webHidden/>
          </w:rPr>
        </w:r>
        <w:r w:rsidR="00E4751F">
          <w:rPr>
            <w:noProof/>
            <w:webHidden/>
          </w:rPr>
          <w:fldChar w:fldCharType="separate"/>
        </w:r>
        <w:r w:rsidR="000667DB">
          <w:rPr>
            <w:noProof/>
            <w:webHidden/>
          </w:rPr>
          <w:t>329</w:t>
        </w:r>
        <w:r w:rsidR="00E4751F">
          <w:rPr>
            <w:noProof/>
            <w:webHidden/>
          </w:rPr>
          <w:fldChar w:fldCharType="end"/>
        </w:r>
      </w:hyperlink>
    </w:p>
    <w:p w14:paraId="75D06607" w14:textId="7CC5B2B3" w:rsidR="00E4751F" w:rsidRDefault="00557CA9">
      <w:pPr>
        <w:pStyle w:val="TableofFigures"/>
        <w:tabs>
          <w:tab w:val="right" w:leader="dot" w:pos="9350"/>
        </w:tabs>
        <w:rPr>
          <w:rFonts w:asciiTheme="minorHAnsi" w:eastAsiaTheme="minorEastAsia" w:hAnsiTheme="minorHAnsi" w:cstheme="minorBidi"/>
          <w:noProof/>
          <w:sz w:val="22"/>
          <w:szCs w:val="22"/>
          <w:lang w:val="en-CA" w:eastAsia="en-CA"/>
        </w:rPr>
      </w:pPr>
      <w:hyperlink w:anchor="_Toc86773949" w:history="1">
        <w:r w:rsidR="00E4751F" w:rsidRPr="002F0E76">
          <w:rPr>
            <w:rStyle w:val="Hyperlink"/>
            <w:noProof/>
          </w:rPr>
          <w:t>Figure C</w:t>
        </w:r>
        <w:r w:rsidR="00E4751F" w:rsidRPr="002F0E76">
          <w:rPr>
            <w:rStyle w:val="Hyperlink"/>
            <w:noProof/>
          </w:rPr>
          <w:noBreakHyphen/>
          <w:t>10: PCA loadings for herbs, fall 2017.</w:t>
        </w:r>
        <w:r w:rsidR="00E4751F">
          <w:rPr>
            <w:noProof/>
            <w:webHidden/>
          </w:rPr>
          <w:tab/>
        </w:r>
        <w:r w:rsidR="00E4751F">
          <w:rPr>
            <w:noProof/>
            <w:webHidden/>
          </w:rPr>
          <w:fldChar w:fldCharType="begin"/>
        </w:r>
        <w:r w:rsidR="00E4751F">
          <w:rPr>
            <w:noProof/>
            <w:webHidden/>
          </w:rPr>
          <w:instrText xml:space="preserve"> PAGEREF _Toc86773949 \h </w:instrText>
        </w:r>
        <w:r w:rsidR="00E4751F">
          <w:rPr>
            <w:noProof/>
            <w:webHidden/>
          </w:rPr>
        </w:r>
        <w:r w:rsidR="00E4751F">
          <w:rPr>
            <w:noProof/>
            <w:webHidden/>
          </w:rPr>
          <w:fldChar w:fldCharType="separate"/>
        </w:r>
        <w:r w:rsidR="000667DB">
          <w:rPr>
            <w:noProof/>
            <w:webHidden/>
          </w:rPr>
          <w:t>330</w:t>
        </w:r>
        <w:r w:rsidR="00E4751F">
          <w:rPr>
            <w:noProof/>
            <w:webHidden/>
          </w:rPr>
          <w:fldChar w:fldCharType="end"/>
        </w:r>
      </w:hyperlink>
    </w:p>
    <w:p w14:paraId="56E6FFEB" w14:textId="1B96315A" w:rsidR="00E4751F" w:rsidRDefault="00557CA9">
      <w:pPr>
        <w:pStyle w:val="TableofFigures"/>
        <w:tabs>
          <w:tab w:val="right" w:leader="dot" w:pos="9350"/>
        </w:tabs>
        <w:rPr>
          <w:rFonts w:asciiTheme="minorHAnsi" w:eastAsiaTheme="minorEastAsia" w:hAnsiTheme="minorHAnsi" w:cstheme="minorBidi"/>
          <w:noProof/>
          <w:sz w:val="22"/>
          <w:szCs w:val="22"/>
          <w:lang w:val="en-CA" w:eastAsia="en-CA"/>
        </w:rPr>
      </w:pPr>
      <w:hyperlink w:anchor="_Toc86773950" w:history="1">
        <w:r w:rsidR="00E4751F" w:rsidRPr="002F0E76">
          <w:rPr>
            <w:rStyle w:val="Hyperlink"/>
            <w:noProof/>
          </w:rPr>
          <w:t>Figure C</w:t>
        </w:r>
        <w:r w:rsidR="00E4751F" w:rsidRPr="002F0E76">
          <w:rPr>
            <w:rStyle w:val="Hyperlink"/>
            <w:noProof/>
          </w:rPr>
          <w:noBreakHyphen/>
          <w:t>11: PCA loadings for shrubs, fall 2017.</w:t>
        </w:r>
        <w:r w:rsidR="00E4751F">
          <w:rPr>
            <w:noProof/>
            <w:webHidden/>
          </w:rPr>
          <w:tab/>
        </w:r>
        <w:r w:rsidR="00E4751F">
          <w:rPr>
            <w:noProof/>
            <w:webHidden/>
          </w:rPr>
          <w:fldChar w:fldCharType="begin"/>
        </w:r>
        <w:r w:rsidR="00E4751F">
          <w:rPr>
            <w:noProof/>
            <w:webHidden/>
          </w:rPr>
          <w:instrText xml:space="preserve"> PAGEREF _Toc86773950 \h </w:instrText>
        </w:r>
        <w:r w:rsidR="00E4751F">
          <w:rPr>
            <w:noProof/>
            <w:webHidden/>
          </w:rPr>
        </w:r>
        <w:r w:rsidR="00E4751F">
          <w:rPr>
            <w:noProof/>
            <w:webHidden/>
          </w:rPr>
          <w:fldChar w:fldCharType="separate"/>
        </w:r>
        <w:r w:rsidR="000667DB">
          <w:rPr>
            <w:noProof/>
            <w:webHidden/>
          </w:rPr>
          <w:t>331</w:t>
        </w:r>
        <w:r w:rsidR="00E4751F">
          <w:rPr>
            <w:noProof/>
            <w:webHidden/>
          </w:rPr>
          <w:fldChar w:fldCharType="end"/>
        </w:r>
      </w:hyperlink>
    </w:p>
    <w:p w14:paraId="76F4D16E" w14:textId="7442CAF3" w:rsidR="00E4751F" w:rsidRDefault="00557CA9">
      <w:pPr>
        <w:pStyle w:val="TableofFigures"/>
        <w:tabs>
          <w:tab w:val="right" w:leader="dot" w:pos="9350"/>
        </w:tabs>
        <w:rPr>
          <w:rFonts w:asciiTheme="minorHAnsi" w:eastAsiaTheme="minorEastAsia" w:hAnsiTheme="minorHAnsi" w:cstheme="minorBidi"/>
          <w:noProof/>
          <w:sz w:val="22"/>
          <w:szCs w:val="22"/>
          <w:lang w:val="en-CA" w:eastAsia="en-CA"/>
        </w:rPr>
      </w:pPr>
      <w:hyperlink w:anchor="_Toc86773951" w:history="1">
        <w:r w:rsidR="00E4751F" w:rsidRPr="002F0E76">
          <w:rPr>
            <w:rStyle w:val="Hyperlink"/>
            <w:noProof/>
          </w:rPr>
          <w:t>Figure C</w:t>
        </w:r>
        <w:r w:rsidR="00E4751F" w:rsidRPr="002F0E76">
          <w:rPr>
            <w:rStyle w:val="Hyperlink"/>
            <w:noProof/>
          </w:rPr>
          <w:noBreakHyphen/>
          <w:t>12: PCA loadings for trees, fall 2017.</w:t>
        </w:r>
        <w:r w:rsidR="00E4751F">
          <w:rPr>
            <w:noProof/>
            <w:webHidden/>
          </w:rPr>
          <w:tab/>
        </w:r>
        <w:r w:rsidR="00E4751F">
          <w:rPr>
            <w:noProof/>
            <w:webHidden/>
          </w:rPr>
          <w:fldChar w:fldCharType="begin"/>
        </w:r>
        <w:r w:rsidR="00E4751F">
          <w:rPr>
            <w:noProof/>
            <w:webHidden/>
          </w:rPr>
          <w:instrText xml:space="preserve"> PAGEREF _Toc86773951 \h </w:instrText>
        </w:r>
        <w:r w:rsidR="00E4751F">
          <w:rPr>
            <w:noProof/>
            <w:webHidden/>
          </w:rPr>
        </w:r>
        <w:r w:rsidR="00E4751F">
          <w:rPr>
            <w:noProof/>
            <w:webHidden/>
          </w:rPr>
          <w:fldChar w:fldCharType="separate"/>
        </w:r>
        <w:r w:rsidR="000667DB">
          <w:rPr>
            <w:noProof/>
            <w:webHidden/>
          </w:rPr>
          <w:t>332</w:t>
        </w:r>
        <w:r w:rsidR="00E4751F">
          <w:rPr>
            <w:noProof/>
            <w:webHidden/>
          </w:rPr>
          <w:fldChar w:fldCharType="end"/>
        </w:r>
      </w:hyperlink>
    </w:p>
    <w:p w14:paraId="18C4F909" w14:textId="29135ADB" w:rsidR="00F279B5" w:rsidRPr="009867C1" w:rsidRDefault="00F279B5" w:rsidP="00F279B5">
      <w:r w:rsidRPr="009867C1">
        <w:fldChar w:fldCharType="end"/>
      </w:r>
    </w:p>
    <w:p w14:paraId="3AA658B9" w14:textId="29635B08" w:rsidR="00E9753B" w:rsidRPr="009867C1" w:rsidRDefault="00E9753B" w:rsidP="00014D18">
      <w:pPr>
        <w:pStyle w:val="Heading1"/>
      </w:pPr>
      <w:bookmarkStart w:id="15" w:name="_Toc153357231"/>
      <w:bookmarkStart w:id="16" w:name="_Toc157169039"/>
      <w:bookmarkStart w:id="17" w:name="_Toc99385399"/>
      <w:r w:rsidRPr="009867C1">
        <w:t>List of Symbols</w:t>
      </w:r>
      <w:bookmarkEnd w:id="15"/>
      <w:bookmarkEnd w:id="16"/>
      <w:r w:rsidR="00A87DDD" w:rsidRPr="009867C1">
        <w:t xml:space="preserve"> and Abbreviations</w:t>
      </w:r>
      <w:bookmarkEnd w:id="17"/>
    </w:p>
    <w:p w14:paraId="4DD5AE08" w14:textId="77777777" w:rsidR="00B07DC5" w:rsidRPr="009867C1" w:rsidRDefault="00B07DC5" w:rsidP="00014D18">
      <w:r w:rsidRPr="009867C1">
        <w:t xml:space="preserve">δ – delta, used to denote the difference between measured sample isotopic concentrations and that of standardized reference materials. Positive values indicate enrichment, negative values depletion. </w:t>
      </w:r>
    </w:p>
    <w:p w14:paraId="1AA67998" w14:textId="5F1A2105" w:rsidR="00E9753B" w:rsidRPr="009867C1" w:rsidRDefault="00B07DC5" w:rsidP="00014D18">
      <w:r w:rsidRPr="009867C1">
        <w:t xml:space="preserve">‰ – per mil. Amount per thousand.  </w:t>
      </w:r>
    </w:p>
    <w:p w14:paraId="39248421" w14:textId="77777777" w:rsidR="005D74F6" w:rsidRPr="009867C1" w:rsidRDefault="005D74F6" w:rsidP="005D74F6">
      <w:r w:rsidRPr="009867C1">
        <w:t>ITS – Internal Transcribed Spacer</w:t>
      </w:r>
    </w:p>
    <w:p w14:paraId="0871A053" w14:textId="72D65145" w:rsidR="00A87DDD" w:rsidRPr="009867C1" w:rsidRDefault="00A87DDD" w:rsidP="00014D18">
      <w:r w:rsidRPr="009867C1">
        <w:t>MDN – Marine derived nutrients.</w:t>
      </w:r>
    </w:p>
    <w:p w14:paraId="04E0F99A" w14:textId="77777777" w:rsidR="005D74F6" w:rsidRPr="009867C1" w:rsidRDefault="005D74F6" w:rsidP="005D74F6">
      <w:r w:rsidRPr="009867C1">
        <w:t>MN – Mycorrhizal network</w:t>
      </w:r>
    </w:p>
    <w:p w14:paraId="40045789" w14:textId="77777777" w:rsidR="005D74F6" w:rsidRPr="009867C1" w:rsidRDefault="005D74F6" w:rsidP="005D74F6">
      <w:r w:rsidRPr="009867C1">
        <w:t>NGS – Next Generation Sequencing</w:t>
      </w:r>
    </w:p>
    <w:p w14:paraId="422F615D" w14:textId="4DCCC907" w:rsidR="00A87DDD" w:rsidRPr="009867C1" w:rsidRDefault="00A87DDD" w:rsidP="00014D18">
      <w:r w:rsidRPr="009867C1">
        <w:t>SDN – salmon derived nutrients.</w:t>
      </w:r>
    </w:p>
    <w:p w14:paraId="010E3DD5" w14:textId="419A8710" w:rsidR="00A87DDD" w:rsidRPr="009867C1" w:rsidRDefault="00A87DDD" w:rsidP="00014D18">
      <w:r w:rsidRPr="009867C1">
        <w:t>SSU – Small Subunit (rRNA)</w:t>
      </w:r>
    </w:p>
    <w:p w14:paraId="3E7550BB" w14:textId="36C12187" w:rsidR="00E9753B" w:rsidRPr="009867C1" w:rsidRDefault="00E9753B" w:rsidP="008832BF">
      <w:pPr>
        <w:pStyle w:val="Heading1"/>
      </w:pPr>
      <w:bookmarkStart w:id="18" w:name="_Toc153357233"/>
      <w:bookmarkStart w:id="19" w:name="_Toc157169041"/>
      <w:bookmarkStart w:id="20" w:name="_Toc99385400"/>
      <w:r w:rsidRPr="009867C1">
        <w:t>Acknowledgements</w:t>
      </w:r>
      <w:bookmarkEnd w:id="18"/>
      <w:bookmarkEnd w:id="19"/>
      <w:bookmarkEnd w:id="20"/>
    </w:p>
    <w:p w14:paraId="2A30049F" w14:textId="6B730A53" w:rsidR="00435FF6" w:rsidRPr="009867C1" w:rsidRDefault="00435FF6" w:rsidP="00046E01">
      <w:pPr>
        <w:ind w:firstLine="720"/>
      </w:pPr>
      <w:r w:rsidRPr="009867C1">
        <w:t>This work involved the labour, care, and help of more</w:t>
      </w:r>
      <w:r w:rsidR="006656BF">
        <w:t xml:space="preserve"> people</w:t>
      </w:r>
      <w:r w:rsidRPr="009867C1">
        <w:t xml:space="preserve"> than I can name. </w:t>
      </w:r>
    </w:p>
    <w:p w14:paraId="35A6E5BC" w14:textId="5FEDB52C" w:rsidR="00F67DD8" w:rsidRPr="009867C1" w:rsidRDefault="00F67DD8" w:rsidP="00046E01">
      <w:pPr>
        <w:ind w:firstLine="720"/>
      </w:pPr>
      <w:r w:rsidRPr="009867C1">
        <w:t xml:space="preserve">Thanks to the Heiltsuk </w:t>
      </w:r>
      <w:r w:rsidR="00E87CC6" w:rsidRPr="009867C1">
        <w:t xml:space="preserve">First </w:t>
      </w:r>
      <w:r w:rsidRPr="009867C1">
        <w:t>Nation and the Heiltsuk Integrated Research Management Department for allowing me to conduct this research in their unceded, traditional, ancestral</w:t>
      </w:r>
      <w:r w:rsidR="00F76C8F" w:rsidRPr="009867C1">
        <w:t>, and current</w:t>
      </w:r>
      <w:r w:rsidRPr="009867C1">
        <w:t xml:space="preserve"> territory</w:t>
      </w:r>
      <w:r w:rsidR="00A87DDD" w:rsidRPr="009867C1">
        <w:t>, as well as to live in your community while doing so</w:t>
      </w:r>
      <w:r w:rsidRPr="009867C1">
        <w:t xml:space="preserve">. </w:t>
      </w:r>
      <w:r w:rsidR="00E87CC6" w:rsidRPr="009867C1">
        <w:t>I was honoured to work with you on your lands.</w:t>
      </w:r>
    </w:p>
    <w:p w14:paraId="7C029F4B" w14:textId="7A137F91" w:rsidR="00F74C25" w:rsidRPr="009867C1" w:rsidRDefault="00F67DD8" w:rsidP="00046E01">
      <w:pPr>
        <w:ind w:firstLine="720"/>
      </w:pPr>
      <w:r w:rsidRPr="009867C1">
        <w:t xml:space="preserve">Specific thanks to Kelly Brown for his trust and his stories; Darryl Easterbrook for being a fantastic captain; Carrie Easterbrook for community introductions; </w:t>
      </w:r>
      <w:r w:rsidR="002C4357" w:rsidRPr="009867C1">
        <w:t>Tamara and Chris Powell for being gracious hosts; Howard Humchitt for introducing me to the land and for keeping a watchful eye on our little expeditions;</w:t>
      </w:r>
      <w:r w:rsidR="00E87CC6" w:rsidRPr="009867C1">
        <w:t xml:space="preserve"> and</w:t>
      </w:r>
      <w:r w:rsidR="002C4357" w:rsidRPr="009867C1">
        <w:t xml:space="preserve"> Wal</w:t>
      </w:r>
      <w:r w:rsidR="00E87CC6" w:rsidRPr="009867C1">
        <w:t>ter</w:t>
      </w:r>
      <w:r w:rsidR="002C4357" w:rsidRPr="009867C1">
        <w:t xml:space="preserve"> Campbell for both riding and carrying shotgun. </w:t>
      </w:r>
    </w:p>
    <w:p w14:paraId="0BA5FDE8" w14:textId="036A1BA5" w:rsidR="00F67DD8" w:rsidRPr="009867C1" w:rsidRDefault="00F76C8F" w:rsidP="00046E01">
      <w:pPr>
        <w:ind w:firstLine="720"/>
      </w:pPr>
      <w:r w:rsidRPr="009867C1">
        <w:t>Thanks</w:t>
      </w:r>
      <w:r w:rsidR="002C4357" w:rsidRPr="009867C1">
        <w:t xml:space="preserve"> to Allison Dennert, without whom this work would have been not only prohibitively expensive but also much less fun. Working with you these last years has been</w:t>
      </w:r>
      <w:r w:rsidRPr="009867C1">
        <w:t xml:space="preserve"> the best field seasons of my life</w:t>
      </w:r>
      <w:r w:rsidR="002C4357" w:rsidRPr="009867C1">
        <w:t xml:space="preserve">.  </w:t>
      </w:r>
    </w:p>
    <w:p w14:paraId="78F59DC0" w14:textId="5E585462" w:rsidR="002C4357" w:rsidRPr="009867C1" w:rsidRDefault="002C4357" w:rsidP="00046E01">
      <w:pPr>
        <w:ind w:firstLine="720"/>
      </w:pPr>
      <w:r w:rsidRPr="009867C1">
        <w:t xml:space="preserve">Thanks to all my direct and indirect field assistants: </w:t>
      </w:r>
      <w:r w:rsidR="00F76C8F" w:rsidRPr="009867C1">
        <w:t xml:space="preserve">Suzanne Simard, </w:t>
      </w:r>
      <w:r w:rsidRPr="009867C1">
        <w:t xml:space="preserve">Bill Heath, Robyn </w:t>
      </w:r>
      <w:r w:rsidR="00D24F9A" w:rsidRPr="009867C1">
        <w:t>Simard</w:t>
      </w:r>
      <w:r w:rsidRPr="009867C1">
        <w:t>, Gabriel</w:t>
      </w:r>
      <w:r w:rsidR="00B90EB9" w:rsidRPr="009867C1">
        <w:t xml:space="preserve"> Orrego, Huamani Orrego, Lindsi Kruczko-Orrego</w:t>
      </w:r>
      <w:r w:rsidRPr="009867C1">
        <w:t xml:space="preserve">, Ernest Wu, Leah </w:t>
      </w:r>
      <w:r w:rsidR="00435FF6" w:rsidRPr="009867C1">
        <w:t>Walker, Jessica Walsh,</w:t>
      </w:r>
      <w:r w:rsidRPr="009867C1">
        <w:t xml:space="preserve"> Nicola Rammel,</w:t>
      </w:r>
      <w:r w:rsidR="00B90EB9" w:rsidRPr="009867C1">
        <w:t xml:space="preserve"> and</w:t>
      </w:r>
      <w:r w:rsidRPr="009867C1">
        <w:t xml:space="preserve"> Lindsey Ogston.</w:t>
      </w:r>
      <w:r w:rsidR="00B90EB9" w:rsidRPr="009867C1">
        <w:t xml:space="preserve"> Thanks to Zac de Moor </w:t>
      </w:r>
      <w:r w:rsidR="00F76C8F" w:rsidRPr="009867C1">
        <w:t xml:space="preserve">and Joey Timmermans </w:t>
      </w:r>
      <w:r w:rsidR="00B90EB9" w:rsidRPr="009867C1">
        <w:t>for laboratory assistance.</w:t>
      </w:r>
      <w:r w:rsidRPr="009867C1">
        <w:t xml:space="preserve"> I could not do this work alone, and without all of you</w:t>
      </w:r>
      <w:r w:rsidR="00F76C8F" w:rsidRPr="009867C1">
        <w:t xml:space="preserve"> and your</w:t>
      </w:r>
      <w:r w:rsidRPr="009867C1">
        <w:t xml:space="preserve"> hard work it would have been impossible.</w:t>
      </w:r>
    </w:p>
    <w:p w14:paraId="1ED8A752" w14:textId="49C8CC4A" w:rsidR="00F74C25" w:rsidRPr="009867C1" w:rsidRDefault="00F74C25" w:rsidP="00046E01">
      <w:pPr>
        <w:ind w:firstLine="720"/>
      </w:pPr>
      <w:r w:rsidRPr="009867C1">
        <w:t>Thanks to</w:t>
      </w:r>
      <w:r w:rsidR="00B90EB9" w:rsidRPr="009867C1">
        <w:t xml:space="preserve"> Dr. Alice Chang, Dr. Mina Momayyezi</w:t>
      </w:r>
      <w:r w:rsidRPr="009867C1">
        <w:t xml:space="preserve"> </w:t>
      </w:r>
      <w:r w:rsidR="00B90EB9" w:rsidRPr="009867C1">
        <w:t xml:space="preserve">and especially </w:t>
      </w:r>
      <w:r w:rsidRPr="009867C1">
        <w:t xml:space="preserve">Dr. Shannon Guichon for help designing, executing, troubleshooting and interpreting my </w:t>
      </w:r>
      <w:r w:rsidR="00B90EB9" w:rsidRPr="009867C1">
        <w:t>isotop</w:t>
      </w:r>
      <w:r w:rsidR="00046E01">
        <w:t>ic</w:t>
      </w:r>
      <w:r w:rsidRPr="009867C1">
        <w:t xml:space="preserve"> data. </w:t>
      </w:r>
      <w:r w:rsidR="00B90EB9" w:rsidRPr="009867C1">
        <w:t>Thanks to Dr. Shannon Guichon for help doing the same with my molecular results</w:t>
      </w:r>
      <w:r w:rsidR="00376D8B" w:rsidRPr="009867C1">
        <w:t xml:space="preserve">, teaching me bioinformatics, and </w:t>
      </w:r>
      <w:r w:rsidR="00A87DDD" w:rsidRPr="009867C1">
        <w:t>for</w:t>
      </w:r>
      <w:r w:rsidR="00376D8B" w:rsidRPr="009867C1">
        <w:t xml:space="preserve"> being an incredible laboratory manager</w:t>
      </w:r>
      <w:r w:rsidR="00B90EB9" w:rsidRPr="009867C1">
        <w:t>.</w:t>
      </w:r>
    </w:p>
    <w:p w14:paraId="7897A7E4" w14:textId="04145C02" w:rsidR="00F74C25" w:rsidRPr="009867C1" w:rsidRDefault="00F74C25" w:rsidP="00046E01">
      <w:pPr>
        <w:ind w:firstLine="720"/>
      </w:pPr>
      <w:r w:rsidRPr="009867C1">
        <w:t>Special thanks to my committee members: Dr. Rob Guy, Dr. William Mohn, Dr. T</w:t>
      </w:r>
      <w:r w:rsidR="00F76C8F" w:rsidRPr="009867C1">
        <w:t>h</w:t>
      </w:r>
      <w:r w:rsidRPr="009867C1">
        <w:t>om</w:t>
      </w:r>
      <w:r w:rsidR="00F76C8F" w:rsidRPr="009867C1">
        <w:t>as</w:t>
      </w:r>
      <w:r w:rsidRPr="009867C1">
        <w:t xml:space="preserve"> Reimchen and Dr. John Reynolds. You all contributed in your own ways to the success of this </w:t>
      </w:r>
      <w:r w:rsidR="00D24F9A" w:rsidRPr="009867C1">
        <w:t>dissertation</w:t>
      </w:r>
      <w:r w:rsidRPr="009867C1">
        <w:t>.</w:t>
      </w:r>
    </w:p>
    <w:p w14:paraId="6D10C206" w14:textId="1756D279" w:rsidR="00F74C25" w:rsidRPr="009867C1" w:rsidRDefault="00376D8B" w:rsidP="00046E01">
      <w:pPr>
        <w:ind w:firstLine="720"/>
      </w:pPr>
      <w:r w:rsidRPr="009867C1">
        <w:t>Dr. John</w:t>
      </w:r>
      <w:r w:rsidR="00F74C25" w:rsidRPr="009867C1">
        <w:t xml:space="preserve"> Reynold</w:t>
      </w:r>
      <w:r w:rsidRPr="009867C1">
        <w:t>s in particular worked with me at many stages of this project and whose questions, collaborations, and thoughts have always been motivating and meaningful. Thanks</w:t>
      </w:r>
      <w:r w:rsidR="00A87DDD" w:rsidRPr="009867C1">
        <w:t xml:space="preserve"> also</w:t>
      </w:r>
      <w:r w:rsidRPr="009867C1">
        <w:t xml:space="preserve"> to the myriad folks in the Reynolds </w:t>
      </w:r>
      <w:r w:rsidR="006656BF">
        <w:t>Research Group</w:t>
      </w:r>
      <w:r w:rsidRPr="009867C1">
        <w:t xml:space="preserve"> - w</w:t>
      </w:r>
      <w:r w:rsidR="00F74C25" w:rsidRPr="009867C1">
        <w:t xml:space="preserve">ithout the Keta and the Cannery this work would have been </w:t>
      </w:r>
      <w:r w:rsidRPr="009867C1">
        <w:t xml:space="preserve">a </w:t>
      </w:r>
      <w:r w:rsidR="00F74C25" w:rsidRPr="009867C1">
        <w:t>very different</w:t>
      </w:r>
      <w:r w:rsidRPr="009867C1">
        <w:t xml:space="preserve"> project</w:t>
      </w:r>
      <w:r w:rsidR="00F74C25" w:rsidRPr="009867C1">
        <w:t>.</w:t>
      </w:r>
    </w:p>
    <w:p w14:paraId="36F0451C" w14:textId="396B4879" w:rsidR="00F67DD8" w:rsidRPr="009867C1" w:rsidRDefault="00F67DD8" w:rsidP="00046E01">
      <w:pPr>
        <w:ind w:firstLine="720"/>
      </w:pPr>
      <w:r w:rsidRPr="009867C1">
        <w:t xml:space="preserve">Deep thanks to my various granting agencies, NGO groups and scholarships that made this work possible. Thanks to Brinkman Associates Inc. for funding this research for the first three years. Your interest, flexibility, and faith </w:t>
      </w:r>
      <w:r w:rsidR="00390945">
        <w:t>are</w:t>
      </w:r>
      <w:r w:rsidRPr="009867C1">
        <w:t xml:space="preserve"> what made this thesis possible. Deep thanks also to the Donner</w:t>
      </w:r>
      <w:r w:rsidR="00D24F9A" w:rsidRPr="009867C1">
        <w:t xml:space="preserve"> Canadian</w:t>
      </w:r>
      <w:r w:rsidRPr="009867C1">
        <w:t xml:space="preserve"> Foundation, without whom the final </w:t>
      </w:r>
      <w:r w:rsidR="00B90EB9" w:rsidRPr="009867C1">
        <w:t xml:space="preserve">two </w:t>
      </w:r>
      <w:r w:rsidRPr="009867C1">
        <w:t>year</w:t>
      </w:r>
      <w:r w:rsidR="00B90EB9" w:rsidRPr="009867C1">
        <w:t>s</w:t>
      </w:r>
      <w:r w:rsidRPr="009867C1">
        <w:t xml:space="preserve"> of research would have been impossible. It is through your generous support that experiments have been conducted, movies filmed, and papers written.</w:t>
      </w:r>
    </w:p>
    <w:p w14:paraId="76BAE37C" w14:textId="1953286B" w:rsidR="00F74C25" w:rsidRPr="009867C1" w:rsidRDefault="00F74C25" w:rsidP="00046E01">
      <w:pPr>
        <w:ind w:firstLine="720"/>
      </w:pPr>
      <w:r w:rsidRPr="009867C1">
        <w:t xml:space="preserve">Thanks to my lab mates: Julia Amerongen-Maddison, for deep talks and sympathetic ears; Matt Zustovic, for blazing trail; Dr. Monika Gorzelak, who’s example has always been an inspiration; Dr. Brian Pickles, who’s </w:t>
      </w:r>
      <w:r w:rsidR="00376D8B" w:rsidRPr="009867C1">
        <w:t xml:space="preserve">curiosity, passion and </w:t>
      </w:r>
      <w:r w:rsidRPr="009867C1">
        <w:t>example is exceeded only by his wife; Amanda Asay</w:t>
      </w:r>
      <w:r w:rsidR="00376D8B" w:rsidRPr="009867C1">
        <w:t>,</w:t>
      </w:r>
      <w:r w:rsidRPr="009867C1">
        <w:t xml:space="preserve"> Camille DeFrenn</w:t>
      </w:r>
      <w:r w:rsidR="00B90EB9" w:rsidRPr="009867C1">
        <w:t>e</w:t>
      </w:r>
      <w:r w:rsidR="00376D8B" w:rsidRPr="009867C1">
        <w:t xml:space="preserve">, Katie McMahon, Eva Snyder and Laura Super, </w:t>
      </w:r>
      <w:r w:rsidR="00B90EB9" w:rsidRPr="009867C1">
        <w:t>for being my sisters in arms</w:t>
      </w:r>
      <w:r w:rsidRPr="009867C1">
        <w:t>.</w:t>
      </w:r>
      <w:r w:rsidR="00376D8B" w:rsidRPr="009867C1">
        <w:t xml:space="preserve"> Thanks to Deon Louw for </w:t>
      </w:r>
      <w:r w:rsidR="00AB79BC" w:rsidRPr="009867C1">
        <w:t>friendship, advice, and much-needed faith and encouragement.</w:t>
      </w:r>
    </w:p>
    <w:p w14:paraId="0CFBC1F2" w14:textId="60EAC5DB" w:rsidR="00AB79BC" w:rsidRPr="009867C1" w:rsidRDefault="00AB79BC" w:rsidP="00046E01">
      <w:pPr>
        <w:ind w:firstLine="720"/>
      </w:pPr>
      <w:r w:rsidRPr="009867C1">
        <w:t>Deepest thanks to Dr. Suzanne Simard: your heart, support, and brains constantly amaze me. You are the Mother Tree of this project, and it would have remained only an idea at the back of my mind if not for you.</w:t>
      </w:r>
    </w:p>
    <w:p w14:paraId="29B53B20" w14:textId="77777777" w:rsidR="00F76C8F" w:rsidRPr="009867C1" w:rsidRDefault="00F76C8F" w:rsidP="00014D18"/>
    <w:p w14:paraId="0A70F40B" w14:textId="05487262" w:rsidR="00AB79BC" w:rsidRPr="009867C1" w:rsidRDefault="00AB79BC" w:rsidP="00046E01">
      <w:pPr>
        <w:ind w:firstLine="720"/>
      </w:pPr>
      <w:r w:rsidRPr="009867C1">
        <w:t xml:space="preserve">Dr. Teresa Ryan: your guidance, encouragement, </w:t>
      </w:r>
      <w:r w:rsidR="00347D06" w:rsidRPr="009867C1">
        <w:t>and example lifted me up and pushed me along. Thank you.</w:t>
      </w:r>
      <w:r w:rsidRPr="009867C1">
        <w:t xml:space="preserve"> </w:t>
      </w:r>
    </w:p>
    <w:p w14:paraId="353482AB" w14:textId="2C2901EB" w:rsidR="00F67DD8" w:rsidRPr="009867C1" w:rsidRDefault="00F74C25" w:rsidP="00046E01">
      <w:pPr>
        <w:ind w:firstLine="720"/>
      </w:pPr>
      <w:r w:rsidRPr="009867C1">
        <w:t>Deepest love and thanks to Mom and Dad. Without your financial</w:t>
      </w:r>
      <w:r w:rsidR="00347D06" w:rsidRPr="009867C1">
        <w:t xml:space="preserve"> and emotional</w:t>
      </w:r>
      <w:r w:rsidRPr="009867C1">
        <w:t xml:space="preserve"> support I would have been more hungry and less happy.</w:t>
      </w:r>
    </w:p>
    <w:p w14:paraId="3A85BD1A" w14:textId="478FAC21" w:rsidR="00F74C25" w:rsidRPr="009867C1" w:rsidRDefault="00F74C25" w:rsidP="00046E01">
      <w:pPr>
        <w:ind w:firstLine="720"/>
      </w:pPr>
      <w:r w:rsidRPr="009867C1">
        <w:t>Finally, thank you Lindsey. Your patience and love continue to astound</w:t>
      </w:r>
      <w:r w:rsidR="00347D06" w:rsidRPr="009867C1">
        <w:t xml:space="preserve"> me.</w:t>
      </w:r>
      <w:r w:rsidR="00045D9C" w:rsidRPr="009867C1">
        <w:t xml:space="preserve"> I promise you won’t have to</w:t>
      </w:r>
      <w:r w:rsidR="00F76C8F" w:rsidRPr="009867C1">
        <w:t xml:space="preserve"> put up with</w:t>
      </w:r>
      <w:r w:rsidR="00045D9C" w:rsidRPr="009867C1">
        <w:t xml:space="preserve"> this again</w:t>
      </w:r>
      <w:r w:rsidRPr="009867C1">
        <w:t>.</w:t>
      </w:r>
    </w:p>
    <w:p w14:paraId="37B46643" w14:textId="77777777" w:rsidR="00E9753B" w:rsidRPr="009867C1" w:rsidRDefault="00E9753B" w:rsidP="00014D18"/>
    <w:p w14:paraId="7E9C98AA" w14:textId="77777777" w:rsidR="00501F48" w:rsidRPr="009867C1" w:rsidRDefault="00501F48" w:rsidP="00014D18"/>
    <w:p w14:paraId="0CF3AE47" w14:textId="77777777" w:rsidR="00472518" w:rsidRPr="009867C1" w:rsidRDefault="00472518" w:rsidP="00014D18"/>
    <w:p w14:paraId="1CA31AF2" w14:textId="77777777" w:rsidR="00472518" w:rsidRPr="009867C1" w:rsidRDefault="00472518" w:rsidP="00014D18"/>
    <w:p w14:paraId="1266AB56" w14:textId="77777777" w:rsidR="00472518" w:rsidRPr="009867C1" w:rsidRDefault="00472518" w:rsidP="00014D18"/>
    <w:p w14:paraId="0B5A1BDC" w14:textId="77777777" w:rsidR="00472518" w:rsidRPr="009867C1" w:rsidRDefault="00472518" w:rsidP="00014D18"/>
    <w:p w14:paraId="4F3D55AE" w14:textId="77777777" w:rsidR="00472518" w:rsidRPr="009867C1" w:rsidRDefault="00472518" w:rsidP="00014D18"/>
    <w:p w14:paraId="4CDC762E" w14:textId="77777777" w:rsidR="00472518" w:rsidRPr="009867C1" w:rsidRDefault="00472518" w:rsidP="00014D18"/>
    <w:p w14:paraId="71C72296" w14:textId="77777777" w:rsidR="00472518" w:rsidRPr="009867C1" w:rsidRDefault="00472518" w:rsidP="00014D18"/>
    <w:p w14:paraId="18842C4E" w14:textId="2906CEB1" w:rsidR="00046E01" w:rsidRDefault="00046E01">
      <w:pPr>
        <w:spacing w:line="240" w:lineRule="auto"/>
      </w:pPr>
      <w:r>
        <w:br w:type="page"/>
      </w:r>
    </w:p>
    <w:p w14:paraId="05342EA7" w14:textId="77777777" w:rsidR="00472518" w:rsidRPr="009867C1" w:rsidRDefault="00472518" w:rsidP="00014D18"/>
    <w:p w14:paraId="518ABDDD" w14:textId="77777777" w:rsidR="00472518" w:rsidRPr="009867C1" w:rsidRDefault="00472518" w:rsidP="00014D18"/>
    <w:p w14:paraId="43802BFC" w14:textId="5C71BD09" w:rsidR="00472518" w:rsidRPr="009867C1" w:rsidRDefault="00472518" w:rsidP="00472518">
      <w:pPr>
        <w:jc w:val="center"/>
      </w:pPr>
      <w:r w:rsidRPr="009867C1">
        <w:t>For my Grandmother, Lucy Lech</w:t>
      </w:r>
    </w:p>
    <w:p w14:paraId="126DE64D" w14:textId="1686AFBE" w:rsidR="00472518" w:rsidRPr="009867C1" w:rsidRDefault="00472518" w:rsidP="00472518">
      <w:pPr>
        <w:jc w:val="center"/>
      </w:pPr>
    </w:p>
    <w:p w14:paraId="4810D634" w14:textId="0820C75B" w:rsidR="00472518" w:rsidRPr="009867C1" w:rsidRDefault="00472518" w:rsidP="00472518">
      <w:pPr>
        <w:jc w:val="center"/>
      </w:pPr>
      <w:r w:rsidRPr="009867C1">
        <w:t>Not the kind of doctor you wanted, but the doctor you’re going to get.</w:t>
      </w:r>
    </w:p>
    <w:p w14:paraId="35B647E4" w14:textId="77777777" w:rsidR="00472518" w:rsidRPr="009867C1" w:rsidRDefault="00472518" w:rsidP="00014D18"/>
    <w:p w14:paraId="033C1A56" w14:textId="55F511BC" w:rsidR="00472518" w:rsidRPr="009867C1" w:rsidRDefault="00472518" w:rsidP="00014D18">
      <w:pPr>
        <w:sectPr w:rsidR="00472518" w:rsidRPr="009867C1" w:rsidSect="00D964A8">
          <w:pgSz w:w="12240" w:h="15840" w:code="1"/>
          <w:pgMar w:top="1440" w:right="1440" w:bottom="1440" w:left="1440" w:header="706" w:footer="706" w:gutter="0"/>
          <w:pgNumType w:fmt="lowerRoman" w:start="1"/>
          <w:cols w:space="708"/>
          <w:titlePg/>
          <w:docGrid w:linePitch="326"/>
        </w:sectPr>
      </w:pPr>
    </w:p>
    <w:p w14:paraId="164DAA77" w14:textId="77777777" w:rsidR="008832BF" w:rsidRPr="009867C1" w:rsidRDefault="008832BF" w:rsidP="008832BF">
      <w:pPr>
        <w:pStyle w:val="Heading2"/>
      </w:pPr>
      <w:bookmarkStart w:id="21" w:name="_Toc99385401"/>
      <w:bookmarkStart w:id="22" w:name="_Ref15805138"/>
      <w:bookmarkStart w:id="23" w:name="_Ref15968944"/>
      <w:bookmarkStart w:id="24" w:name="_Ref15971902"/>
      <w:r w:rsidRPr="009867C1">
        <w:t>Fish, Forest, Fungi: literature review, context, and research questions</w:t>
      </w:r>
      <w:bookmarkEnd w:id="21"/>
    </w:p>
    <w:p w14:paraId="3C9150DA" w14:textId="77777777" w:rsidR="008832BF" w:rsidRPr="009867C1" w:rsidRDefault="008832BF" w:rsidP="008832BF">
      <w:pPr>
        <w:pStyle w:val="Heading3"/>
      </w:pPr>
      <w:bookmarkStart w:id="25" w:name="_Toc425853162"/>
      <w:bookmarkStart w:id="26" w:name="_Toc99385402"/>
      <w:r w:rsidRPr="009867C1">
        <w:t>Introduction</w:t>
      </w:r>
      <w:bookmarkEnd w:id="25"/>
      <w:bookmarkEnd w:id="26"/>
    </w:p>
    <w:p w14:paraId="2DD788D3" w14:textId="773384CC" w:rsidR="008832BF" w:rsidRPr="009867C1" w:rsidRDefault="008832BF" w:rsidP="008832BF">
      <w:pPr>
        <w:ind w:firstLine="720"/>
      </w:pPr>
      <w:r w:rsidRPr="009867C1">
        <w:t xml:space="preserve">Central to 'ecological thought' is interconnection </w:t>
      </w:r>
      <w:r w:rsidRPr="009867C1">
        <w:fldChar w:fldCharType="begin"/>
      </w:r>
      <w:r w:rsidR="00AC0205">
        <w:instrText xml:space="preserve"> ADDIN ZOTERO_ITEM CSL_CITATION {"citationID":"1ustclhqr5","properties":{"formattedCitation":"(Morton, 2010)","plainCitation":"(Morton, 2010)","noteIndex":0},"citationItems":[{"id":546,"uris":["http://zotero.org/users/2189142/items/6VM5KK5Z"],"itemData":{"id":546,"type":"book","abstract":"In this passionate, lucid, and surprising book, Timothy Morton argues that all forms of life are connected in a vast, entangling mesh. This interconnectedness penetrates all dimensions of life. No being, construct, or object can exist independently from the ecological entanglement, Morton contends, nor does “Nature” exist as an entity separate from the uglier or more synthetic elements of life.","ISBN":"978-0-674-04920-8","language":"en","number-of-pages":"192","publisher":"Harvard University Press","source":"Google Books","title":"The Ecological Thought","author":[{"family":"Morton","given":"Timothy"}],"issued":{"date-parts":[["2010",4,30]]},"citation-key":"morton_2010"}}],"schema":"https://github.com/citation-style-language/schema/raw/master/csl-citation.json"} </w:instrText>
      </w:r>
      <w:r w:rsidRPr="009867C1">
        <w:fldChar w:fldCharType="separate"/>
      </w:r>
      <w:r w:rsidR="0042141C" w:rsidRPr="009867C1">
        <w:t>(Morton, 2010)</w:t>
      </w:r>
      <w:r w:rsidRPr="009867C1">
        <w:fldChar w:fldCharType="end"/>
      </w:r>
      <w:r w:rsidRPr="009867C1">
        <w:t xml:space="preserve">. This interconnection is evident in everything ecologists do: in the traditional tripartite division of community, population, and ecosystem ecology; in our consideration of systems - whether land, sea, soils or air; in time, at all scales; and between and within organisms. This thread of interconnection - what is it, when does it matter, its structure - is the central theme of this thesis. In particular, I tie together three threads – fish, forests, and fungi - to look at the interconnection between land and sea, between aboveground and belowground processes and between different ecological network participants. The system </w:t>
      </w:r>
      <w:r w:rsidR="005017CE">
        <w:t xml:space="preserve">where </w:t>
      </w:r>
      <w:r w:rsidRPr="009867C1">
        <w:t xml:space="preserve">I’ll investigate this – salmon forests – has a long history of importance to coastal First Nations </w:t>
      </w:r>
      <w:r w:rsidRPr="009867C1">
        <w:fldChar w:fldCharType="begin"/>
      </w:r>
      <w:r w:rsidR="00AC0205">
        <w:instrText xml:space="preserve"> ADDIN ZOTERO_ITEM CSL_CITATION {"citationID":"ntXQ51tT","properties":{"formattedCitation":"(Colombi &amp; Brooks, 2012)","plainCitation":"(Colombi &amp; Brooks, 2012)","noteIndex":0},"citationItems":[{"id":629,"uris":["http://zotero.org/users/2189142/items/JC4QZPBJ"],"itemData":{"id":629,"type":"book","ISBN":"978-1-934691-90-8","language":"en","number-of-pages":"305","publisher":"School for Advanced Research Press","source":"Google Books","title":"Keystone Nations: Indigenous Peoples and Salmon Across the North Pacific","title-short":"Keystone Nations","author":[{"family":"Colombi","given":"Benedict J."},{"family":"Brooks","given":"James"}],"issued":{"date-parts":[["2012"]]},"citation-key":"colombi_2012"}}],"schema":"https://github.com/citation-style-language/schema/raw/master/csl-citation.json"} </w:instrText>
      </w:r>
      <w:r w:rsidRPr="009867C1">
        <w:fldChar w:fldCharType="separate"/>
      </w:r>
      <w:r w:rsidR="0042141C" w:rsidRPr="009867C1">
        <w:t>(Colombi &amp; Brooks, 2012)</w:t>
      </w:r>
      <w:r w:rsidRPr="009867C1">
        <w:fldChar w:fldCharType="end"/>
      </w:r>
      <w:r w:rsidRPr="009867C1">
        <w:t xml:space="preserve">, coastal communities </w:t>
      </w:r>
      <w:r w:rsidRPr="009867C1">
        <w:fldChar w:fldCharType="begin"/>
      </w:r>
      <w:r w:rsidR="00AC0205">
        <w:instrText xml:space="preserve"> ADDIN ZOTERO_ITEM CSL_CITATION {"citationID":"j9EDASTX","properties":{"formattedCitation":"(National Research Council, 1996)","plainCitation":"(National Research Council, 1996)","noteIndex":0},"citationItems":[{"id":628,"uris":["http://zotero.org/users/2189142/items/XGTUIT9W"],"itemData":{"id":628,"type":"book","abstract":"ng the problem of declining salmon populations. The book offers specific recommendations for salmon rehabilitation that take into account the key role played by genetic variability in salmon survival and the urgent need for habitat protection and management of fishing.","event-place":"Washington, D.C","ISBN":"978-0-309-05325-9","language":"English","number-of-pages":"436","publisher":"Natl Academy Pr","publisher-place":"Washington, D.C","source":"Amazon","title":"Upstream: Salmon and Society in the Pacific Northwest","title-short":"Upstream","author":[{"family":"National Research Council","given":"National Research"}],"issued":{"date-parts":[["1996",6,28]]},"citation-key":"nationalresearchcouncil_1996"}}],"schema":"https://github.com/citation-style-language/schema/raw/master/csl-citation.json"} </w:instrText>
      </w:r>
      <w:r w:rsidRPr="009867C1">
        <w:fldChar w:fldCharType="separate"/>
      </w:r>
      <w:r w:rsidR="0042141C" w:rsidRPr="009867C1">
        <w:t>(National Research Council, 1996)</w:t>
      </w:r>
      <w:r w:rsidRPr="009867C1">
        <w:fldChar w:fldCharType="end"/>
      </w:r>
      <w:r w:rsidRPr="009867C1">
        <w:t xml:space="preserve">, and industry, and has garnered considerable recent attention in the media and popular consciousness </w:t>
      </w:r>
      <w:r w:rsidRPr="009867C1">
        <w:fldChar w:fldCharType="begin"/>
      </w:r>
      <w:r w:rsidR="00AC0205">
        <w:instrText xml:space="preserve"> ADDIN ZOTERO_ITEM CSL_CITATION {"citationID":"y2ducYjN","properties":{"formattedCitation":"(J. Turner &amp; Turner, 2015; Underwood, 2001)","plainCitation":"(J. Turner &amp; Turner, 2015; Underwood, 2001)","noteIndex":0},"citationItems":[{"id":630,"uris":["http://zotero.org/users/2189142/items/PF8HT6HP"],"itemData":{"id":630,"type":"motion_picture","publisher":"CBC The Nature of Things","title":"Spirit Bear Family","author":[{"family":"Turner","given":"Jeff"},{"family":"Turner","given":"Sue"}],"issued":{"date-parts":[["2015"]]},"citation-key":"turner_2015"}},{"id":631,"uris":["http://zotero.org/users/2189142/items/FG3XDFCT"],"itemData":{"id":631,"type":"motion_picture","publisher":"CBC The Nature of Things","title":"The Salmon Forest","author":[{"family":"Underwood","given":"Caroline"}],"issued":{"date-parts":[["2001"]]},"citation-key":"underwood_2001"}}],"schema":"https://github.com/citation-style-language/schema/raw/master/csl-citation.json"} </w:instrText>
      </w:r>
      <w:r w:rsidRPr="009867C1">
        <w:fldChar w:fldCharType="separate"/>
      </w:r>
      <w:r w:rsidR="0042141C" w:rsidRPr="009867C1">
        <w:t>(J. Turner &amp; Turner, 2015; Underwood, 2001)</w:t>
      </w:r>
      <w:r w:rsidRPr="009867C1">
        <w:fldChar w:fldCharType="end"/>
      </w:r>
      <w:r w:rsidRPr="009867C1">
        <w:t>. At the same time, salmon forests are sites of contestation where different visions, traditions, and assertions of sovereignty collide. Current and historic</w:t>
      </w:r>
      <w:r w:rsidR="005017CE">
        <w:t xml:space="preserve"> colonial-</w:t>
      </w:r>
      <w:r w:rsidRPr="009867C1">
        <w:t>industrial exploitation of the sea- and land-scape has left salmon populations and timber stocks both diminished and changed; contemporary struggles over fishing rights, tourism and timber drive diplomacy and discussion; and the inevitable accidents associated with active shipping lanes in dangerous waters make national headlines.</w:t>
      </w:r>
      <w:r w:rsidR="00584DA0">
        <w:t xml:space="preserve"> At the same time, ongoing</w:t>
      </w:r>
      <w:r w:rsidRPr="009867C1">
        <w:t xml:space="preserve"> </w:t>
      </w:r>
      <w:r w:rsidR="00584DA0">
        <w:t>c</w:t>
      </w:r>
      <w:r w:rsidRPr="009867C1">
        <w:t>limate change continues to inexorably disrupt traditional and ecological relationships as well as introduce n</w:t>
      </w:r>
      <w:r w:rsidR="00584DA0">
        <w:t>ovel</w:t>
      </w:r>
      <w:r w:rsidRPr="009867C1">
        <w:t xml:space="preserve"> connect</w:t>
      </w:r>
      <w:r w:rsidR="005017CE">
        <w:t>i</w:t>
      </w:r>
      <w:r w:rsidR="00584DA0">
        <w:t>vity</w:t>
      </w:r>
      <w:r w:rsidR="00A87DDD" w:rsidRPr="009867C1">
        <w:t>.</w:t>
      </w:r>
      <w:r w:rsidRPr="009867C1">
        <w:t xml:space="preserve"> </w:t>
      </w:r>
      <w:r w:rsidR="005017CE">
        <w:t>C</w:t>
      </w:r>
      <w:r w:rsidRPr="009867C1">
        <w:t>ontemporary efforts in British Columbia to create land-</w:t>
      </w:r>
      <w:r w:rsidR="00A87DDD" w:rsidRPr="009867C1">
        <w:t xml:space="preserve"> and sea-</w:t>
      </w:r>
      <w:r w:rsidRPr="009867C1">
        <w:t xml:space="preserve">management plans such as the Great Bear Rainforest </w:t>
      </w:r>
      <w:r w:rsidRPr="009867C1">
        <w:fldChar w:fldCharType="begin"/>
      </w:r>
      <w:r w:rsidR="00AC0205">
        <w:instrText xml:space="preserve"> ADDIN ZOTERO_ITEM CSL_CITATION {"citationID":"8ugndtTH","properties":{"formattedCitation":"(M. Smith et al., 2016)","plainCitation":"(M. Smith et al., 2016)","noteIndex":0},"citationItems":[{"id":1588,"uris":["http://zotero.org/users/2189142/items/DK8L9LJT"],"itemData":{"id":1588,"type":"report","title":"From Conflict to Collaboration:    The Story of the Great Bear Rainforest","author":[{"family":"Smith","given":"Merran"},{"family":"Sterritt","given":"Art"},{"family":"Armstrong","given":"Patrick"}],"issued":{"date-parts":[["2016"]]},"citation-key":"smith_2016"}}],"schema":"https://github.com/citation-style-language/schema/raw/master/csl-citation.json"} </w:instrText>
      </w:r>
      <w:r w:rsidRPr="009867C1">
        <w:fldChar w:fldCharType="separate"/>
      </w:r>
      <w:r w:rsidR="0042141C" w:rsidRPr="009867C1">
        <w:t>(M. Smith et al., 2016)</w:t>
      </w:r>
      <w:r w:rsidRPr="009867C1">
        <w:fldChar w:fldCharType="end"/>
      </w:r>
      <w:r w:rsidRPr="009867C1">
        <w:t xml:space="preserve"> </w:t>
      </w:r>
      <w:r w:rsidR="00A87DDD" w:rsidRPr="009867C1">
        <w:t xml:space="preserve">and the Marine Plan Partnership for the North Pacific Coast </w:t>
      </w:r>
      <w:r w:rsidR="00DD7960" w:rsidRPr="009867C1">
        <w:fldChar w:fldCharType="begin"/>
      </w:r>
      <w:r w:rsidR="00AC0205">
        <w:instrText xml:space="preserve"> ADDIN ZOTERO_ITEM CSL_CITATION {"citationID":"F6PofQG8","properties":{"formattedCitation":"(Diggon et al., 2020)","plainCitation":"(Diggon et al., 2020)","noteIndex":0},"citationItems":[{"id":10364,"uris":["http://zotero.org/users/2189142/items/4BY5PAHD"],"itemData":{"id":10364,"type":"article-journal","abstract":"For more than a decade, marine spatial planning has been used around the world to advance objectives for conservation, economic development, and ecosystem-based management. Ecosystem-based management (EBM) in British Columbia began with the development of land use plans in the 1990s to address coastal and land use issues related to terrestrial land management. Managing marine resources is challenging on Canada’s Pacific coast because of multiple, overlapping jurisdictions, unceded indigenous territories, and lack of coordination amongst governments in the region and their agencies. The Marine Plan Partnership for the North Pacific Coast (MaPP) was formed in 2011 and was a co-led partnership between 18 First Nations’ and the Province of British Columbia governments. The purpose of the MaPP Initiative was to develop and implement marine plans for 102,000 square kilometers of coastal and offshore water in northern British Columbia. A co-led governance framework included the member First Nations and the Provincial government structured into multiple levels of decisions making, conflict resolution, and technical support. Integral to the planning process was broad and continual stakeholder engagement through multiple advisory committees as well as public engagement. The planning process made use of multiple information sources including traditional, scientific, and local knowledge and was completed in 3.5 years. The result was the development and signing into policy of four sub-regional marine plans (one for each of the four MaPP sub-regions: Haida Gwaii, North Coast, Central Coast, and North Vancouver Island) and a Regional Action Framework. The sub-regional plans delineate protection, special, and general management zones for multiple objectives and will inform future policy decisions for marine protected areas, tenures, resource management and coastal development through an EBM approach. The plans will inform permits for marine tenures including aquaculture, offshore renewable energy siting, contribute to Canada’s marine protected areas network, and improve coastal infrastructure. The Regional Action Framework highlights activities to occur across the entire region through five main activity areas (Regional Governance, Ecological Integrity and Human Well-being, Compliance and Enforcement, Cumulative Effects Assessment, and Zoning Recommendations). Funding for planning was through a public-private model that also supported the development of the plans and decision support tools (e.g. planning and mapping portal). Discussions regarding implementation began during the planning phase to ensure long-term commitment from the Partners and continuity to improve decision making and management within the MaPP area. The process design and methodology created by MaPP can be a model for planning in areas that involve multiple authorities, complex geographies and jurisdictional arrangements that can be scaled up for regional, cross border, and transboundary marine spatial planning.","container-title":"Marine Policy","DOI":"10.1016/j.marpol.2020.104065","ISSN":"0308-597X","journalAbbreviation":"Marine Policy","language":"en","page":"104065","source":"ScienceDirect","title":"The Marine Plan Partnership for the North Pacific Coast – MaPP: A collaborative and co-led marine planning process in British Columbia","title-short":"The Marine Plan Partnership for the North Pacific Coast – MaPP","author":[{"family":"Diggon","given":"Steve"},{"family":"Bones","given":"John"},{"family":"Short","given":"Charles J."},{"family":"Smith","given":"Joanna L."},{"family":"Dickinson","given":"Megan"},{"family":"Wozniak","given":"Kelly"},{"family":"Topelko","given":"Karen"},{"family":"Pawluk","given":"Kylee A."}],"issued":{"date-parts":[["2020",6,23]]},"citation-key":"diggon_2020"}}],"schema":"https://github.com/citation-style-language/schema/raw/master/csl-citation.json"} </w:instrText>
      </w:r>
      <w:r w:rsidR="00DD7960" w:rsidRPr="009867C1">
        <w:fldChar w:fldCharType="separate"/>
      </w:r>
      <w:r w:rsidR="0042141C" w:rsidRPr="009867C1">
        <w:t>(Diggon et al., 2020)</w:t>
      </w:r>
      <w:r w:rsidR="00DD7960" w:rsidRPr="009867C1">
        <w:fldChar w:fldCharType="end"/>
      </w:r>
      <w:r w:rsidR="00A87DDD" w:rsidRPr="009867C1">
        <w:t xml:space="preserve"> </w:t>
      </w:r>
      <w:r w:rsidRPr="009867C1">
        <w:t xml:space="preserve">seek, to varying success, to balance and find compromises between sovereignties and political and economic interests. Meanwhile, </w:t>
      </w:r>
      <w:r w:rsidR="005017CE">
        <w:t>against this</w:t>
      </w:r>
      <w:r w:rsidRPr="009867C1">
        <w:t xml:space="preserve"> evolving backdrop of human activity, salmon continue their six million year old migration </w:t>
      </w:r>
      <w:r w:rsidRPr="009867C1">
        <w:fldChar w:fldCharType="begin"/>
      </w:r>
      <w:r w:rsidR="00AC0205">
        <w:instrText xml:space="preserve"> ADDIN ZOTERO_ITEM CSL_CITATION {"citationID":"KZ1mHR98","properties":{"formattedCitation":"(Waples et al., 2008)","plainCitation":"(Waples et al., 2008)","noteIndex":0},"citationItems":[{"id":398,"uris":["http://zotero.org/users/2189142/items/E3AVCXE7"],"itemData":{"id":398,"type":"article-journal","abstract":"Contemporary evolution of Pacific salmon (Oncorhynchus spp.) is best viewed in the context of the evolutionary history of the species and the dynamic ecosystems they inhabit. Speciation was complete by the late Miocene, leaving c. six million years for intraspecific diversification. Following the most recent glacial maximum, large areas became available for recolonization. Current intraspecific diversity is thus the product of recent evolution overlaid onto divergent historical lineages forged during recurrent episodes of Pleistocene glaciation. In northwestern North America, dominant habitat features have been relatively stable for the past 5000 years, but salmon ecosystems remain dynamic because of disturbance regimes (volcanic eruptions, landslides, wildfires, floods, variations in marine and freshwater productivity) that occur on a variety of temporal and spatial scales. These disturbances both create selective pressures for adaptive responses by salmon and inhibit long-term divergence by periodically extirpating local populations and creating episodic dispersal events that erode emerging differences. Recent anthropogenic changes are replicated pervasively across the landscape and interrupt processes that allow natural habitat recovery. If anthropogenic changes can be shaped to produce disturbance regimes that more closely mimic (in both space and time) those under which the species evolved, Pacific salmon should be well-equipped to deal with future challenges, just as they have throughout their evolutionary history.","container-title":"Evolutionary Applications","DOI":"10.1111/j.1752-4571.2008.00023.x","ISSN":"1752-4571","issue":"2","language":"en","page":"189-206","source":"Wiley Online Library","title":"Evolutionary history of Pacific salmon in dynamic environments","volume":"1","author":[{"family":"Waples","given":"Robin S."},{"family":"Pess","given":"George R."},{"family":"Beechie","given":"Tim"}],"issued":{"date-parts":[["2008",5,1]]},"citation-key":"waples_2008b"}}],"schema":"https://github.com/citation-style-language/schema/raw/master/csl-citation.json"} </w:instrText>
      </w:r>
      <w:r w:rsidRPr="009867C1">
        <w:fldChar w:fldCharType="separate"/>
      </w:r>
      <w:r w:rsidR="0042141C" w:rsidRPr="009867C1">
        <w:t>(Waples et al., 2008)</w:t>
      </w:r>
      <w:r w:rsidRPr="009867C1">
        <w:fldChar w:fldCharType="end"/>
      </w:r>
      <w:r w:rsidRPr="009867C1">
        <w:t xml:space="preserve"> into quiet coastal rainforests to pass their genes on to the next generation. </w:t>
      </w:r>
    </w:p>
    <w:p w14:paraId="40A8C106" w14:textId="77777777" w:rsidR="008832BF" w:rsidRPr="009867C1" w:rsidRDefault="008832BF" w:rsidP="008832BF">
      <w:pPr>
        <w:ind w:firstLine="720"/>
      </w:pPr>
    </w:p>
    <w:p w14:paraId="2501C9C4" w14:textId="77777777" w:rsidR="008832BF" w:rsidRPr="009867C1" w:rsidRDefault="008832BF" w:rsidP="008832BF">
      <w:pPr>
        <w:pStyle w:val="Heading3"/>
      </w:pPr>
      <w:bookmarkStart w:id="27" w:name="_Toc99385403"/>
      <w:r w:rsidRPr="009867C1">
        <w:t>The fish: salmon in context</w:t>
      </w:r>
      <w:bookmarkEnd w:id="27"/>
    </w:p>
    <w:p w14:paraId="50A61BB9" w14:textId="521ADD8F" w:rsidR="008832BF" w:rsidRPr="009867C1" w:rsidRDefault="008832BF" w:rsidP="008832BF">
      <w:pPr>
        <w:ind w:firstLine="720"/>
      </w:pPr>
      <w:r w:rsidRPr="009867C1">
        <w:t>There are seven species of salmon (</w:t>
      </w:r>
      <w:r w:rsidRPr="009867C1">
        <w:rPr>
          <w:i/>
        </w:rPr>
        <w:t xml:space="preserve">Oncorhynchus </w:t>
      </w:r>
      <w:r w:rsidRPr="00390945">
        <w:rPr>
          <w:iCs/>
        </w:rPr>
        <w:t>sp.</w:t>
      </w:r>
      <w:r w:rsidRPr="009867C1">
        <w:t xml:space="preserve">) in the Pacific. Five anadromous species occur in the Pacific Northwest of North America </w:t>
      </w:r>
      <w:r w:rsidRPr="009867C1">
        <w:fldChar w:fldCharType="begin"/>
      </w:r>
      <w:r w:rsidR="00AC0205">
        <w:instrText xml:space="preserve"> ADDIN ZOTERO_ITEM CSL_CITATION {"citationID":"biH14VUX","properties":{"formattedCitation":"(Groot &amp; Margolis, 1991)","plainCitation":"(Groot &amp; Margolis, 1991)","noteIndex":0},"citationItems":[{"id":1018,"uris":["http://zotero.org/users/2189142/items/759FQMAZ"],"itemData":{"id":1018,"type":"book","abstract":"Pacific salmon are an important biological and economic resource of countries of the North Pacific rim. They are also a unique group of fish possessing unusually complex life histories. There are seven species of Pacific salmon, five occurring on both the North American and Asian continents (sockeye, pink, chum, chinook, and coho) and two (masu and amago) only in Asia.The life cycle of the Pacific salmon begins in the autumn when the adult female deposits eggs that are fertilized in gravel beds in rivers or lakes. The young emerge from the gravel the following spring and will either migrate immediately to salt water or spend one or more years in a river or lake before migrating. Migrations in the ocean are extensive during the feeding and growing phase, covering thousands of kilometres. After one or more years the maturing adults find their way back to their home river, returning to their ancestral breeding grounds to spawn. They die after spawning and the eggs in the gravel signify a new cycle. Upon this theme Pacific salmon have developed many variations, both between as well as within species. Pacific Salmon Life Histories provides detailed descriptions of the different life phases through which each of the seven species passes. Each chapter is written by a scientist who has spent years studying and observing a particular species of salmon. Some of the topics covered are geographic distribution, transplants, freshwater life, ocean life, development, growth, feeding, diet, migration, and spawning behaviour. The text is richly supplemented by numerous maps, illustrations, colour plates, and tables and there is a detailed general index, as well as a useful geographical index.","edition":"First Edition edition","event-place":"Vancouver","ISBN":"978-0-7748-0359-5","language":"English","number-of-pages":"608","publisher":"UBC Press","publisher-place":"Vancouver","source":"Amazon","title":"Pacific Salmon Life Histories","editor":[{"family":"Groot","given":"Cornelis"},{"family":"Margolis","given":"Leo"}],"issued":{"date-parts":[["1991",1,1]]},"citation-key":"groot_1991"}}],"schema":"https://github.com/citation-style-language/schema/raw/master/csl-citation.json"} </w:instrText>
      </w:r>
      <w:r w:rsidRPr="009867C1">
        <w:fldChar w:fldCharType="separate"/>
      </w:r>
      <w:r w:rsidR="0042141C" w:rsidRPr="009867C1">
        <w:t>(Groot &amp; Margolis, 1991)</w:t>
      </w:r>
      <w:r w:rsidRPr="009867C1">
        <w:fldChar w:fldCharType="end"/>
      </w:r>
      <w:r w:rsidRPr="009867C1">
        <w:t>: Chinook (</w:t>
      </w:r>
      <w:r w:rsidRPr="009867C1">
        <w:rPr>
          <w:i/>
        </w:rPr>
        <w:t>O. tshawytscha</w:t>
      </w:r>
      <w:r w:rsidRPr="009867C1">
        <w:t>), chum (</w:t>
      </w:r>
      <w:r w:rsidRPr="009867C1">
        <w:rPr>
          <w:i/>
        </w:rPr>
        <w:t>O. keta</w:t>
      </w:r>
      <w:r w:rsidRPr="009867C1">
        <w:t xml:space="preserve">), </w:t>
      </w:r>
      <w:r w:rsidR="00390945">
        <w:t>c</w:t>
      </w:r>
      <w:r w:rsidRPr="009867C1">
        <w:t>oho (</w:t>
      </w:r>
      <w:r w:rsidRPr="009867C1">
        <w:rPr>
          <w:i/>
        </w:rPr>
        <w:t>O. kitsutch</w:t>
      </w:r>
      <w:r w:rsidRPr="009867C1">
        <w:t>), pink (</w:t>
      </w:r>
      <w:r w:rsidRPr="009867C1">
        <w:rPr>
          <w:i/>
        </w:rPr>
        <w:t>O. gorbuscha</w:t>
      </w:r>
      <w:r w:rsidRPr="009867C1">
        <w:t>), and sockeye (</w:t>
      </w:r>
      <w:r w:rsidRPr="009867C1">
        <w:rPr>
          <w:i/>
        </w:rPr>
        <w:t>O. nerka</w:t>
      </w:r>
      <w:r w:rsidRPr="009867C1">
        <w:t xml:space="preserve">). In addition, there are landlocked sockeye (Kokanee) and </w:t>
      </w:r>
      <w:r w:rsidR="00584DA0">
        <w:t xml:space="preserve">occasionally-anadromous </w:t>
      </w:r>
      <w:r w:rsidRPr="009867C1">
        <w:t>steelhead (</w:t>
      </w:r>
      <w:r w:rsidRPr="009867C1">
        <w:rPr>
          <w:i/>
        </w:rPr>
        <w:t>O. mykiss</w:t>
      </w:r>
      <w:r w:rsidRPr="009867C1">
        <w:t xml:space="preserve">). While the details of their lifecycle vary by species and population </w:t>
      </w:r>
      <w:r w:rsidRPr="009867C1">
        <w:fldChar w:fldCharType="begin"/>
      </w:r>
      <w:r w:rsidR="00AC0205">
        <w:instrText xml:space="preserve"> ADDIN ZOTERO_ITEM CSL_CITATION {"citationID":"V2SPgY61","properties":{"formattedCitation":"(Crisp, 2000; Quinn, 2018)","plainCitation":"(Crisp, 2000; Quinn, 2018)","noteIndex":0},"citationItems":[{"id":399,"uris":["http://zotero.org/users/2189142/items/RG8359GX"],"itemData":{"id":399,"type":"book","abstract":"This important book contains a great wealth of practical information on trout and salmon, species of fish that are of huge scientific and commercial interest. The introductory chapters of Trout and Salmon cover the biology and environmental variables of importance when considering these species. Further chapters encompass current information on the ecology of salmon and trout, with particular emphasis on the definition and quantification, where possible, of their environmental requirements and limitations. Comprehensive coverage of the impacts of human activities on trout and salmon is included, together with important aspects of relevance when considering issues of species conservation and habitat restoration. The book concentrates on the two species of the genus Salmo with many references and comparisons with the genus Oncorhynchus. Conclusions drawn within the book apply to both genera and as such the book will have relevance for both Europe and North America as well as other areas where these genera occur. Trevor Crisp has written a book that will be of great interest and use to fish biologists and fisheries scientists, to aquatic biologists, conservationists, ecologists and environmental scientists. The book will be particularly valuable for those working in government environment agencies and fish and wildlife departments and to all those involved in the management of these important species, their fisheries and habitats.","edition":"1 edition","event-place":"Oxford ; Malden, MA : Malden, MA","ISBN":"978-0-85238-256-1","language":"English","number-of-pages":"224","publisher":"Wiley-Blackwell","publisher-place":"Oxford ; Malden, MA : Malden, MA","source":"Amazon","title":"Trout &amp; Salmon: Ecology, Conservation and Rehabilitation","title-short":"Trout &amp; Salmon","author":[{"family":"Crisp","given":"Trevor"}],"issued":{"date-parts":[["2000",7,26]]},"citation-key":"crisp_2000"}},{"id":2463,"uris":["http://zotero.org/users/2189142/items/7HAXGIE2"],"itemData":{"id":2463,"type":"book","edition":"2nd","publisher":"University of Washington press","source":"Google Scholar","title":"The behavior and ecology of Pacific salmon and trout","author":[{"family":"Quinn","given":"Thomas P."}],"issued":{"date-parts":[["2018"]]},"citation-key":"quinn_2018"}}],"schema":"https://github.com/citation-style-language/schema/raw/master/csl-citation.json"} </w:instrText>
      </w:r>
      <w:r w:rsidRPr="009867C1">
        <w:fldChar w:fldCharType="separate"/>
      </w:r>
      <w:r w:rsidR="0042141C" w:rsidRPr="009867C1">
        <w:t>(Crisp, 2000; Quinn, 2018)</w:t>
      </w:r>
      <w:r w:rsidRPr="009867C1">
        <w:fldChar w:fldCharType="end"/>
      </w:r>
      <w:r w:rsidRPr="009867C1">
        <w:t xml:space="preserve">, </w:t>
      </w:r>
      <w:r w:rsidR="00584DA0">
        <w:t>salmon</w:t>
      </w:r>
      <w:r w:rsidRPr="009867C1">
        <w:t xml:space="preserve"> are</w:t>
      </w:r>
      <w:r w:rsidR="00390945">
        <w:t xml:space="preserve"> usually</w:t>
      </w:r>
      <w:r w:rsidRPr="009867C1">
        <w:t xml:space="preserve"> born in fresh water, swim out to sea where they spend the majority of their adult lives, and then return to their natal sites to spawn and die. When they return home to spawn, they can do so in </w:t>
      </w:r>
      <w:r w:rsidR="005017CE">
        <w:t xml:space="preserve">small or </w:t>
      </w:r>
      <w:r w:rsidRPr="009867C1">
        <w:t xml:space="preserve">great numbers: runs can span several orders of magnitude from individuals to millions. </w:t>
      </w:r>
    </w:p>
    <w:p w14:paraId="0F8278E7" w14:textId="7FA01EC3" w:rsidR="008832BF" w:rsidRPr="009867C1" w:rsidRDefault="008832BF" w:rsidP="008832BF">
      <w:pPr>
        <w:ind w:firstLine="720"/>
      </w:pPr>
      <w:r w:rsidRPr="009867C1">
        <w:t xml:space="preserve">Salmon and humans share a long history of interaction. Indigenous oral histories record  harvest and management of salmon since time immemorial </w:t>
      </w:r>
      <w:r w:rsidRPr="009867C1">
        <w:fldChar w:fldCharType="begin"/>
      </w:r>
      <w:r w:rsidR="00AC0205">
        <w:instrText xml:space="preserve"> ADDIN ZOTERO_ITEM CSL_CITATION {"citationID":"RuEgqrhh","properties":{"formattedCitation":"(Ignace, 2009; J. E. Taylor, 2009)","plainCitation":"(Ignace, 2009; J. E. Taylor, 2009)","noteIndex":0},"citationItems":[{"id":2420,"uris":["http://zotero.org/users/2189142/items/BULF4FIS"],"itemData":{"id":2420,"type":"thesis","event-place":"Ottawa","language":"en","note":"ISBN: 9780494468029\nOCLC: 694678261","publisher":"Library and Archives Canada = Bibliothèque et Archives Canada","publisher-place":"Ottawa","source":"Open WorldCat","title":"Our oral histories are our iron posts: Secwépemc stories and historical consciousness","title-short":"Our oral histories are our iron posts","author":[{"family":"Ignace","given":"Ronald Eric"}],"issued":{"date-parts":[["2009"]]},"citation-key":"ignace_2009"}},{"id":2418,"uris":["http://zotero.org/users/2189142/items/LPUPNHKH"],"itemData":{"id":2418,"type":"book","abstract":"Winner of the George Perkins Marsh Award, American Society for Environmental History","ISBN":"978-0-295-98991-4","language":"en","note":"Google-Books-ID: jMuk9zbfPhUC","number-of-pages":"456","publisher":"University of Washington Press","source":"Google Books","title":"Making Salmon: An Environmental History of the Northwest Fisheries Crisis","title-short":"Making Salmon","author":[{"family":"Taylor","given":"Joseph E."}],"issued":{"date-parts":[["2009",11,23]]},"citation-key":"taylor_2009"}}],"schema":"https://github.com/citation-style-language/schema/raw/master/csl-citation.json"} </w:instrText>
      </w:r>
      <w:r w:rsidRPr="009867C1">
        <w:fldChar w:fldCharType="separate"/>
      </w:r>
      <w:r w:rsidR="0042141C" w:rsidRPr="009867C1">
        <w:t>(Ignace, 2009; J. E. Taylor, 2009)</w:t>
      </w:r>
      <w:r w:rsidRPr="009867C1">
        <w:fldChar w:fldCharType="end"/>
      </w:r>
      <w:r w:rsidRPr="009867C1">
        <w:t xml:space="preserve">. Archeological evidence points to human presence and occupation on the Central Coast for at least 14,000 years </w:t>
      </w:r>
      <w:r w:rsidRPr="009867C1">
        <w:fldChar w:fldCharType="begin"/>
      </w:r>
      <w:r w:rsidR="00AC0205">
        <w:instrText xml:space="preserve"> ADDIN ZOTERO_ITEM CSL_CITATION {"citationID":"5vHj2J66","properties":{"formattedCitation":"(McLaren et al., 2018)","plainCitation":"(McLaren et al., 2018)","noteIndex":0},"citationItems":[{"id":1583,"uris":["http://zotero.org/users/2189142/items/ICNDW73R"],"itemData":{"id":1583,"type":"article-journal","abstract":"Little is known about the ice age human occupation of the Pacific Coast of Canada. Here we present the results of a targeted investigation of a late Pleistocene shoreline on Calvert Island, British Columbia. Drawing upon existing geomorphic information that sea level in the area was 2–3 m lower than present between 14,000 and 11,000 years ago, we began a systematic search for archaeological remains dating to this time period beneath intertidal beach sediments. During subsurface testing, we uncovered human footprints impressed into a 13,000-year-old paleosol beneath beach sands at archaeological site EjTa-4. To date, our investigations at this site have revealed a total of 29 footprints of at least three different sizes. The results presented here add to the growing body of information pertaining to the early deglaciation and associated human presence on the west coast of Canada at the end of the Last Glacial Maximum.","container-title":"PLoS ONE","DOI":"10.1371/journal.pone.0193522","ISSN":"1932-6203","issue":"3","journalAbbreviation":"PLoS One","note":"PMID: 29590165\nPMCID: PMC5873988","source":"PubMed Central","title":"Terminal Pleistocene epoch human footprints from the Pacific coast of Canada","URL":"https://www.ncbi.nlm.nih.gov/pmc/articles/PMC5873988/","volume":"13","author":[{"family":"McLaren","given":"Duncan"},{"family":"Fedje","given":"Daryl"},{"family":"Dyck","given":"Angela"},{"family":"Mackie","given":"Quentin"},{"family":"Gauvreau","given":"Alisha"},{"family":"Cohen","given":"Jenny"}],"accessed":{"date-parts":[["2020",2,27]]},"issued":{"date-parts":[["2018",3,28]]},"citation-key":"mclaren_2018"}}],"schema":"https://github.com/citation-style-language/schema/raw/master/csl-citation.json"} </w:instrText>
      </w:r>
      <w:r w:rsidRPr="009867C1">
        <w:fldChar w:fldCharType="separate"/>
      </w:r>
      <w:r w:rsidR="0042141C" w:rsidRPr="009867C1">
        <w:t>(McLaren et al., 2018)</w:t>
      </w:r>
      <w:r w:rsidRPr="009867C1">
        <w:fldChar w:fldCharType="end"/>
      </w:r>
      <w:r w:rsidRPr="009867C1">
        <w:t xml:space="preserve">, and village sites such as Namu have been continuously occupied for at least 6000 years </w:t>
      </w:r>
      <w:r w:rsidRPr="009867C1">
        <w:fldChar w:fldCharType="begin"/>
      </w:r>
      <w:r w:rsidR="00AC0205">
        <w:instrText xml:space="preserve"> ADDIN ZOTERO_ITEM CSL_CITATION {"citationID":"fyV0I7sA","properties":{"formattedCitation":"(Duffield, 2017)","plainCitation":"(Duffield, 2017)","noteIndex":0},"citationItems":[{"id":1584,"uris":["http://zotero.org/users/2189142/items/ACN99HQF"],"itemData":{"id":1584,"type":"thesis","abstract":"This Master’s research program was undertaken as part of the Hakai Ancient Landscapes Archaeology Project in Heiltsuk and Wuikinuxv Territories on the Central Pacific Coast of British Columbia (BC), Canada. The project tested the utility of applying vibracore technology to sample a shell midden site on Hecate Island on the BC Central Coast. This revealed that the earliest archaeological occupation began approximately 6,000 years ago, continuing into the 16th Century AD. Analysis using 21 radiocarbon dates from six core samples shows the site was repeatedly occupied and accumulated consistently throughout the tested area and extended to a depth of 544 cm depth below surface. Sampled sediments were utilized to evaluate evidence of fisheries resource management through time with reference to the nearby, intensively-studied archaeological site Namu (ElSx-1). Zooarchaeological results show the herring (Clupea pallasii), salmon (Oncorhynchus spp.), rockfish (Sebastes spp.) and greenling (Hexagrammos spp.) were fished persistently and in similar abundances through the occupation of the site. Overall results for vertebrate fauna reveal the total number of specimens is 19,173 and the total number of identified specimens is 6,566. Results also show a consistent harvest of certain shellfish taxa (e.g., mussel and barnacle), however shellfish weight per litre increases through time. When comparing the relative abundance of herring and salmon through time at Namu and EjTa-13, results show that salmon at Namu was more abundant than at EjTa-13. This is likely due to the productivity of salmon in the Namu River adjacent to the site. Alternatively, herring remains were represented similarly between sites indicating the resource was equally desirable at EjTa-13 and Namu. Surprisingly, a large number of very small artifacts of various materials were also recovered (an estimated 550 artifacts per cubic metre of cultural sediments), which indicates that the field and laboratory methods used are especially conducive to the recovery of small items. These results show a persistent and sustainable local fishery through six millennia until the contact period.","genre":"Thesis","language":"en","note":"Accepted: 2018-01-03T15:44:08Z","source":"dspace.library.uvic.ca","title":"Long-term use of fish and shellfish resources revealed through vibracore sampling at EjTa-13, Hecate Island, Central Coast, BC","URL":"https://dspace.library.uvic.ca//handle/1828/8936","author":[{"family":"Duffield","given":"Seonaid Eileen Shute"}],"accessed":{"date-parts":[["2020",2,27]]},"issued":{"date-parts":[["2017"]]},"citation-key":"duffield_2017"}}],"schema":"https://github.com/citation-style-language/schema/raw/master/csl-citation.json"} </w:instrText>
      </w:r>
      <w:r w:rsidRPr="009867C1">
        <w:fldChar w:fldCharType="separate"/>
      </w:r>
      <w:r w:rsidR="0042141C" w:rsidRPr="009867C1">
        <w:t>(Duffield, 2017)</w:t>
      </w:r>
      <w:r w:rsidRPr="009867C1">
        <w:fldChar w:fldCharType="end"/>
      </w:r>
      <w:r w:rsidRPr="009867C1">
        <w:t xml:space="preserve">. Tidal stone fish traps are found in the majority of streams in this region </w:t>
      </w:r>
      <w:r w:rsidRPr="009867C1">
        <w:fldChar w:fldCharType="begin"/>
      </w:r>
      <w:r w:rsidR="00AC0205">
        <w:instrText xml:space="preserve"> ADDIN ZOTERO_ITEM CSL_CITATION {"citationID":"IQqha1hM","properties":{"formattedCitation":"(Pomeroy, 1980; Smethurst, 2014; White (Xanius), 2006)","plainCitation":"(Pomeroy, 1980; Smethurst, 2014; White (Xanius), 2006)","noteIndex":0},"citationItems":[{"id":1308,"uris":["http://zotero.org/users/2189142/items/HDR9GCDQ"],"itemData":{"id":1308,"type":"thesis","genre":"Thesis","publisher":"Simon Fraser University. Theses (Dept. of Archaeology)","source":"summit.sfu.ca","title":"Bella Bella : settlement and subsistence","title-short":"Bella Bella","URL":"http://summit.sfu.ca/item/3334","author":[{"family":"Pomeroy","given":"John Anthony"}],"accessed":{"date-parts":[["2017",6,29]]},"issued":{"date-parts":[["1980"]]},"citation-key":"pomeroy_1980"}},{"id":1826,"uris":["http://zotero.org/users/2189142/items/U8HFFTD5"],"itemData":{"id":1826,"type":"thesis","abstract":"This thesis examines the nature of an indigenous fishery on the northwest coast of British Columbia, within Gitxaała Nation`s territory.  To investigate fishing practices,  I analyze faunal assemblages from 16 habitation sites, map and describe two intertidal stone traps, and relate the results of which to Gitxaała traditional ecological knowledge. I first outline the social organization of fishing in Gitxaała territory and discuss Gitxaała ontology and the connection between family and place. I then discuss the technology and function behind the two intertidal stone traps. I examine archaeological patterning of fish abundances at the habitation sites through various quantitative methods, focusing on three sites associated with the intertidal stone traps. I then argue that Gitxaała traditional ecological knowledge is paramount in understanding and interpreting the archaeological record.            \nThe results of the study reveal a complex portrait of fishing within Gitxaała Territory. Faunal analysis data is contradictory to expectations of a connection between fish abundances and site size and typology. Faunal analysis also indicates that differences in mass harvest technologies such as intertidal stone traps reflects differences in use and target species. Gitxaała scholarship on fishing, use, and occupancy acts as an interpretive guide to the archaeological record in that it provides explanations to an otherwise complex data set. The results suggest that fishing practices are not prescribed simply by resource availability. Rather, fishing practices reflect complex cultural processes and decisions of Gitxaała leaders who maintained obligations of a reciprocal relationship between the human and animal world, fish production, and management of important ecosystems.","language":"eng","note":"DOI: 10.14288/1.0167319","publisher":"University of British Columbia","source":"open.library.ubc.ca","title":"Inscribed on the landscape : stories of stone traps and fishing in Laxyuup Gitxaała","title-short":"Inscribed on the landscape","URL":"https://open.library.ubc.ca/cIRcle/collections/ubctheses/24/items/1.0167319","author":[{"family":"Smethurst","given":"Naomi H."}],"accessed":{"date-parts":[["2019",4,3]]},"issued":{"date-parts":[["2014"]]},"citation-key":"smethurst_2014"}},{"id":2365,"uris":["http://zotero.org/users/2189142/items/QKMZ4DLA"],"itemData":{"id":2365,"type":"thesis","genre":"Thesis","language":"en","publisher":"Department of Archaeology - Simon Fraser University","source":"summit.sfu.ca","title":"Heiltsuk stone fish traps: Products of my ancestors' labour","title-short":"Heiltsuk stone fish traps","URL":"http://summit.sfu.ca/item/4240","author":[{"family":"White (Xanius)","given":"Elroy"}],"accessed":{"date-parts":[["2021",3,26]]},"issued":{"date-parts":[["2006"]]},"citation-key":"whitexanius_2006"}}],"schema":"https://github.com/citation-style-language/schema/raw/master/csl-citation.json"} </w:instrText>
      </w:r>
      <w:r w:rsidRPr="009867C1">
        <w:fldChar w:fldCharType="separate"/>
      </w:r>
      <w:r w:rsidR="003D12C7" w:rsidRPr="003D12C7">
        <w:t>(Pomeroy, 1980; Smethurst, 2014; White (Xanius), 2006)</w:t>
      </w:r>
      <w:r w:rsidRPr="009867C1">
        <w:fldChar w:fldCharType="end"/>
      </w:r>
      <w:r w:rsidRPr="009867C1">
        <w:t xml:space="preserve">. Further south, in </w:t>
      </w:r>
      <w:r w:rsidR="005017CE">
        <w:t xml:space="preserve">traditional </w:t>
      </w:r>
      <w:r w:rsidR="005017CE">
        <w:rPr>
          <w:color w:val="202124"/>
          <w:lang w:val="en-CA"/>
        </w:rPr>
        <w:t xml:space="preserve">K'ómoks territory near </w:t>
      </w:r>
      <w:r w:rsidRPr="009867C1">
        <w:t xml:space="preserve">Comox, Vancouver Island, wooden stakes preserved in marine mud flats have been dated to ~700 CE </w:t>
      </w:r>
      <w:r w:rsidR="00390945">
        <w:t xml:space="preserve">and </w:t>
      </w:r>
      <w:r w:rsidRPr="009867C1">
        <w:t xml:space="preserve">indicate that large-scale intertidal fisheries continuously operated over the last 1300 years </w:t>
      </w:r>
      <w:r w:rsidRPr="009867C1">
        <w:fldChar w:fldCharType="begin"/>
      </w:r>
      <w:r w:rsidR="00AC0205">
        <w:instrText xml:space="preserve"> ADDIN ZOTERO_ITEM CSL_CITATION {"citationID":"9MtqIr97","properties":{"formattedCitation":"(Greene et al., 2015)","plainCitation":"(Greene et al., 2015)","noteIndex":0},"citationItems":[{"id":2542,"uris":["http://zotero.org/users/2189142/items/NT4SW76D"],"itemData":{"id":2542,"type":"article-journal","abstract":"Results of highly detailed mapping and radiocarbon dating at a vast and largely unknown intertidal fish trap complex indicate a large-scale, technologically sophisticated Aboriginal trap fishery operated at Comox Harbour, Vancouver Island, British Columbia between about 1,300 and 100 years ago. Two temporally and morphologically distinct trap types were utilized, and the shift from the Winged Heart trap type to the Winged Chevron trap type ca. 700 B.P. appears abrupt and closely coincident with Little Ice Age climatic conditions and increased importance of salmon at Aboriginal village sites on west coast Vancouver Island, at Haida Gwaii (Queen Charlotte Islands) and south coast Alaska. Drawing comparisons from closely analogous historical and contemporary North American large-scale traps designed with knowledge of fish behaviour, the Winged Heart and Winged Chevron traps were likely designed to mass harvest herring and salmon, respectively. This study contributes to the wider consideration of marine adaptation on the Pacific Northwest Coast.","language":"en","page":"52","source":"Zotero","title":"The Comox Harbour Fish Trap Complex: A Large-Scale, Technologically Sophisticated Intertidal Fishery from British Columbia","author":[{"family":"Greene","given":"Nancy A"},{"family":"McGee","given":"David C"},{"family":"Heitzmann","given":"Roderick J"}],"issued":{"date-parts":[["2015"]]},"citation-key":"greene_2015"}}],"schema":"https://github.com/citation-style-language/schema/raw/master/csl-citation.json"} </w:instrText>
      </w:r>
      <w:r w:rsidRPr="009867C1">
        <w:fldChar w:fldCharType="separate"/>
      </w:r>
      <w:r w:rsidR="0042141C" w:rsidRPr="009867C1">
        <w:t>(Greene et al., 2015)</w:t>
      </w:r>
      <w:r w:rsidRPr="009867C1">
        <w:fldChar w:fldCharType="end"/>
      </w:r>
      <w:r w:rsidRPr="009867C1">
        <w:t xml:space="preserve">. Similar fisheries operated in Haida Gwaii and the </w:t>
      </w:r>
      <w:r w:rsidR="00390945">
        <w:t>s</w:t>
      </w:r>
      <w:r w:rsidRPr="009867C1">
        <w:t xml:space="preserve">outh coast of Alaska </w:t>
      </w:r>
      <w:r w:rsidRPr="009867C1">
        <w:fldChar w:fldCharType="begin"/>
      </w:r>
      <w:r w:rsidR="00AC0205">
        <w:instrText xml:space="preserve"> ADDIN ZOTERO_ITEM CSL_CITATION {"citationID":"avdSmvmY","properties":{"formattedCitation":"(Moss &amp; Cannon, 2011)","plainCitation":"(Moss &amp; Cannon, 2011)","noteIndex":0},"citationItems":[{"id":2541,"uris":["http://zotero.org/users/2189142/items/HYGFZ3SB"],"itemData":{"id":2541,"type":"book","abstract":"For thousands of years, fisheries were crucial to the sustenance of the First Peoples of the Pacific Coast. Yet human impact has left us with a woefully incomplete understanding of their histories prior to the industrial era. Covering Alaska, British Columbia, and Puget Sound, The Archaeology of North Pacific Fisheries illustrates how the archaeological record reveals new information about ancient ways of life and the histories of key species. Individual chapters cover salmon, as well as a number of lesser-known species abundant in archaeological sites, including pacific cod, herring, rockfish, eulachon, and hake. In turn, this ecological history informs suggestions for sustainable fishing in today’s rapidly changing environment.","ISBN":"978-1-60223-147-4","language":"en","note":"Google-Books-ID: eeqMfcxy83IC","number-of-pages":"326","publisher":"University of Alaska Press","source":"Google Books","title":"The Archaeology of North Pacific Fisheries","author":[{"family":"Moss","given":"Madonna L."},{"family":"Cannon","given":"Aubrey"}],"issued":{"date-parts":[["2011",11,15]]},"citation-key":"moss_2011"}}],"schema":"https://github.com/citation-style-language/schema/raw/master/csl-citation.json"} </w:instrText>
      </w:r>
      <w:r w:rsidRPr="009867C1">
        <w:fldChar w:fldCharType="separate"/>
      </w:r>
      <w:r w:rsidR="0042141C" w:rsidRPr="009867C1">
        <w:t>(Moss &amp; Cannon, 2011)</w:t>
      </w:r>
      <w:r w:rsidRPr="009867C1">
        <w:fldChar w:fldCharType="end"/>
      </w:r>
      <w:r w:rsidRPr="009867C1">
        <w:t xml:space="preserve">, as well as in the Salish Sea and Puget </w:t>
      </w:r>
      <w:r w:rsidR="00390945">
        <w:t>S</w:t>
      </w:r>
      <w:r w:rsidRPr="009867C1">
        <w:t xml:space="preserve">ound </w:t>
      </w:r>
      <w:r w:rsidRPr="009867C1">
        <w:fldChar w:fldCharType="begin"/>
      </w:r>
      <w:r w:rsidR="00AC0205">
        <w:instrText xml:space="preserve"> ADDIN ZOTERO_ITEM CSL_CITATION {"citationID":"0JZe2Xwv","properties":{"formattedCitation":"(Murray, 2008)","plainCitation":"(Murray, 2008)","noteIndex":0},"citationItems":[{"id":2415,"uris":["http://zotero.org/users/2189142/items/4J6TWXKJ"],"itemData":{"id":2415,"type":"book","event-place":"Delta, B.C.","ISBN":"978-0-9780088-2-6","language":"English","publisher":"Nature Guides B.C.","publisher-place":"Delta, B.C.","source":"Amazon","title":"Tracing Our Past: A Heritage Guide to Boundary Bay","title-short":"Tracing Our Past","author":[{"family":"Murray","given":"Anne"}],"issued":{"date-parts":[["2008",1,1]]},"citation-key":"murray_2008"}}],"schema":"https://github.com/citation-style-language/schema/raw/master/csl-citation.json"} </w:instrText>
      </w:r>
      <w:r w:rsidRPr="009867C1">
        <w:fldChar w:fldCharType="separate"/>
      </w:r>
      <w:r w:rsidR="0042141C" w:rsidRPr="009867C1">
        <w:t>(Murray, 2008)</w:t>
      </w:r>
      <w:r w:rsidRPr="009867C1">
        <w:fldChar w:fldCharType="end"/>
      </w:r>
      <w:r w:rsidRPr="009867C1">
        <w:t xml:space="preserve">. </w:t>
      </w:r>
      <w:r w:rsidR="00584DA0">
        <w:t>These s</w:t>
      </w:r>
      <w:r w:rsidRPr="009867C1">
        <w:t xml:space="preserve">almon </w:t>
      </w:r>
      <w:r w:rsidR="00584DA0">
        <w:t>fisheries</w:t>
      </w:r>
      <w:r w:rsidRPr="009867C1">
        <w:t xml:space="preserve"> were managed through a diverse mixture of cultural, spiritual, and institutional practices, including selective fishing technologies, harvest techniques, and sophisticated systems of tenure management </w:t>
      </w:r>
      <w:r w:rsidRPr="009867C1">
        <w:fldChar w:fldCharType="begin"/>
      </w:r>
      <w:r w:rsidR="00AC0205">
        <w:instrText xml:space="preserve"> ADDIN ZOTERO_ITEM CSL_CITATION {"citationID":"LYV57rdc","properties":{"formattedCitation":"(Atlas et al., 2021; Ryan, 2014)","plainCitation":"(Atlas et al., 2021; Ryan, 2014)","noteIndex":0},"citationItems":[{"id":2423,"uris":["http://zotero.org/users/2189142/items/PLJBHUU6"],"itemData":{"id":2423,"type":"article-journal","abstract":"Pacific salmon (Oncorhynchus spp.) are at the center of social–ecological systems that have supported Indigenous peoples around the North Pacific Rim since time immemorial. Through generations of interdependence with salmon, Indigenous Peoples developed sophisticated systems of management involving cultural and spiritual beliefs, and stewardship practices. Colonization radically altered these social–ecological systems, disrupting Indigenous management, consolidating authority within colonial governments, and moving most harvest into mixed-stock fisheries. We review Indigenous management of salmon, including selective fishing technologies, harvest practices, and governance grounded in multigenerational place-based knowledge. These systems and practices showcase pathways for sustained productivity and resilience in contemporary salmon fisheries. Contrasting Indigenous systems with contemporary management, we document vulnerabilities of colonial governance and harvest management that have contributed to declining salmon fisheries in many locations. We suggest that revitalizing traditional systems of salmon management can improve prospects for sustainable fisheries and healthy fishing communities and identify opportunities for their resurgence.","container-title":"BioScience","DOI":"10.1093/biosci/biaa144","ISSN":"0006-3568","issue":"2","journalAbbreviation":"BioScience","page":"186-204","source":"Silverchair","title":"Indigenous Systems of Management for Culturally and Ecologically Resilient Pacific Salmon (Oncorhynchus spp.) Fisheries","volume":"71","author":[{"family":"Atlas","given":"William I"},{"family":"Ban","given":"Natalie C"},{"family":"Moore","given":"Jonathan W"},{"family":"Tuohy","given":"Adrian M"},{"family":"Greening","given":"Spencer"},{"family":"Reid","given":"Andrea J"},{"family":"Morven","given":"Nicole"},{"family":"White","given":"Elroy"},{"family":"Housty","given":"William G"},{"family":"Housty","given":"Jess A"},{"family":"Service","given":"Christina N"},{"family":"Greba","given":"Larry"},{"family":"Harrison","given":"Sam"},{"family":"Sharpe","given":"Ciara"},{"family":"Butts","given":"Katherine I R"},{"family":"Shepert","given":"William M"},{"family":"Sweeney-Bergen","given":"Elissa"},{"family":"Macintyre","given":"Donna"},{"family":"Sloat","given":"Matthew R"},{"family":"Connors","given":"Katrina"}],"issued":{"date-parts":[["2021",2,1]]},"citation-key":"atlas_2021a"}},{"id":1146,"uris":["http://zotero.org/users/2189142/items/KUCWUXGB"],"itemData":{"id":1146,"type":"thesis","publisher":"University of British Columbia","source":"Google Scholar","title":"Territorial jurisdiction: the cultural and economic significance of eulachon Thaleichthys pacificus in the north-central coast region of British Columbia","title-short":"Territorial jurisdiction","URL":"https://open.library.ubc.ca/collections/ubctheses/24/items/1.0167417","author":[{"family":"Ryan","given":"Teresa Loa"}],"accessed":{"date-parts":[["2016",10,23]]},"issued":{"date-parts":[["2014"]]},"citation-key":"ryan_2014"}}],"schema":"https://github.com/citation-style-language/schema/raw/master/csl-citation.json"} </w:instrText>
      </w:r>
      <w:r w:rsidRPr="009867C1">
        <w:fldChar w:fldCharType="separate"/>
      </w:r>
      <w:r w:rsidR="0042141C" w:rsidRPr="009867C1">
        <w:t>(Atlas et al., 2021; Ryan, 2014)</w:t>
      </w:r>
      <w:r w:rsidRPr="009867C1">
        <w:fldChar w:fldCharType="end"/>
      </w:r>
      <w:r w:rsidRPr="009867C1">
        <w:t xml:space="preserve">, all of which co-evolved with salmon over </w:t>
      </w:r>
      <w:r w:rsidR="00DD7960" w:rsidRPr="009867C1">
        <w:t>a</w:t>
      </w:r>
      <w:r w:rsidRPr="009867C1">
        <w:t xml:space="preserve"> long period of direct observation and </w:t>
      </w:r>
      <w:r w:rsidR="003E3831">
        <w:t xml:space="preserve">led to </w:t>
      </w:r>
      <w:r w:rsidRPr="009867C1">
        <w:t xml:space="preserve">sustainable practices lasting thousands of years.  </w:t>
      </w:r>
    </w:p>
    <w:p w14:paraId="1B64F097" w14:textId="1697BA7C" w:rsidR="008832BF" w:rsidRPr="009867C1" w:rsidRDefault="008832BF" w:rsidP="008832BF">
      <w:pPr>
        <w:ind w:firstLine="720"/>
      </w:pPr>
      <w:r w:rsidRPr="009867C1">
        <w:t xml:space="preserve">Around the Pacific Rim, these productive fisheries were encountered by early colonial explorers and </w:t>
      </w:r>
      <w:r w:rsidR="003E3831">
        <w:t xml:space="preserve">salmon </w:t>
      </w:r>
      <w:r w:rsidRPr="009867C1">
        <w:t xml:space="preserve">quickly became a resource of major international interest. Cederholm et al. </w:t>
      </w:r>
      <w:r w:rsidR="00670AA0" w:rsidRPr="009867C1">
        <w:fldChar w:fldCharType="begin"/>
      </w:r>
      <w:r w:rsidR="00AC0205">
        <w:instrText xml:space="preserve"> ADDIN ZOTERO_ITEM CSL_CITATION {"citationID":"CeP3lH5G","properties":{"formattedCitation":"(Cederholm et al., 1999a)","plainCitation":"(Cederholm et al., 1999a)","dontUpdate":true,"noteIndex":0},"citationItems":[{"id":"Mdw2eqP8/FA1yDfQ8","uris":["http://zotero.org/users/2189142/items/9G6FI4HK"],"itemData":{"id":"b74Ukn2w/DwrjWq5s","type":"article-journal","title":"Pacific Salmon Carcasses: Essential Contributions of Nutrients and Energy for Aquatic and Terrestrial Ecosystems","container-title":"Fisheries","page":"6-15","volume":"24","issue":"10","source":"Taylor and Francis+NEJM","abstract":"Pacific salmon and other anadromous salmonids represent a major vector for transporting marine nutrients across ecosystem boundaries (i.e., from marine to freshwater and terrestrial ecosystems). Salmon carcasses provide nutrients and energy to biota within aquatic and terrestrial ecosystems through various pathways. In this paper we review and synthesize the growing number of studies documenting this process in different localities. We also discuss the implications for maintaining the nutrient feedback system. Our findings show that future management will need to view spawning salmon and their carcasses as important habitat components for sustaining the production of fish as well as other salmon-dependent species within watersheds.","DOI":"10.1577/1548-8446(1999)024&lt;0006:PSC&gt;2.0.CO;2","ISSN":"0363-2415","shortTitle":"Pacific Salmon Carcasses","author":[{"family":"Cederholm","given":"C. Jeff"},{"family":"Kunze","given":"Matt D."},{"family":"Murota","given":"Takeshi"},{"family":"Sibatani","given":"Atuhiro"}],"issued":{"date-parts":[["1999",10,1]]}}}],"schema":"https://github.com/citation-style-language/schema/raw/master/csl-citation.json"} </w:instrText>
      </w:r>
      <w:r w:rsidR="00670AA0" w:rsidRPr="009867C1">
        <w:fldChar w:fldCharType="separate"/>
      </w:r>
      <w:r w:rsidR="00670AA0" w:rsidRPr="009867C1">
        <w:rPr>
          <w:sz w:val="22"/>
        </w:rPr>
        <w:t>(1999a)</w:t>
      </w:r>
      <w:r w:rsidR="00670AA0" w:rsidRPr="009867C1">
        <w:fldChar w:fldCharType="end"/>
      </w:r>
      <w:r w:rsidR="00670AA0">
        <w:t xml:space="preserve"> </w:t>
      </w:r>
      <w:r w:rsidRPr="009867C1">
        <w:t xml:space="preserve">cite observations from the Russian explorer V.K. Arseniev from 1906 visits to streams around the Sea of Japan, and colonial histories from the Salish </w:t>
      </w:r>
      <w:r w:rsidR="00390945">
        <w:t>S</w:t>
      </w:r>
      <w:r w:rsidRPr="009867C1">
        <w:t xml:space="preserve">ea document sophisticated large-scale fisheries that became foci of colonial settlement </w:t>
      </w:r>
      <w:r w:rsidRPr="009867C1">
        <w:fldChar w:fldCharType="begin"/>
      </w:r>
      <w:r w:rsidR="00AC0205">
        <w:instrText xml:space="preserve"> ADDIN ZOTERO_ITEM CSL_CITATION {"citationID":"TCkUSN78","properties":{"formattedCitation":"(Morin, 2021)","plainCitation":"(Morin, 2021)","noteIndex":0},"citationItems":[{"id":2586,"uris":["http://zotero.org/users/2189142/items/H82NRVXX"],"itemData":{"id":2586,"type":"motion_picture","abstract":"Speaker: Dr. Jesse Morin\nMarch 26, 2021","dimensions":"57:14","source":"YouTube","title":"New Insights Into Pre-Contact Coast Salish Salmon Fisheries and Implications for Modern Stewardship","URL":"https://www.youtube.com/watch?v=QseIGs3ozyw&amp;t=2298s","author":[{"family":"Morin","given":"Jesse"}],"accessed":{"date-parts":[["2021",4,9]]},"issued":{"date-parts":[["2021",3,26]]},"citation-key":"morin_2021"}}],"schema":"https://github.com/citation-style-language/schema/raw/master/csl-citation.json"} </w:instrText>
      </w:r>
      <w:r w:rsidRPr="009867C1">
        <w:fldChar w:fldCharType="separate"/>
      </w:r>
      <w:r w:rsidR="0042141C" w:rsidRPr="009867C1">
        <w:t>(Morin, 2021)</w:t>
      </w:r>
      <w:r w:rsidRPr="009867C1">
        <w:fldChar w:fldCharType="end"/>
      </w:r>
      <w:r w:rsidRPr="009867C1">
        <w:t xml:space="preserve">. Colonialism and the triple innovations of canning, rail and steamship dispossessed first peoples of these resources and connected salmon fisheries </w:t>
      </w:r>
      <w:r w:rsidR="00584DA0">
        <w:t>to both</w:t>
      </w:r>
      <w:r w:rsidRPr="009867C1">
        <w:t xml:space="preserve"> </w:t>
      </w:r>
      <w:r w:rsidR="00584DA0">
        <w:t>global</w:t>
      </w:r>
      <w:r w:rsidRPr="009867C1">
        <w:t xml:space="preserve"> markets and </w:t>
      </w:r>
      <w:r w:rsidR="00584DA0">
        <w:t xml:space="preserve">global </w:t>
      </w:r>
      <w:r w:rsidRPr="009867C1">
        <w:t xml:space="preserve">capital </w:t>
      </w:r>
      <w:r w:rsidRPr="009867C1">
        <w:fldChar w:fldCharType="begin"/>
      </w:r>
      <w:r w:rsidR="00AC0205">
        <w:instrText xml:space="preserve"> ADDIN ZOTERO_ITEM CSL_CITATION {"citationID":"DoyNWhxW","properties":{"formattedCitation":"(C. Harris, 2001, 2004)","plainCitation":"(C. Harris, 2001, 2004)","noteIndex":0},"citationItems":[{"id":2585,"uris":["http://zotero.org/users/2189142/items/Q6MRXUK3"],"itemData":{"id":2585,"type":"article-journal","abstract":"The emphasis on culture in studies of colonialism tends to obscure other forms of colonial power while making it impossible to contextualize the cultural argument and assess its salience. Rather than focusing on texts, systems of signification, and procedures of knowledge generation, as the colonial discourse literature is wont to do, a fuller understanding of colonial powers is achieved by explaining colonialism's basic geographical dispossessions of the colonized. In so doing, the issue of power is not prejudged and the particular roles of different modes and theories of colonial power come into focus. I explore these propositions by considering the powers underlying the reserve (reservation) system in British Columbia, a system that, by allocating a tiny fraction of the land to native people and opening the rest for development, facilitated the geographical reorganization of the province. My conclusions are these: the initial ability to dispossess rested primarily on physical power and the supporting infrastructure of the state; the momentum to dispossess derived from the interest of capital in profit and of settlers in forging new livelihoods; the legitimation of and moral justification for dispossession lay in a cultural discourse that located civilization and savagery and identified the land uses associated with each; and the management of dispossession rested with a set of disciplinary technologies of which maps, numbers, law, and the geography of resettlement itself were the most important. Although no one body of theory explains colonial power, several theoretical perspectives yield crucial insights.","container-title":"Annals of the Association of American Geographers","DOI":"10.1111/j.1467-8306.2004.09401009.x","ISSN":"0004-5608","issue":"1","note":"publisher: Routledge\n_eprint: https://doi.org/10.1111/j.1467-8306.2004.09401009.x","page":"165-182","source":"Taylor and Francis+NEJM","title":"How Did Colonialism Dispossess? Comments from an Edge of Empire","title-short":"How Did Colonialism Dispossess?","volume":"94","author":[{"family":"Harris","given":"Cole"}],"issued":{"date-parts":[["2004",3,1]]},"citation-key":"harris_2004"}},{"id":2584,"uris":["http://zotero.org/users/2189142/items/PYMQKYC6"],"itemData":{"id":2584,"type":"book","abstract":"An engrossing history, Fish, Law, and Colonialism recounts the human conflict over fish and fishing in British Columbia and of how that conflict was shaped by law. Pacific salmon fisheries, owned and managed by Aboriginal peoples, were transformed in the late nineteenth and early twentieth centuries by commercial and sport fisheries backed by the Canadian state and its law. Through detailed case studies of the conflicts over fish weirs on the Cowichan and Babine rivers, Douglas Harris describes the evolving legal apparatus that dispossessed Aboriginal peoples of their fisheries. Building upon themes developed in literatures on state law and local custom, and law and colonialism, he examines the contested nature of the colonial encounter on the scale of a river. In doing so, Harris reveals the many divisions both within and between government departments, local settler societies, and Aboriginal communities. Drawing on government records, statute books, case reports, newspapers, missionary papers and a secondary anthropological literature to explore the roots of the continuing conflict over the salmon fishery, Harris has produced a superb, and timely, legal and historical study of law as contested terrain in the legal capture of Aboriginal salmon fisheries in British Columbia.","ISBN":"978-0-8020-8453-8","language":"en","number-of-pages":"324","publisher":"University of Toronto Press","source":"Google Books","title":"Fish, Law, and Colonialism: The Legal Capture of Salmon in British Columbia","title-short":"Fish, Law, and Colonialism","author":[{"family":"Harris","given":"Cole"}],"issued":{"date-parts":[["2001",1,1]]},"citation-key":"harris_2001"}}],"schema":"https://github.com/citation-style-language/schema/raw/master/csl-citation.json"} </w:instrText>
      </w:r>
      <w:r w:rsidRPr="009867C1">
        <w:fldChar w:fldCharType="separate"/>
      </w:r>
      <w:r w:rsidR="0042141C" w:rsidRPr="009867C1">
        <w:t>(C. Harris, 2001, 2004)</w:t>
      </w:r>
      <w:r w:rsidRPr="009867C1">
        <w:fldChar w:fldCharType="end"/>
      </w:r>
      <w:r w:rsidRPr="009867C1">
        <w:t xml:space="preserve">. </w:t>
      </w:r>
      <w:r w:rsidR="00584DA0">
        <w:t>With</w:t>
      </w:r>
      <w:r w:rsidRPr="009867C1">
        <w:t xml:space="preserve"> the emergence of a </w:t>
      </w:r>
      <w:r w:rsidR="00584DA0">
        <w:t xml:space="preserve">booming </w:t>
      </w:r>
      <w:r w:rsidRPr="009867C1">
        <w:t>global trade in Pacific salmon flesh</w:t>
      </w:r>
      <w:r w:rsidR="00584DA0">
        <w:t>, c</w:t>
      </w:r>
      <w:r w:rsidR="00584DA0" w:rsidRPr="009867C1">
        <w:t>anneries spread up and down the coast</w:t>
      </w:r>
      <w:r w:rsidRPr="009867C1">
        <w:t xml:space="preserve"> </w:t>
      </w:r>
      <w:r w:rsidRPr="009867C1">
        <w:fldChar w:fldCharType="begin"/>
      </w:r>
      <w:r w:rsidR="00AC0205">
        <w:instrText xml:space="preserve"> ADDIN ZOTERO_ITEM CSL_CITATION {"citationID":"UrAWdlLI","properties":{"formattedCitation":"(McKervill, 1992)","plainCitation":"(McKervill, 1992)","noteIndex":0},"citationItems":[{"id":2401,"uris":["http://zotero.org/users/2189142/items/UDP8C3KJ"],"itemData":{"id":2401,"type":"book","event-place":"Vancouver","ISBN":"978-1-55110-017-3","language":"English","publisher":"Whitecap Books Ltd","publisher-place":"Vancouver","source":"Amazon","title":"Salmon People","author":[{"family":"McKervill","given":"H."}],"issued":{"date-parts":[["1992",6,1]]},"citation-key":"mckervill_1992"}}],"schema":"https://github.com/citation-style-language/schema/raw/master/csl-citation.json"} </w:instrText>
      </w:r>
      <w:r w:rsidRPr="009867C1">
        <w:fldChar w:fldCharType="separate"/>
      </w:r>
      <w:r w:rsidR="0042141C" w:rsidRPr="009867C1">
        <w:t>(McKervill, 1992)</w:t>
      </w:r>
      <w:r w:rsidRPr="009867C1">
        <w:fldChar w:fldCharType="end"/>
      </w:r>
      <w:r w:rsidRPr="009867C1">
        <w:t xml:space="preserve">, and over a century-long period this industry drove many stocks to extinction or close to it </w:t>
      </w:r>
      <w:r w:rsidRPr="009867C1">
        <w:fldChar w:fldCharType="begin"/>
      </w:r>
      <w:r w:rsidR="00AC0205">
        <w:instrText xml:space="preserve"> ADDIN ZOTERO_ITEM CSL_CITATION {"citationID":"Vh4VDHFl","properties":{"formattedCitation":"(Lichatowich &amp; Lichatowich, 2001)","plainCitation":"(Lichatowich &amp; Lichatowich, 2001)","noteIndex":0},"citationItems":[{"id":1147,"uris":["http://zotero.org/users/2189142/items/682C7ARK"],"itemData":{"id":1147,"type":"book","publisher":"Island Press","source":"Google Scholar","title":"Salmon without rivers: a history of the Pacific salmon crisis","title-short":"Salmon without rivers","URL":"https://books.google.ca/books?hl=en&amp;lr=&amp;id=TXGB-5KhZrIC&amp;oi=fnd&amp;pg=PA1&amp;dq=Salmon+without+rivers:+A+history+of+the+Pacific+salmon+crisi&amp;ots=jmf9BaNc0q&amp;sig=NnEfjiprrxm0snqG9DiD728knWk","author":[{"family":"Lichatowich","given":"Jim"},{"family":"Lichatowich","given":"James A."}],"accessed":{"date-parts":[["2016",10,23]]},"issued":{"date-parts":[["2001"]]},"citation-key":"lichatowich_2001"}}],"schema":"https://github.com/citation-style-language/schema/raw/master/csl-citation.json"} </w:instrText>
      </w:r>
      <w:r w:rsidRPr="009867C1">
        <w:fldChar w:fldCharType="separate"/>
      </w:r>
      <w:r w:rsidR="0042141C" w:rsidRPr="009867C1">
        <w:t>(Lichatowich &amp; Lichatowich, 2001)</w:t>
      </w:r>
      <w:r w:rsidRPr="009867C1">
        <w:fldChar w:fldCharType="end"/>
      </w:r>
      <w:r w:rsidRPr="009867C1">
        <w:t>. Changing political economies of the 20</w:t>
      </w:r>
      <w:r w:rsidRPr="009867C1">
        <w:rPr>
          <w:vertAlign w:val="superscript"/>
        </w:rPr>
        <w:t>th</w:t>
      </w:r>
      <w:r w:rsidRPr="009867C1">
        <w:t xml:space="preserve"> century led to</w:t>
      </w:r>
      <w:r w:rsidR="00584DA0">
        <w:t xml:space="preserve"> a process of</w:t>
      </w:r>
      <w:r w:rsidRPr="009867C1">
        <w:t xml:space="preserve"> industry consolidation </w:t>
      </w:r>
      <w:r w:rsidRPr="009867C1">
        <w:fldChar w:fldCharType="begin"/>
      </w:r>
      <w:r w:rsidR="00AC0205">
        <w:instrText xml:space="preserve"> ADDIN ZOTERO_ITEM CSL_CITATION {"citationID":"yfYBwpkF","properties":{"formattedCitation":"(Haas et al., 2016; Hayward, 1981; Millerd, 2004)","plainCitation":"(Haas et al., 2016; Hayward, 1981; Millerd, 2004)","noteIndex":0},"citationItems":[{"id":2374,"uris":["http://zotero.org/users/2189142/items/KYNE62X6"],"itemData":{"id":2374,"type":"article-journal","abstract":"Distribution and associated concentration of access rights are critically important in assessing the functioning and benefits of a fishery, and understanding who controls access to fisheries is therefore of ever increasing importance. There is a growing dependence on market-based approaches that in turn rely on healthy, functioning markets to achieve economic outcomes. As well, social goals of equity and fairness in fisheries have re-emerged as priorities alongside the goals of ecological sustainability and economic efficiency. This study aims to address the past and present state of the concentration of fishing licenses in British Columbia's salmon and herring fisheries. Fisheries administrative data from federal and provincial data sets were mined to develop a timeline of fisheries ownership and control over a twenty-year period. Hidden corporate ownership of licenses through subsidiaries was identified and comprehensive criteria were co-identified with industry representatives to characterize the various user groups of fisheries licenses. Our analysis suggests that from 1993 to 2012, there was a notable shift in the ownership profile of salmon and herring licenses, with a marked increase in concentration of licenses owned by fish processors.","container-title":"Marine Policy","DOI":"10.1016/j.marpol.2016.02.019","ISSN":"0308-597X","journalAbbreviation":"Marine Policy","language":"en","page":"83-90","source":"ScienceDirect","title":"Corporate concentration and processor control: Insights from the salmon and herring fisheries in British Columbia","title-short":"Corporate concentration and processor control","volume":"68","author":[{"family":"Haas","given":"Andrea R."},{"family":"Edwards","given":"Danielle N."},{"family":"Sumaila","given":"U. Rashid"}],"issued":{"date-parts":[["2016",6,1]]},"citation-key":"haas_2016"}},{"id":2370,"uris":["http://zotero.org/users/2189142/items/Y6H2GRFE"],"itemData":{"id":2370,"type":"thesis","abstract":"The thesis investigates the emergence of capitalist relations of production in the British Columbia salmon fishery, and compares this experience to those relations of production which developed in the British textile and United States steel industries.\nThe development of the wage employee relations of production in the British textile industry, of the late 18th and early 19th centuries, was found to be a resolution to the problem capitalists' experienced in attempting to gain control of production in what was known as the 'putting out' system. The adoption of the wage employee system was facilitated by the invention and introduction of technology appropriate to allow production to be centralized in factories. This meant that production could now be carried out by a class of wage labourers, possessing minimal skills, their tasks fractured into technical divisions of labour, and their production and time under the control of the mill owners.\nIn the U.S. steel industry production was originally under the control and authority of skilled workers who contracted their labour, as a production unit, to the steel mill owners. This system was characterized as a co-operative endeavour where labour and capital were equal partners. In the last decade of the 19th century the availability of technological improvements to the steel making process allowed mill owners to smash these relations of production. In their place were created a highly stratified division of labour in which formerly skilled processes were deskilled, artificial job ladders were created to differentiate and individualize workers, and a wage incentive scheme adopted.\nThe effect was that workers were encouraged to think of their place in the process of production in individual and opportunistic terms. In both the textile and steel industries\nthe change in the relations of production, to a system of wage labour, marked the success of the capitalist challenge for control of the process of production.\nIn the B.C. salmon fishery the relations of production developed in quite the opposite direction. From 1870, when salmon canning first became a commercial venture on the Fraser River, until approximately 1894, the relations of production were centered around wage labour. The thesis argues that this arrangement reflected the fact that the fishing labour force was made up almost totally of native indians, and that these people were not culturally attuned to competitive motivations to capture as many salmon as possible.\nBy the late 1880s the canning industry was becoming increasingly competitive. As well; a non-native labour force was becoming available, some members of which had taken up fishing. Some of these non-natives had acquired fishing licences which were independent from the canneries, but to whom they sold their fish on the basis of a piece-rate contract. A licence limitation program was instituted in 1889 which forced canneries to rely heavily upon this independent sector of the fishing workforce. These factors were mainly responsible for creating the conditions under which relations of independent commodity production became adopted. When the licence limitation program was abandoned in 1892, and the supply of fishing labour burgeoned, canners found it to their advantage to allow the common property situation of the resource\nto effect its influence upon the motivation to catch salmon. With no restrictions\non entry to 'the commons' to engage in the salmon harvest, the workers, in their competitive relationship with each other, were motivated to catch as many fish as possible. This in turn depressed the value of their production. The situation was one which has been characterized as 'The Great Law of Fishing - Fisheries that are unlimited\nbecome unprofitable'. Unlike the textile and steel industries, it was not the capitalist\ncontrol of the relations of production which created the motivation to capture salmon. Instead it was a consequence of the resource being common to all who wished to participate in its exploitation.\nThe thesis goes on to explain the initiatives taken on the part of capital, in the consolidation of the processing sector in 1902. It was argued that as well as this being an effort to rationalize the efficiency of production at the processing level, it also was an attempt on capital's part to gain oligopsonistic control over price and supply of raw salmon.\nThe failure of capitalist interests to adopt stationary capture techniques has been argued to be primarily due to legislative prohibition, as well as due to the significant practical competition provided by the well established mobile capture fleets of salmon gillnetters. However, this did not prevent canneries from utilizing stationary capture sources in the United States, when fishermen's strikes threatened their supplies of Fraser River salmon.","language":"eng","note":"DOI: 10.14288/1.0094868","publisher":"University of British Columbia","source":"open.library.ubc.ca","title":"The Development of Relations of Production in the British Columbia Salmon Fishery","URL":"https://open.library.ubc.ca/cIRcle/collections/ubctheses/831/items/1.0094868","author":[{"family":"Hayward","given":"Brian"}],"accessed":{"date-parts":[["2021",3,26]]},"issued":{"date-parts":[["1981"]]},"citation-key":"hayward_1981"}},{"id":2372,"uris":["http://zotero.org/users/2189142/items/JUSGZ6PK"],"itemData":{"id":2372,"type":"article-journal","source":"Google Scholar","title":"Expansion and Consolidation in The British Columbia Salmon Processing Industry","author":[{"family":"Millerd","given":"Frank"}],"issued":{"date-parts":[["2004"]]},"citation-key":"millerd_2004"}}],"schema":"https://github.com/citation-style-language/schema/raw/master/csl-citation.json"} </w:instrText>
      </w:r>
      <w:r w:rsidRPr="009867C1">
        <w:fldChar w:fldCharType="separate"/>
      </w:r>
      <w:r w:rsidR="0042141C" w:rsidRPr="009867C1">
        <w:t>(Haas et al., 2016; Hayward, 1981; Millerd, 2004)</w:t>
      </w:r>
      <w:r w:rsidRPr="009867C1">
        <w:fldChar w:fldCharType="end"/>
      </w:r>
      <w:r w:rsidRPr="009867C1">
        <w:t xml:space="preserve"> and globalization </w:t>
      </w:r>
      <w:r w:rsidRPr="009867C1">
        <w:fldChar w:fldCharType="begin"/>
      </w:r>
      <w:r w:rsidR="00AC0205">
        <w:instrText xml:space="preserve"> ADDIN ZOTERO_ITEM CSL_CITATION {"citationID":"onVSUQR4","properties":{"formattedCitation":"(W. W. Taylor &amp; Leonard, 2007)","plainCitation":"(W. W. Taylor &amp; Leonard, 2007)","noteIndex":0},"citationItems":[{"id":2369,"uris":["http://zotero.org/users/2189142/items/EDJNICAY"],"itemData":{"id":2369,"type":"article-journal","container-title":"Globalization: Effects on Fisheries Resources","note":"publisher: Cambridge University Press","page":"291","source":"Google Scholar","title":"The influence of globalization on the sustainability of the North American Pacific salmon fisheries","author":[{"family":"Taylor","given":"WILLIAM W."},{"family":"Leonard","given":"NANCY J."}],"issued":{"date-parts":[["2007"]]},"citation-key":"taylor_2007"}}],"schema":"https://github.com/citation-style-language/schema/raw/master/csl-citation.json"} </w:instrText>
      </w:r>
      <w:r w:rsidRPr="009867C1">
        <w:fldChar w:fldCharType="separate"/>
      </w:r>
      <w:r w:rsidR="0042141C" w:rsidRPr="009867C1">
        <w:t>(W. W. Taylor &amp; Leonard, 2007)</w:t>
      </w:r>
      <w:r w:rsidRPr="009867C1">
        <w:fldChar w:fldCharType="end"/>
      </w:r>
      <w:r w:rsidRPr="009867C1">
        <w:t>; the</w:t>
      </w:r>
      <w:r w:rsidR="00A41595">
        <w:t xml:space="preserve"> resultant</w:t>
      </w:r>
      <w:r w:rsidRPr="009867C1">
        <w:t xml:space="preserve"> ‘managed decline’ </w:t>
      </w:r>
      <w:r w:rsidRPr="009867C1">
        <w:fldChar w:fldCharType="begin"/>
      </w:r>
      <w:r w:rsidR="00AC0205">
        <w:instrText xml:space="preserve"> ADDIN ZOTERO_ITEM CSL_CITATION {"citationID":"j5BFbQI1","properties":{"formattedCitation":"(Walters et al., 2019)","plainCitation":"(Walters et al., 2019)","noteIndex":0},"citationItems":[{"id":2371,"uris":["http://zotero.org/users/2189142/items/I2JWE5IM"],"itemData":{"id":2371,"type":"article-journal","abstract":"Commercial salmon harvests have declined dramatically for all Pacific salmon species in British Columbia, mainly over the period 1995–2000. Much of this decline is attributable to declining abundance, but some of it has been due to deliberate reduction in allowable exploitation rates. Various reasons have been given for this reduction, but the main rationale appears to have been concern about declines in a few relatively small and unproductive stocks that are intercepted in mixed-stock fisheries. Reductions in exploitation rate have generally not been followed by the increases in stock size that would be expected if overfishing had been the main cause of the declines. Current procedures for setting exploitation rate goals do not appear to involve explicit analysis of the risk-reward trade off relationship between mixed stock exploitation rates and yields.","container-title":"Marine Policy","DOI":"10.1016/j.marpol.2018.12.014","ISSN":"0308-597X","journalAbbreviation":"Marine Policy","language":"en","page":"25-32","source":"ScienceDirect","title":"The managed decline of British Columbia's commercial salmon fishery","volume":"101","author":[{"family":"Walters","given":"Carl"},{"family":"English","given":"Karl"},{"family":"Korman","given":"Josh"},{"family":"Hilborn","given":"Ray"}],"issued":{"date-parts":[["2019",3,1]]},"citation-key":"walters_2019"}}],"schema":"https://github.com/citation-style-language/schema/raw/master/csl-citation.json"} </w:instrText>
      </w:r>
      <w:r w:rsidRPr="009867C1">
        <w:fldChar w:fldCharType="separate"/>
      </w:r>
      <w:r w:rsidR="0042141C" w:rsidRPr="009867C1">
        <w:t>(Walters et al., 2019)</w:t>
      </w:r>
      <w:r w:rsidRPr="009867C1">
        <w:fldChar w:fldCharType="end"/>
      </w:r>
      <w:r w:rsidRPr="009867C1">
        <w:t xml:space="preserve"> of salmon populations propelled a shift from wild fishing to Atlantic salmon (</w:t>
      </w:r>
      <w:r w:rsidRPr="009867C1">
        <w:rPr>
          <w:i/>
        </w:rPr>
        <w:t>Salmo salar</w:t>
      </w:r>
      <w:r w:rsidRPr="009867C1">
        <w:t xml:space="preserve">) aquaculture </w:t>
      </w:r>
      <w:r w:rsidRPr="009867C1">
        <w:fldChar w:fldCharType="begin"/>
      </w:r>
      <w:r w:rsidR="00AC0205">
        <w:instrText xml:space="preserve"> ADDIN ZOTERO_ITEM CSL_CITATION {"citationID":"0sXEIE24","properties":{"formattedCitation":"(Naylor et al., 2003)","plainCitation":"(Naylor et al., 2003)","noteIndex":0},"citationItems":[{"id":2656,"uris":["http://zotero.org/users/2189142/items/PVRHUU6A"],"itemData":{"id":2656,"type":"article-journal","container-title":"Environment: Science and Policy for Sustainable Development","issue":"8","note":"publisher: Taylor &amp; Francis","page":"18–39","source":"Google Scholar","title":"Salmon aquaculture in the Pacific Northwest a global industry with local impacts","volume":"45","author":[{"family":"Naylor","given":"Rosamond L."},{"family":"Eagle","given":"Josh"},{"family":"Smith","given":"Whitney L."}],"issued":{"date-parts":[["2003"]]},"citation-key":"naylor_2003"}}],"schema":"https://github.com/citation-style-language/schema/raw/master/csl-citation.json"} </w:instrText>
      </w:r>
      <w:r w:rsidRPr="009867C1">
        <w:fldChar w:fldCharType="separate"/>
      </w:r>
      <w:r w:rsidR="0042141C" w:rsidRPr="009867C1">
        <w:t>(Naylor et al., 2003)</w:t>
      </w:r>
      <w:r w:rsidRPr="009867C1">
        <w:fldChar w:fldCharType="end"/>
      </w:r>
      <w:r w:rsidRPr="009867C1">
        <w:t xml:space="preserve">, </w:t>
      </w:r>
      <w:r w:rsidR="00A41595">
        <w:t xml:space="preserve">an industry </w:t>
      </w:r>
      <w:r w:rsidRPr="009867C1">
        <w:t xml:space="preserve">which has further stressed wild salmon populations </w:t>
      </w:r>
      <w:r w:rsidRPr="009867C1">
        <w:fldChar w:fldCharType="begin"/>
      </w:r>
      <w:r w:rsidR="00AC0205">
        <w:instrText xml:space="preserve"> ADDIN ZOTERO_ITEM CSL_CITATION {"citationID":"GXOwvHHA","properties":{"formattedCitation":"(Cubitt et al., 2008; Ford &amp; Myers, 2008)","plainCitation":"(Cubitt et al., 2008; Ford &amp; Myers, 2008)","noteIndex":0},"citationItems":[{"id":2657,"uris":["http://zotero.org/users/2189142/items/9QUBEVCE"],"itemData":{"id":2657,"type":"chapter","abstract":"World-wide, aquaculture currently produces 43% of the world’s food for human consumption. In 2004, 106 million tonnes of food were consumed, of which 45.5 million tonnes and a value of $63 billion (US) was attributed to aquaculture (FAO 2006). Canada is the world’s 6th largest exporter of aquaculture products with a gross output of $785 million (CDN) in 2005 (Statistics Canada 2006). The contribution from British Columbia’s salmon aquaculture industry was 53,800 tonnes of Atlantic salmon, and 16,800 tonnes of Pacific salmon (British Columbia Ministry of Environment (BCMOE) and British Columbia Ministry of Agriculture and Lands (BCMAL, 2005).","collection-title":"The International Library of Environmental, Agricultural and Food Ethics","container-title":"Aquaculture, Innovation and Social Transformation","event-place":"Dordrecht","ISBN":"978-1-4020-8835-3","language":"en","note":"DOI: 10.1007/978-1-4020-8835-3_10","page":"123-162","publisher":"Springer Netherlands","publisher-place":"Dordrecht","source":"Springer Link","title":"A Synopsis of Environmental Issues Associated with Salmon Aquaculture in Canada","URL":"https://doi.org/10.1007/978-1-4020-8835-3_10","author":[{"family":"Cubitt","given":"Fiona"},{"family":"Butterworth","given":"Kevin"},{"family":"McKinley","given":"Robert Scott"}],"editor":[{"family":"Culver","given":"Keith"},{"family":"Castle","given":"David"}],"accessed":{"date-parts":[["2021",3,26]]},"issued":{"date-parts":[["2008"]]},"citation-key":"cubitt_2008"}},{"id":2655,"uris":["http://zotero.org/users/2189142/items/KISKWFRP"],"itemData":{"id":2655,"type":"article-journal","abstract":"Since the late 1980s, wild salmon catch and abundance have declined dramatically in the North Atlantic and in much of the northeastern Pacific south of Alaska. In these areas, there has been a concomitant increase in the production of farmed salmon. Previous studies have shown negative impacts on wild salmonids, but these results have been difficult to translate into predictions of change in wild population survival and abundance. We compared marine survival of salmonids in areas with salmon farming to adjacent areas without farms in Scotland, Ireland, Atlantic Canada, and Pacific Canada to estimate changes in marine survival concurrent with the growth of salmon aquaculture. Through a meta-analysis of existing data, we show a reduction in survival or abundance of Atlantic salmon; sea trout; and pink, chum, and coho salmon in association with increased production of farmed salmon. In many cases, these reductions in survival or abundance are greater than 50%. Meta-analytic estimates of the mean effect are significant and negative, suggesting that salmon farming has reduced survival of wild salmon and trout in many populations and countries.","container-title":"PLOS Biology","DOI":"10.1371/journal.pbio.0060033","ISSN":"1545-7885","issue":"2","journalAbbreviation":"PLOS Biology","language":"en","note":"publisher: Public Library of Science","page":"e33","source":"PLoS Journals","title":"A Global Assessment of Salmon Aquaculture Impacts on Wild Salmonids","volume":"6","author":[{"family":"Ford","given":"Jennifer S."},{"family":"Myers","given":"Ransom A."}],"issued":{"date-parts":[["2008",2,12]]},"citation-key":"ford_2008"}}],"schema":"https://github.com/citation-style-language/schema/raw/master/csl-citation.json"} </w:instrText>
      </w:r>
      <w:r w:rsidRPr="009867C1">
        <w:fldChar w:fldCharType="separate"/>
      </w:r>
      <w:r w:rsidR="0042141C" w:rsidRPr="009867C1">
        <w:t>(Cubitt et al., 2008; Ford &amp; Myers, 2008)</w:t>
      </w:r>
      <w:r w:rsidRPr="009867C1">
        <w:fldChar w:fldCharType="end"/>
      </w:r>
      <w:r w:rsidRPr="009867C1">
        <w:t>.</w:t>
      </w:r>
    </w:p>
    <w:p w14:paraId="0A6E8CF4" w14:textId="1B15FDB9" w:rsidR="008832BF" w:rsidRPr="009867C1" w:rsidRDefault="008832BF" w:rsidP="008832BF">
      <w:pPr>
        <w:ind w:firstLine="720"/>
      </w:pPr>
      <w:r w:rsidRPr="009867C1">
        <w:t xml:space="preserve">Today salmon are a diminishing resource whose exploitation is subject to negotiation and contestation between Russia, Canada, the United States, Japan, China, and other nations </w:t>
      </w:r>
      <w:r w:rsidRPr="009867C1">
        <w:fldChar w:fldCharType="begin"/>
      </w:r>
      <w:r w:rsidR="00AC0205">
        <w:instrText xml:space="preserve"> ADDIN ZOTERO_ITEM CSL_CITATION {"citationID":"aVgT9WDR","properties":{"formattedCitation":"(Noakes et al., 2005)","plainCitation":"(Noakes et al., 2005)","noteIndex":0},"citationItems":[{"id":2427,"uris":["http://zotero.org/users/2189142/items/FGFRR45G"],"itemData":{"id":2427,"type":"article-journal","abstract":"Negotiations on a Canada-US Pacific salmon treaty began in 1908 but the first comprehensive treaty was not achieved until 1985. At that time, catches and landed values in the salmon fishery were near record levels and both countries viewed the agreement as a means of enhancing their individual prosperity. After a short period of co-operation, the 1985 treaty was undermined by arguments over catch sharing and the failure to rebuild some important salmon stocks. A revised treaty, agreed upon in 1999, established conservation of salmon as a priority and included a side-payment, in the form of two endowment funds designed in part to appease Canadian concern over catch imbalances. Major shifts in abundances combined with significant reductions in the value of the fishery were key factors in the negotiations. In this paper, we use the graph model for conflict resolution to examine the stability of the revised salmon treaty. Our assessment suggests that the treaty will be stable if the side-payment is maintained or enhanced even if both countries pursue aggressive fishing strategies. If the side-payment is not maintained, then it is likely that all groups will attempt to maximize their catch and Canada will seek a renegotiation of the treaty.","container-title":"Group Decision and Negotiation","DOI":"10.1007/s10726-005-9005-7","ISSN":"1572-9907","issue":"6","journalAbbreviation":"Group Decis Negot","language":"en","page":"501-522","source":"Springer Link","title":"The Pacific Salmon Treaty: A Century of Debate and an Uncertain Future","title-short":"The Pacific Salmon Treaty","volume":"14","author":[{"family":"Noakes","given":"Donald J."},{"family":"Fang","given":"Liping"},{"family":"Hipel","given":"Keith W."},{"family":"Kilgour","given":"D. Marc"}],"issued":{"date-parts":[["2005",11,1]]},"citation-key":"noakes_2005"}}],"schema":"https://github.com/citation-style-language/schema/raw/master/csl-citation.json"} </w:instrText>
      </w:r>
      <w:r w:rsidRPr="009867C1">
        <w:fldChar w:fldCharType="separate"/>
      </w:r>
      <w:r w:rsidR="0042141C" w:rsidRPr="009867C1">
        <w:t>(Noakes et al., 2005)</w:t>
      </w:r>
      <w:r w:rsidRPr="009867C1">
        <w:fldChar w:fldCharType="end"/>
      </w:r>
      <w:r w:rsidRPr="009867C1">
        <w:t xml:space="preserve">. At a </w:t>
      </w:r>
      <w:r w:rsidR="003E747C">
        <w:t>regional</w:t>
      </w:r>
      <w:r w:rsidRPr="009867C1">
        <w:t xml:space="preserve"> level, </w:t>
      </w:r>
      <w:r w:rsidR="003E3831">
        <w:t xml:space="preserve">First Nations, </w:t>
      </w:r>
      <w:r w:rsidRPr="009867C1">
        <w:t xml:space="preserve">commercial fishers, </w:t>
      </w:r>
      <w:r w:rsidR="003E3831">
        <w:t xml:space="preserve">and </w:t>
      </w:r>
      <w:r w:rsidRPr="009867C1">
        <w:t xml:space="preserve">sport fishermen </w:t>
      </w:r>
      <w:r w:rsidR="009A46DC">
        <w:t>contend with</w:t>
      </w:r>
      <w:r w:rsidRPr="009867C1">
        <w:t xml:space="preserve"> declining fisheries stocks </w:t>
      </w:r>
      <w:r w:rsidRPr="009867C1">
        <w:fldChar w:fldCharType="begin"/>
      </w:r>
      <w:r w:rsidR="00AC0205">
        <w:instrText xml:space="preserve"> ADDIN ZOTERO_ITEM CSL_CITATION {"citationID":"aBYo0KOT","properties":{"formattedCitation":"(Powell, 2012; J. C. Walsh, Connors, et al., 2020)","plainCitation":"(Powell, 2012; J. C. Walsh, Connors, et al., 2020)","noteIndex":0},"citationItems":[{"id":2367,"uris":["http://zotero.org/users/2189142/items/FJTZ9HAZ"],"itemData":{"id":2367,"type":"article-journal","container-title":"Western Historical Quarterly","issue":"4","note":"publisher: Utah State University Press","page":"463–484","source":"Google Scholar","title":"Divided waters: Heiltsuk spatial management of herring fisheries and the politics of native sovereignty","title-short":"Divided waters","volume":"43","author":[{"family":"Powell","given":"Miles"}],"issued":{"date-parts":[["2012"]]},"citation-key":"powell_2012"}},{"id":"Mdw2eqP8/pFyaWGjs","uris":["http://zotero.org/users/2189142/items/3PMU7YSS"],"itemData":{"id":2407,"type":"article-journal","abstract":"Current investment in conservation is insufficient to adequately protect and recover all ecosystems and species. The challenge of allocating limited funds is acute for Pacific salmon Oncorhynchus spp. in Canada, which lack a strategic approach to ensure that resources are spent on actions most likely to cost-effectively recover diminished populations. We applied the Priority Threat Management framework to prioritize strategies most likely to maximize the number of thriving Pacific salmon populations on the Central Coast of British Columbia, Canada. These included 79 genetically, ecologically and spatially distinct population groups called conservation units (CUs) for five salmon species. This region has high salmon biodiversity and spans the territories of four First Nations: the Heiltsuk, Nuxalk, Kitasoo/Xai'xais and Wuikinuxv. Using structured expert elicitation of Indigenous and other experts, we quantified the estimated benefits, costs and feasibility of implementing 10 strategies. Under a business-as-usual scenario (i.e. no additional investments in salmon conservation or management), experts predicted that only one in four CUs would have &gt;50% chance of achieving a thriving status within 20 years. Limiting future industrial development in salmon habitats, which was predicted to safeguard CUs from future declines, was identified as the most cost-effective strategy. Investment in three strategies: (a) removal of artificial barriers to fish migration, (b) watershed protection and (c) stream restoration—at 11.3M CAD per year—was predicted to result in nearly half (34 of 79) of the CUs having a &gt;60% chance of meeting the conservation objective. If all conservation strategies were implemented, experts estimated a &gt;50% probability of achieving a thriving status for 78 of 79 CUs, at an annual cost of 17.3M CAD. However, even with the implementation of all strategies, most sockeye salmon CUs were unlikely to achieve higher probability targets of reaching the objective. Policy implications. We illustrate how Priority Threat Management can incorporate the perspectives and expertise of Indigenous peoples and other experts to prioritize conservation strategies based on their cost, benefit and feasibility. Implementation of this framework can help safeguard and recover Pacific salmon in Canada, and could also be used to prioritize actions for other conservation issues globally.","container-title":"Journal of Applied Ecology","DOI":"https://doi.org/10.1111/1365-2664.13646","ISSN":"1365-2664","issue":"9","language":"en","note":"_eprint: https://onlinelibrary.wiley.com/doi/pdf/10.1111/1365-2664.13646","page":"1688-1699","source":"Wiley Online Library","title":"Prioritizing conservation actions for Pacific salmon in Canada","volume":"57","author":[{"family":"Walsh","given":"Jessica C."},{"family":"Connors","given":"Katrina"},{"family":"Hertz","given":"Eric"},{"family":"Kehoe","given":"Laura"},{"family":"Martin","given":"Tara G."},{"family":"Connors","given":"Brendan"},{"family":"Bradford","given":"Michael J."},{"family":"Freshwater","given":"Cameron"},{"family":"Frid","given":"Alejandro"},{"family":"Halverson","given":"Jessica"},{"family":"Moore","given":"Jonathan W."},{"family":"Price","given":"Michael H. H."},{"family":"Reynolds","given":"John D."}],"issued":{"date-parts":[["2020"]]}}}],"schema":"https://github.com/citation-style-language/schema/raw/master/csl-citation.json"} </w:instrText>
      </w:r>
      <w:r w:rsidRPr="009867C1">
        <w:fldChar w:fldCharType="separate"/>
      </w:r>
      <w:r w:rsidR="0042141C" w:rsidRPr="009867C1">
        <w:t>(Powell, 2012; J. C. Walsh, Connors, et al., 2020)</w:t>
      </w:r>
      <w:r w:rsidRPr="009867C1">
        <w:fldChar w:fldCharType="end"/>
      </w:r>
      <w:r w:rsidRPr="009867C1">
        <w:t xml:space="preserve">. The outlook of these stocks is mixed – in southern regions of their range (California to northern BC) populations generally have been extirpated or </w:t>
      </w:r>
      <w:r w:rsidR="003E3831">
        <w:t xml:space="preserve">are </w:t>
      </w:r>
      <w:r w:rsidRPr="009867C1">
        <w:t xml:space="preserve">declining due to </w:t>
      </w:r>
      <w:r w:rsidR="005A66EC">
        <w:t>cumulative</w:t>
      </w:r>
      <w:r w:rsidRPr="009867C1">
        <w:t xml:space="preserve"> impacts </w:t>
      </w:r>
      <w:r w:rsidR="005A66EC">
        <w:t xml:space="preserve">of </w:t>
      </w:r>
      <w:r w:rsidRPr="009867C1">
        <w:t>timber exploitation, urbanization, and agriculture</w:t>
      </w:r>
      <w:r w:rsidR="005A66EC">
        <w:t>. In addition, there has been</w:t>
      </w:r>
      <w:r w:rsidRPr="009867C1">
        <w:t xml:space="preserve"> a reduction </w:t>
      </w:r>
      <w:r w:rsidR="005A66EC">
        <w:t>of</w:t>
      </w:r>
      <w:r w:rsidRPr="009867C1">
        <w:t xml:space="preserve"> spawning area </w:t>
      </w:r>
      <w:r w:rsidR="005A66EC">
        <w:t>due to</w:t>
      </w:r>
      <w:r w:rsidRPr="009867C1">
        <w:t xml:space="preserve"> hydropower development and dam construction; and</w:t>
      </w:r>
      <w:r w:rsidR="005A66EC">
        <w:t xml:space="preserve"> in the open sea</w:t>
      </w:r>
      <w:r w:rsidRPr="009867C1">
        <w:t xml:space="preserve"> </w:t>
      </w:r>
      <w:r w:rsidR="005A66EC">
        <w:t xml:space="preserve">there has been </w:t>
      </w:r>
      <w:r w:rsidRPr="009867C1">
        <w:t>overexploitation of both salmon populations and their forage fish (e</w:t>
      </w:r>
      <w:r w:rsidR="00390945">
        <w:t>.</w:t>
      </w:r>
      <w:r w:rsidRPr="009867C1">
        <w:t xml:space="preserve">g. herring) </w:t>
      </w:r>
      <w:r w:rsidRPr="009867C1">
        <w:fldChar w:fldCharType="begin"/>
      </w:r>
      <w:r w:rsidR="00AC0205">
        <w:instrText xml:space="preserve"> ADDIN ZOTERO_ITEM CSL_CITATION {"citationID":"h50TRIMY","properties":{"formattedCitation":"(Gustafson et al., 2007)","plainCitation":"(Gustafson et al., 2007)","noteIndex":0},"citationItems":[{"id":647,"uris":["http://zotero.org/users/2189142/items/SAAQ4QF5"],"itemData":{"id":647,"type":"article-journal","abstract":"Abstract: Widespread population extirpations and the consequent loss of ecological, genetic, and life-history diversity can lead to extinction of evolutionarily significant units (ESUs) and species. We attempted to systematically enumerate extinct Pacific salmon populations and characterize lost ecological, life history, and genetic diversity types among six species of Pacific salmon (Chinook [Oncorhynchus tshawytscha], sockeye [O. nerka], coho [O. kisutch], chum [O. keta], and pink salmon [O. gorbuscha] and steelhead trout [O. mykiss]) from the western contiguous United States. We estimated that, collectively, 29% of nearly 1400 historical populations of these six species have been lost from the Pacific Northwest and California since Euro-American contact. Across all species there was a highly significant difference in the proportion of population extinctions between coastal (0.14 extinct) and interior (0.55 extinct) regions. Sockeye salmon (which typically rely on lacustrine habitats for rearing) and stream-maturing Chinook salmon (which stay in freshwater for many months prior to spawning) had significantly higher proportional population losses than other species and maturation types. Aggregate losses of major ecological, life-history, and genetic biodiversity components across all species were estimated at 33%, 15%, and 27%, respectively. Collectively, we believe these population extirpations represent a loss of between 16% and 30% of all historical ESUs in the study area. On the other hand, over two-thirds of historical Pacific salmon populations in this area persist, and considerable diversity remains at all scales. Because over one-third of the remaining populations belong to threatened or endangered species listed under the U.S. Endangered Species Act, it is apparent that a critical juncture has been reached in efforts to preserve what remains of Pacific salmon diversity. It is also evident that persistence of existing, and evolution of future, diversity will depend on the ability of Pacific salmon to adapt to anthropogenically altered habitats.","container-title":"Conservation Biology","DOI":"10.1111/j.1523-1739.2007.00693.x","ISSN":"1523-1739","issue":"4","language":"en","page":"1009-1020","source":"Wiley Online Library","title":"Pacific Salmon Extinctions: Quantifying Lost and Remaining Diversity","title-short":"Pacific Salmon Extinctions","volume":"21","author":[{"family":"Gustafson","given":"Richard G."},{"family":"Waples","given":"Robin S."},{"family":"Myers","given":"James M."},{"family":"Weitkamp","given":"Laurie A."},{"family":"Bryant","given":"Gregory J."},{"family":"Johnson","given":"Orlay W."},{"family":"Hard","given":"Jeffrey J."}],"issued":{"date-parts":[["2007",8,1]]},"citation-key":"gustafson_2007a"}}],"schema":"https://github.com/citation-style-language/schema/raw/master/csl-citation.json"} </w:instrText>
      </w:r>
      <w:r w:rsidRPr="009867C1">
        <w:fldChar w:fldCharType="separate"/>
      </w:r>
      <w:r w:rsidR="0042141C" w:rsidRPr="009867C1">
        <w:t>(Gustafson et al., 2007)</w:t>
      </w:r>
      <w:r w:rsidRPr="009867C1">
        <w:fldChar w:fldCharType="end"/>
      </w:r>
      <w:r w:rsidRPr="009867C1">
        <w:t xml:space="preserve">. Disease and parasites from salmon farms reduce fitness along migration routes in British Columbia </w:t>
      </w:r>
      <w:r w:rsidRPr="009867C1">
        <w:fldChar w:fldCharType="begin"/>
      </w:r>
      <w:r w:rsidR="00AC0205">
        <w:instrText xml:space="preserve"> ADDIN ZOTERO_ITEM CSL_CITATION {"citationID":"PMLPL7RE","properties":{"formattedCitation":"(Krko\\uc0\\u353{}ek et al., 2011)","plainCitation":"(Krkošek et al., 2011)","noteIndex":0},"citationItems":[{"id":2405,"uris":["http://zotero.org/users/2189142/items/VFDNIKYL"],"itemData":{"id":2405,"type":"article-journal","abstract":"The ecological risks of salmon aquaculture have motivated changes to management and policy designed to protect wild salmon populations and habitats in several countries. In Canada, much attention has focused on outbreaks of parasitic copepods, sea lice (Lepeophtheirus salmonis), on farmed and wild salmon in the Broughton Archipelago, British Columbia. Several recent studies have reached contradictory conclusions on whether the spread of lice from salmon farms affects the productivity of sympatric wild salmon populations. We analyzed recently available sea lice data on farms and spawner–recruit data for pink (Oncorhynchus gorbuscha) and coho (Oncorhynchus kisutch) salmon populations in the Broughton Archipelago and nearby regions where farms are not present. Our results show that sea lice abundance on farms is negatively associated with productivity of both pink and coho salmon in the Broughton Archipelago. These results reconcile the contradictory findings of previous studies and suggest that management and policy measures designed to protect wild salmon from sea lice should yield conservation and fishery benefits.","container-title":"Proceedings of the National Academy of Sciences","DOI":"10.1073/pnas.1101845108","ISSN":"0027-8424, 1091-6490","issue":"35","journalAbbreviation":"PNAS","language":"en","note":"publisher: National Academy of Sciences\nsection: Biological Sciences\nPMID: 21873246","page":"14700-14704","source":"www-pnas-org.ezproxy.library.ubc.ca","title":"Effects of parasites from salmon farms on productivity of wild salmon","volume":"108","author":[{"family":"Krkošek","given":"Martin"},{"family":"Connors","given":"Brendan M."},{"family":"Morton","given":"Alexandra"},{"family":"Lewis","given":"Mark A."},{"family":"Dill","given":"Lawrence M."},{"family":"Hilborn","given":"Ray"}],"issued":{"date-parts":[["2011",8,30]]},"citation-key":"krkosek_2011"}}],"schema":"https://github.com/citation-style-language/schema/raw/master/csl-citation.json"} </w:instrText>
      </w:r>
      <w:r w:rsidRPr="009867C1">
        <w:fldChar w:fldCharType="separate"/>
      </w:r>
      <w:r w:rsidR="0042141C" w:rsidRPr="009867C1">
        <w:t>(Krkošek et al., 2011)</w:t>
      </w:r>
      <w:r w:rsidRPr="009867C1">
        <w:fldChar w:fldCharType="end"/>
      </w:r>
      <w:r w:rsidRPr="009867C1">
        <w:t xml:space="preserve">, and global heating inexorably brings warmer waters less amenable to both deep-sea survival and </w:t>
      </w:r>
      <w:r w:rsidR="00B32EEA" w:rsidRPr="009867C1">
        <w:t xml:space="preserve">stream </w:t>
      </w:r>
      <w:r w:rsidRPr="009867C1">
        <w:t xml:space="preserve">spawning success </w:t>
      </w:r>
      <w:r w:rsidRPr="009867C1">
        <w:fldChar w:fldCharType="begin"/>
      </w:r>
      <w:r w:rsidR="00AC0205">
        <w:instrText xml:space="preserve"> ADDIN ZOTERO_ITEM CSL_CITATION {"citationID":"g6X12Mx1","properties":{"formattedCitation":"(Isaak et al., 2015)","plainCitation":"(Isaak et al., 2015)","noteIndex":0},"citationItems":[{"id":1159,"uris":["http://zotero.org/users/2189142/items/MF2KZ65B"],"itemData":{"id":1159,"type":"article-journal","abstract":"The distribution and future fate of ectothermic organisms in a warming world will be dictated by thermalscapes across landscapes. That is particularly true for stream fishes and cold-water species like trout, salmon, and char that are already constrained to high elevations and latitudes. The extreme climates in those environments also preclude invasions by most non-native species, so identifying especially cold habitats capable of absorbing future climate change while still supporting native populations would highlight important refugia. By coupling crowd-sourced biological datasets with high-resolution stream temperature scenarios, we delineate network refugia across &gt;250 000 stream km in the Northern Rocky Mountains for two native salmonids—bull trout (BT) and cutthroat trout (CT). Under both moderate and extreme climate change scenarios, refugia with high probabilities of trout population occupancy (&gt;0.9) were predicted to exist (33–68 BT refugia; 917–1425 CT refugia). Most refugia are on public lands (&gt;90%) where few currently have protected status in National Parks or Wilderness Areas (&lt;15%). Forecasts of refuge locations could enable protection of key watersheds and provide a foundation for climate smart planning of conservation networks. Using cold water as a ‘climate shield’ is generalizable to other species and geographic areas because it has a strong physiological basis, relies on nationally available geospatial data, and mines existing biological datasets. Importantly, the approach creates a framework to integrate data contributed by many individuals and resource agencies, and a process that strengthens the collaborative and social networks needed to preserve many cold-water fish populations through the 21st century.","container-title":"Global Change Biology","DOI":"10.1111/gcb.12879","ISSN":"1365-2486","issue":"7","journalAbbreviation":"Glob Change Biol","language":"en","page":"2540-2553","source":"Wiley Online Library","title":"The cold-water climate shield: delineating refugia for preserving salmonid fishes through the 21st century","title-short":"The cold-water climate shield","volume":"21","author":[{"family":"Isaak","given":"Daniel J."},{"family":"Young","given":"Michael K."},{"family":"Nagel","given":"David E."},{"family":"Horan","given":"Dona L."},{"family":"Groce","given":"Matthew C."}],"issued":{"date-parts":[["2015",7,1]]},"citation-key":"isaak_2015"}}],"schema":"https://github.com/citation-style-language/schema/raw/master/csl-citation.json"} </w:instrText>
      </w:r>
      <w:r w:rsidRPr="009867C1">
        <w:fldChar w:fldCharType="separate"/>
      </w:r>
      <w:r w:rsidR="0042141C" w:rsidRPr="009867C1">
        <w:t>(Isaak et al., 2015)</w:t>
      </w:r>
      <w:r w:rsidRPr="009867C1">
        <w:fldChar w:fldCharType="end"/>
      </w:r>
      <w:r w:rsidRPr="009867C1">
        <w:t xml:space="preserve">. In these southern locations the prognosis for salmon is grim and it is unlikely that the situation is a sustainable one without considerable change </w:t>
      </w:r>
      <w:r w:rsidRPr="009867C1">
        <w:fldChar w:fldCharType="begin"/>
      </w:r>
      <w:r w:rsidR="00AC0205">
        <w:instrText xml:space="preserve"> ADDIN ZOTERO_ITEM CSL_CITATION {"citationID":"iHdqO6gA","properties":{"formattedCitation":"(Lackey, 2003; Schoen et al., 2017)","plainCitation":"(Lackey, 2003; Schoen et al., 2017)","noteIndex":0},"citationItems":[{"id":599,"uris":["http://zotero.org/users/2189142/items/7BR74GPT"],"itemData":{"id":599,"type":"article-journal","abstract":"Throughout the Pacific Northwest (northern California, Oregon, Idaho, Washington, and the Columbia Basin portion of British Columbia), many wild salmon stocks (a group of interbreeding individuals that is roughly equivalent to a “population”) have declined and some have disappeared. Substantial efforts have been made to restore some runs of wild salmon, but few have shown much success. Society's failure to restore wild salmon is a policy conundrum characterized by: (1) claims by a strong majority to be supportive of restoring wild salmon runs; (2) competing societal priorities which are at least partially mutually exclusive; (3) the region's rapidly growing human population and its pressure on all natural resources (including salmon and their habitats); (4) entrenched policy stances in the salmon restoration debate, usually supported by established bureaucracies; (5) society's expectation that experts should be able to solve the salmon problem by using a technological scheme and without massive cultural or economic sacrifices (e.g., life style changes); (6) use of experts and scientific “facts” by political proponents to bolster their policy positions; (7) inability of salmon scientists to avoid being placed in particular policy or political camps; and (8) confusion in discussing policy options caused by couching policy preferences in scientific terms or imperatives rather than value-based criteria. Even with definitive scientific knowledge, which will never be complete or certain, restoring most wild salmon runs in the Pacific Northwest to historic levels will be arduous and will entail substantial economic costs and social disruption required. Ultimate success cannot be assured. Given the appreciable costs and social dislocation, coupled with the dubious probability of success, candid public dialog is warranted to decide whether restoration of wild salmon is an appropriate, much less feasible, public policy objective. Provided with a genuine assessment of the necessary economic costs and social implications required for restoration, it is questionable whether a majority of the public would opt for the pervasive measures that appear necessary for restoring many runs of wild salmon. Through the 21st century, I conclude that there will continue to be appreciable annual variation in the size of salmon runs, accompanied by the decadal trends in run size caused by periodic changes in climatic and oceanic conditions, but many, perhaps most, stocks of wild salmon in the Pacific Northwest likely will remain at their current low levels or continue to decline in spite of heroic, expensive, and socially turbulent attempts at restoration.","container-title":"Reviews in Fisheries Science","DOI":"10.1080/16226510390856529","ISSN":"1064-1262","issue":"1","page":"35-88","source":"Taylor and Francis+NEJM","title":"Pacific Northwest Salmon: Forecasting Their Status in 2100","title-short":"Pacific Northwest Salmon","volume":"11","author":[{"family":"Lackey","given":"Robert T."}],"issued":{"date-parts":[["2003",1,1]]},"citation-key":"lackey_2003a"}},{"id":2403,"uris":["http://zotero.org/users/2189142/items/Q8UB4AKD"],"itemData":{"id":2403,"type":"article-journal","abstract":"Pacific salmon Oncorhynchus spp. face serious challenges from climate and landscape change, particularly in the southern portion of their native range. Conversely, climate warming appears to be allowing salmon to expand northwards into the Arctic. Between these geographic extremes, in the Gulf of Alaska region, salmon are at historically high abundances but face an uncertain future due to rapid environmental change. We examined changes in climate, hydrology, land cover, salmon populations, and fisheries over the past 30–70 years in this region. We focused on the Kenai River, which supports world-famous fisheries but where Chinook Salmon O. tshawytscha populations have declined, raising concerns about their future resilience. The region is warming and experiencing drier summers and wetter autumns. The landscape is also changing, with melting glaciers, wetland loss, wildfires, and human development. This environmental transformation will likely harm some salmon populations while benefiting others. Lowland salmon streams are especially vulnerable, but retreating glaciers may allow production gains in other streams. Some fishing communities harvest a diverse portfolio of fluctuating resources, whereas others have specialized over time, potentially limiting their resilience. Maintaining diverse habitats and salmon runs may allow ecosystems and fisheries to continue to thrive amidst these changes.","container-title":"Fisheries","DOI":"10.1080/03632415.2017.1374251","ISSN":"0363-2415","issue":"10","note":"publisher: Taylor &amp; Francis\n_eprint: https://doi.org/10.1080/03632415.2017.1374251","page":"538-553","source":"Taylor and Francis+NEJM","title":"Future of Pacific Salmon in the Face of Environmental Change: Lessons from One of the World's Remaining Productive Salmon Regions","title-short":"Future of Pacific Salmon in the Face of Environmental Change","volume":"42","author":[{"family":"Schoen","given":"Erik R."},{"family":"Wipfli","given":"Mark S."},{"family":"Trammell","given":"E. Jamie"},{"family":"Rinella","given":"Daniel J."},{"family":"Floyd","given":"Angelica L."},{"family":"Grunblatt","given":"Jess"},{"family":"McCarthy","given":"Molly D."},{"family":"Meyer","given":"Benjamin E."},{"family":"Morton","given":"John M."},{"family":"Powell","given":"James E."},{"family":"Prakash","given":"Anupma"},{"family":"Reimer","given":"Matthew N."},{"family":"Stuefer","given":"Svetlana L."},{"family":"Toniolo","given":"Horacio"},{"family":"Wells","given":"Brett M."},{"family":"Witmer","given":"Frank D. W."}],"issued":{"date-parts":[["2017",10,3]]},"citation-key":"schoen_2017"}}],"schema":"https://github.com/citation-style-language/schema/raw/master/csl-citation.json"} </w:instrText>
      </w:r>
      <w:r w:rsidRPr="009867C1">
        <w:fldChar w:fldCharType="separate"/>
      </w:r>
      <w:r w:rsidR="0042141C" w:rsidRPr="009867C1">
        <w:t>(Lackey, 2003; Schoen et al., 2017)</w:t>
      </w:r>
      <w:r w:rsidRPr="009867C1">
        <w:fldChar w:fldCharType="end"/>
      </w:r>
      <w:r w:rsidRPr="009867C1">
        <w:t xml:space="preserve">. Data to assess the status of the majority of salmon conservation units in British Columbia are sparse </w:t>
      </w:r>
      <w:r w:rsidRPr="009867C1">
        <w:fldChar w:fldCharType="begin"/>
      </w:r>
      <w:r w:rsidR="00AC0205">
        <w:instrText xml:space="preserve"> ADDIN ZOTERO_ITEM CSL_CITATION {"citationID":"sw11Tp3W","properties":{"formattedCitation":"(Connors, Jones, Honka, et al., 2018)","plainCitation":"(Connors, Jones, Honka, et al., 2018)","noteIndex":0},"citationItems":[{"id":2408,"uris":["http://zotero.org/users/2189142/items/CHV2XRV2"],"itemData":{"id":2408,"type":"article-journal","container-title":"Salish Sea Ecosystem Conference","title":"The Pacific salmon explorer: a data driven look at salmon populations and their habitats","title-short":"The Pacific salmon explorer","URL":"https://cedar.wwu.edu/ssec/2018ssec/allsessions/516","author":[{"family":"Connors","given":"Katrina"},{"family":"Jones","given":"Eileen"},{"family":"Honka","given":"Leah"},{"family":"Kellock","given":"Katy"},{"family":"Hertz","given":"Eric"},{"family":"Riddell","given":"Brian"}],"issued":{"date-parts":[["2018",4,6]]},"citation-key":"connors_2018"}}],"schema":"https://github.com/citation-style-language/schema/raw/master/csl-citation.json"} </w:instrText>
      </w:r>
      <w:r w:rsidRPr="009867C1">
        <w:fldChar w:fldCharType="separate"/>
      </w:r>
      <w:r w:rsidR="0042141C" w:rsidRPr="009867C1">
        <w:t>(Connors, Jones, Honka, et al., 2018)</w:t>
      </w:r>
      <w:r w:rsidRPr="009867C1">
        <w:fldChar w:fldCharType="end"/>
      </w:r>
      <w:r w:rsidRPr="009867C1">
        <w:t>, and Canada and BC have largely failed in their responsibility to monitor and manage wild salmon populations, ignoring calls to action by the Cohen commission</w:t>
      </w:r>
      <w:r w:rsidR="003E747C">
        <w:t>,</w:t>
      </w:r>
      <w:r w:rsidRPr="009867C1">
        <w:t xml:space="preserve"> the Wild Salmon Policy</w:t>
      </w:r>
      <w:r w:rsidR="003E747C">
        <w:t>, and other groups</w:t>
      </w:r>
      <w:r w:rsidRPr="009867C1">
        <w:t xml:space="preserve"> </w:t>
      </w:r>
      <w:r w:rsidRPr="009867C1">
        <w:fldChar w:fldCharType="begin"/>
      </w:r>
      <w:r w:rsidR="00AC0205">
        <w:instrText xml:space="preserve"> ADDIN ZOTERO_ITEM CSL_CITATION {"citationID":"duC4tpE3","properties":{"formattedCitation":"(Fisheries and Oceans Canada, 2005; M. H. Price et al., 2017)","plainCitation":"(Fisheries and Oceans Canada, 2005; M. H. Price et al., 2017)","noteIndex":0},"citationItems":[{"id":1103,"uris":["http://zotero.org/users/2189142/items/E8FJ7XI4"],"itemData":{"id":1103,"type":"report","publisher":"Fisheries and Oceans Canada","title":"Canada's Policy for the Conservation of Wild Pacific Salmon","author":[{"family":"Fisheries and Oceans Canada","given":""}],"issued":{"date-parts":[["2005"]]},"citation-key":"fisheriesandoceanscanada_2005"}},{"id":1274,"uris":["http://zotero.org/users/2189142/items/3UCZ46DR"],"itemData":{"id":1274,"type":"article-journal","container-title":"Canadian Journal of Fisheries and Aquatic Sciences","issue":"10","page":"1507–1518","source":"Google Scholar","title":"Canada’s Wild Salmon Policy: an assessment of conservation progress in British Columbia","title-short":"Canada’s Wild Salmon Policy","volume":"74","author":[{"family":"Price","given":"Michael HH"},{"family":"English","given":"Karl K."},{"family":"Rosenberger","given":"Andrew G."},{"family":"MacDuffee","given":"Misty"},{"family":"Reynolds","given":"John D."}],"issued":{"date-parts":[["2017"]]},"citation-key":"price_2017"}}],"schema":"https://github.com/citation-style-language/schema/raw/master/csl-citation.json"} </w:instrText>
      </w:r>
      <w:r w:rsidRPr="009867C1">
        <w:fldChar w:fldCharType="separate"/>
      </w:r>
      <w:r w:rsidR="0042141C" w:rsidRPr="009867C1">
        <w:t>(Fisheries and Oceans Canada, 2005; M. H. Price et al., 2017)</w:t>
      </w:r>
      <w:r w:rsidRPr="009867C1">
        <w:fldChar w:fldCharType="end"/>
      </w:r>
      <w:r w:rsidRPr="009867C1">
        <w:t xml:space="preserve">.  </w:t>
      </w:r>
    </w:p>
    <w:p w14:paraId="4E2213AD" w14:textId="5C6D8E7B" w:rsidR="008832BF" w:rsidRPr="009867C1" w:rsidRDefault="008832BF" w:rsidP="008832BF">
      <w:pPr>
        <w:ind w:firstLine="720"/>
      </w:pPr>
      <w:r w:rsidRPr="009867C1">
        <w:t xml:space="preserve">In places without these stressors however, salmon may be doing well, and in northerly regions their range is expanding. The </w:t>
      </w:r>
      <w:r w:rsidR="00390945">
        <w:t>A</w:t>
      </w:r>
      <w:r w:rsidRPr="009867C1">
        <w:t xml:space="preserve">rctic </w:t>
      </w:r>
      <w:r w:rsidR="00390945">
        <w:t>O</w:t>
      </w:r>
      <w:r w:rsidRPr="009867C1">
        <w:t xml:space="preserve">cean, the McKenzie river system, and Siberian river systems are all attracting spawning populations </w:t>
      </w:r>
      <w:r w:rsidRPr="009867C1">
        <w:fldChar w:fldCharType="begin"/>
      </w:r>
      <w:r w:rsidR="00AC0205">
        <w:instrText xml:space="preserve"> ADDIN ZOTERO_ITEM CSL_CITATION {"citationID":"JAaoHMUl","properties":{"formattedCitation":"(Carothers et al., 2019; Nielsen et al., 2013)","plainCitation":"(Carothers et al., 2019; Nielsen et al., 2013)","noteIndex":0},"citationItems":[{"id":2653,"uris":["http://zotero.org/users/2189142/items/G9DQDNNV"],"itemData":{"id":2653,"type":"article-journal","abstract":"One of the most pervasive signals of global climate change is altered patterns of distribution with trends towards poleward shifts of species. While habitat loss and destruction has severed connections between people and salmon in many locales, salmon fisheries in the high Arctic are just beginning to develop. To explore these emergent connections, we gathered local knowledge about Pacific salmon and emerging subsistence salmon fisheries in the Beaufort Sea region through ethnographic research in Utqiaġvik (formerly Barrow) and Nuiqsut, Alaska. Between 2010 and 2013, we interviewed 41 active fishermen and Elders who generally agreed that harvests of Pacific salmon species have been increasing in recent years, beginning in the 1990s and early 2000s. About 46% of active fishermen and Elders who discussed salmon abundance perceived an increasing trend over time. Another 43% characterized salmon abundance as cyclical or perceived no directional trend over time. The remaining fishermen (all from Nuiqsut) expressed their perception of decreasing salmon and fish abundance overall related to oil and gas development impacts to their local lands and waters. Given these mixed perceptions and harvests being an imperfect proxy for abundance, it remains unclear whether salmon populations are expanding in Arctic river systems. However, research participants have identified new stream systems not currently documented in the scientific literature where salmon are present and thought to be spawning. In both communities, we found that many fishermen and Elders often do not differentiate Pacific salmon species. Fishermen in both communities are developing new knowledge of salmon and increasing their use of salmon as a subsistence resource, yet uncertainties in the current data and local knowledge combine to generate equivocal evidence that salmon abundance is increasing. This lack of a clear increase in salmon abundance provides nuance to a simple story that warming has led to the increases of salmon in the Arctic. Despite the uncertainty regarding abundance, it is clear we are witnessing an emergence of new salmon fisheries in the high Arctic, perceived to be one among a suite of environmental and social changes currently being experienced in this region.","container-title":"ARCTIC","DOI":"10.14430/arctic68876","ISSN":"1923-1245, 0004-0843","issue":"3","journalAbbreviation":"ARCTIC","language":"en","page":"273-288","source":"DOI.org (Crossref)","title":"Pacific Salmon in the Rapidly Changing Arctic: Exploring Local Knowledge and Emerging Fisheries in Utqiaġvik and Nuiqsut, Alaska","title-short":"Pacific Salmon in the Rapidly Changing Arctic","volume":"72","author":[{"family":"Carothers","given":"Courtney"},{"family":"Sformo","given":"Todd L."},{"family":"Cotton","given":"Shelley"},{"family":"George","given":"John C."},{"family":"Westley","given":"Peter A.H."}],"issued":{"date-parts":[["2019",9,9]]},"citation-key":"carothers_2019"}},{"id":1994,"uris":["http://zotero.org/users/2189142/items/XDK9WNVD"],"itemData":{"id":1994,"type":"article-journal","abstract":"In the warming Arctic, aquatic habitats are in flux and salmon are exploring their options. Adult Pacific salmon, including sockeye (Oncorhynchus nerka), coho (O. kisutch), Chinook (O. tshawytscha), pink (O. gorbuscha) and chum (O. keta) have been captured throughout the Arctic. Pink and chum salmon are the most common species found in the Arctic today. These species are less dependent on freshwater habitats as juveniles and grow quickly in marine habitats. Putative spawning populations are rare in the North American Arctic and limited to pink salmon in drainages north of Point Hope, Alaska, chum salmon spawning rivers draining to the northwestern Beaufort Sea, and small populations of chum and pink salmon in Canada’s Mackenzie River. Pacific salmon have colonized several large river basins draining to the Kara, Laptev and East Siberian seas in the Russian Arctic. These populations probably developed from hatchery supplementation efforts in the 1960’s. Hundreds of populations of Arctic Atlantic salmon (Salmo salar) are found in Russia, Norway and Finland. Atlantic salmon have extended their range eastward as far as the Kara Sea in central Russian. A small native population of Atlantic salmon is found in Canada’s Ungava Bay. The northern tip of Quebec seems to be an Atlantic salmon migration barrier for other North American stocks. Compatibility between life history requirements and ecological conditions are prerequisite for salmon colonizing Arctic habitats. Broad-scale predictive models of climate change in the Arctic give little information about feedback processes contributing to local conditions, especially in freshwater systems. This paper reviews the recent history of salmon in the Arctic and explores various patterns of climate change that may influence range expansions and future sustainability of salmon in Arctic habitats. A summary of the research needs that will allow informed expectation of further Arctic colonization by salmon is given.","container-title":"Environmental Biology of Fishes","DOI":"10.1007/s10641-012-0082-6","ISSN":"1573-5133","issue":"10","journalAbbreviation":"Environ Biol Fish","language":"en","page":"1187-1226","source":"Springer Link","title":"Adaptive strategies and life history characteristics in a warming climate: Salmon in the Arctic?","title-short":"Adaptive strategies and life history characteristics in a warming climate","volume":"96","author":[{"family":"Nielsen","given":"Jennifer L."},{"family":"Ruggerone","given":"Gregory T."},{"family":"Zimmerman","given":"Christian E."}],"issued":{"date-parts":[["2013",11,1]]},"citation-key":"nielsen_2013"}}],"schema":"https://github.com/citation-style-language/schema/raw/master/csl-citation.json"} </w:instrText>
      </w:r>
      <w:r w:rsidRPr="009867C1">
        <w:fldChar w:fldCharType="separate"/>
      </w:r>
      <w:r w:rsidR="0042141C" w:rsidRPr="009867C1">
        <w:t>(Carothers et al., 2019; Nielsen et al., 2013)</w:t>
      </w:r>
      <w:r w:rsidRPr="009867C1">
        <w:fldChar w:fldCharType="end"/>
      </w:r>
      <w:r w:rsidRPr="009867C1">
        <w:t xml:space="preserve">. The Bristol Bay fishery continues to be well-managed and is seemingly sustainable </w:t>
      </w:r>
      <w:r w:rsidRPr="009867C1">
        <w:fldChar w:fldCharType="begin"/>
      </w:r>
      <w:r w:rsidR="00AC0205">
        <w:instrText xml:space="preserve"> ADDIN ZOTERO_ITEM CSL_CITATION {"citationID":"R4JVooLr","properties":{"formattedCitation":"(Cunningham et al., 2019; Donkersloot et al., 2020)","plainCitation":"(Cunningham et al., 2019; Donkersloot et al., 2020)","noteIndex":0},"citationItems":[{"id":2651,"uris":["http://zotero.org/users/2189142/items/X9KDQGTY"],"itemData":{"id":2651,"type":"article-journal","container-title":"Canadian Journal of Fisheries and Aquatic Sciences","issue":"9","note":"publisher: NRC Research Press","page":"1669–1683","source":"Google Scholar","title":"A management strategy evaluation of the commercial sockeye salmon fishery in Bristol Bay, Alaska","volume":"76","author":[{"family":"Cunningham","given":"Curry J."},{"family":"Anderson","given":"Christopher M."},{"family":"Wang","given":"Jocelyn Yun-Ling"},{"family":"Link","given":"Michael"},{"family":"Hilborn","given":"Ray"}],"issued":{"date-parts":[["2019"]]},"citation-key":"cunningham_2019"}},{"id":2650,"uris":["http://zotero.org/users/2189142/items/FXLJ84GW"],"itemData":{"id":2650,"type":"article-journal","container-title":"Ecology and Society","issue":"2","note":"publisher: The Resilience Alliance","source":"Google Scholar","title":"Assessing the sustainability and equity of Alaska salmon fisheries through a well-being framework","volume":"25","author":[{"family":"Donkersloot","given":"Rachel"},{"family":"Black","given":"Jessica"},{"family":"Carothers","given":"Courtney"},{"family":"Ringer","given":"Danielle"},{"family":"Justin","given":"Wilson"},{"family":"Clay","given":"Patricia"},{"family":"Poe","given":"Melissa"},{"family":"Gavenus","given":"Erika"},{"family":"Voinot-Baron","given":"William"},{"family":"Stevens","given":"Carrie"}],"issued":{"date-parts":[["2020"]]},"citation-key":"donkersloot_2020"}}],"schema":"https://github.com/citation-style-language/schema/raw/master/csl-citation.json"} </w:instrText>
      </w:r>
      <w:r w:rsidRPr="009867C1">
        <w:fldChar w:fldCharType="separate"/>
      </w:r>
      <w:r w:rsidR="0042141C" w:rsidRPr="009867C1">
        <w:t>(Cunningham et al., 2019; Donkersloot et al., 2020)</w:t>
      </w:r>
      <w:r w:rsidRPr="009867C1">
        <w:fldChar w:fldCharType="end"/>
      </w:r>
      <w:r w:rsidRPr="009867C1">
        <w:t xml:space="preserve">, and the outlook is positive as long as </w:t>
      </w:r>
      <w:r w:rsidR="005A66EC">
        <w:t xml:space="preserve">development and exploitation </w:t>
      </w:r>
      <w:r w:rsidRPr="009867C1">
        <w:t>impacts are kept low (</w:t>
      </w:r>
      <w:r w:rsidR="003E747C">
        <w:t xml:space="preserve">resisting, </w:t>
      </w:r>
      <w:r w:rsidRPr="009867C1">
        <w:t xml:space="preserve">for example, </w:t>
      </w:r>
      <w:r w:rsidR="003E747C">
        <w:t xml:space="preserve">continued attempts to develop </w:t>
      </w:r>
      <w:r w:rsidRPr="009867C1">
        <w:t xml:space="preserve">Pebble Mine and oil exploration in the Arctic Wildlife Refuge; </w:t>
      </w:r>
      <w:r w:rsidRPr="009867C1">
        <w:fldChar w:fldCharType="begin"/>
      </w:r>
      <w:r w:rsidR="00AC0205">
        <w:instrText xml:space="preserve"> ADDIN ZOTERO_ITEM CSL_CITATION {"citationID":"y5c9WQqt","properties":{"formattedCitation":"(Snyder, 2014)","plainCitation":"(Snyder, 2014)","noteIndex":0},"citationItems":[{"id":2649,"uris":["http://zotero.org/users/2189142/items/WEWLWUKM"],"itemData":{"id":2649,"type":"article-journal","container-title":"Environment: Science and Policy for Sustainable Development","issue":"2","note":"publisher: Taylor &amp; Francis","page":"17–26","source":"Google Scholar","title":"Bristol Bay wild salmon, Pebble Mine, and intractable conflict: lessons for environmental studies and sciences","title-short":"Bristol Bay wild salmon, Pebble Mine, and intractable conflict","volume":"56","author":[{"family":"Snyder","given":"Samuel"}],"issued":{"date-parts":[["2014"]]},"citation-key":"snyder_2014"}}],"schema":"https://github.com/citation-style-language/schema/raw/master/csl-citation.json"} </w:instrText>
      </w:r>
      <w:r w:rsidRPr="009867C1">
        <w:fldChar w:fldCharType="separate"/>
      </w:r>
      <w:r w:rsidR="0042141C" w:rsidRPr="009867C1">
        <w:t>(Snyder, 2014)</w:t>
      </w:r>
      <w:r w:rsidRPr="009867C1">
        <w:fldChar w:fldCharType="end"/>
      </w:r>
      <w:r w:rsidRPr="009867C1">
        <w:t xml:space="preserve">). Challenges are emerging in the north as well however, and as the </w:t>
      </w:r>
      <w:r w:rsidR="005A66EC">
        <w:t>A</w:t>
      </w:r>
      <w:r w:rsidRPr="009867C1">
        <w:t>rctic warms declines are being reported in the Yukon river watershed relat</w:t>
      </w:r>
      <w:r w:rsidR="005A66EC">
        <w:t>ed</w:t>
      </w:r>
      <w:r w:rsidRPr="009867C1">
        <w:t xml:space="preserve"> to heat stress and </w:t>
      </w:r>
      <w:r w:rsidR="005A66EC">
        <w:t>over</w:t>
      </w:r>
      <w:r w:rsidRPr="009867C1">
        <w:t xml:space="preserve">exploitation </w:t>
      </w:r>
      <w:r w:rsidRPr="009867C1">
        <w:fldChar w:fldCharType="begin"/>
      </w:r>
      <w:r w:rsidR="00AC0205">
        <w:instrText xml:space="preserve"> ADDIN ZOTERO_ITEM CSL_CITATION {"citationID":"HP1DVEsk","properties":{"formattedCitation":"(Bowen et al., 2020; Loring &amp; Gerlach, 2010; von Biela et al., 2020)","plainCitation":"(Bowen et al., 2020; Loring &amp; Gerlach, 2010; von Biela et al., 2020)","noteIndex":0},"citationItems":[{"id":2546,"uris":["http://zotero.org/users/2189142/items/UWV4KN35"],"itemData":{"id":2546,"type":"article-journal","abstract":"The goal of this study was to look at the effects of increased water temperatures on Yukon River Chinook salmon health. We identified stress responses in salmon","container-title":"Conservation Physiology","DOI":"10.1093/conphys/coaa084","issue":"1","journalAbbreviation":"Conserv Physiol","language":"en","note":"publisher: Oxford Academic","source":"academic-oup-com.ezproxy.library.ubc.ca","title":"Transcriptomic response to elevated water temperatures in adult migrating Yukon River Chinook salmon (Oncorhynchus tshawytscha)","URL":"https://academic-oup-com.ezproxy.library.ubc.ca/conphys/article/8/1/coaa084/5903419","volume":"8","author":[{"family":"Bowen","given":"Lizabeth"},{"family":"Biela","given":"Vanessa R.","non-dropping-particle":"von"},{"family":"McCormick","given":"Stephen D."},{"family":"Regish","given":"Amy M."},{"family":"Waters","given":"Shannon C."},{"family":"Durbin-Johnson","given":"Blythe"},{"family":"Britton","given":"Monica"},{"family":"Settles","given":"Matthew L."},{"family":"Donnelly","given":"Daniel S."},{"family":"Laske","given":"Sarah M."},{"family":"Carey","given":"Michael P."},{"family":"Brown","given":"Randy J."},{"family":"Zimmerman","given":"Christian E."}],"accessed":{"date-parts":[["2021",3,2]]},"issued":{"date-parts":[["2020",1,1]]},"citation-key":"bowen_2020"}},{"id":2544,"uris":["http://zotero.org/users/2189142/items/FQ92QIPV"],"itemData":{"id":2544,"type":"article-journal","abstract":"By the terms set by international agreements for the conservation of Yukon River salmon, 2009 was a management success. It was a devastating year for many of the Alaska Native communities along the Yukon River, however, especially in up-river communities, where subsistence fishing was closed in order to meet international conservation goals for Chinook salmon. By the end of summer, the smokehouses and freezers of many Alaska Native families remained empty, and Alaska’s Governor Sean Parnell petitioned the US Federal Government to declare a fisheries disaster. This paper reviews the social and ecological dimensions of salmon management in 2009 in an effort to reconcile these differing views regarding success, and the apparently-competing goals of salmon conservation and food security. We report local observations of changes in the Chinook salmon fishery, as well as local descriptions of the impacts of fishing closures on the food system. Three categories of concern emerge from our interviews with rural Alaskan participants in the fishery and with federal and state agency managers: social and ecological impacts of closures; concerns regarding changes to spawning grounds; and a lack of confidence in current management methods and technologies. We show how a breakdown in observation of the Yukon River system undermines effective adaptive management and discuss how sector-based, species-by-species management undermines a goal of food security and contributes to the differential distribution of impacts for communities down and up river. We conclude with a discussion of the merits of a food system and ecosystem-based approach to management, and note existing jurisdictional and paradigmatic challenges to the implementation of such an approach in Alaska.","container-title":"Sustainability","DOI":"10.3390/su2092965","issue":"9","language":"en","note":"number: 9\npublisher: Molecular Diversity Preservation International","page":"2965-2987","source":"www.mdpi.com","title":"Food Security and Conservation of Yukon River Salmon: Are We Asking Too Much of the Yukon River?","title-short":"Food Security and Conservation of Yukon River Salmon","volume":"2","author":[{"family":"Loring","given":"Philip A."},{"family":"Gerlach","given":"Craig"}],"issued":{"date-parts":[["2010",9]]},"citation-key":"loring_2010"}},{"id":2545,"uris":["http://zotero.org/users/2189142/items/V3E2IFWC"],"itemData":{"id":2545,"type":"article-journal","abstract":"Migrating adult Paciﬁc salmon (Oncorhynchus spp.) are sensitive to warm water (&gt;18 °C), with a range of consequences from decreased spawning success to early mortality. We examined the proportion of Yukon River Chinook salmon (O. tshawytscha) exhibiting evidence of heat stress to assess the potential that high temperatures contribute to freshwater adult mortality in a northern Paciﬁc salmon population. Water temperatures greater than 18 °C have occurred almost annually in the Yukon River and correspond with low population abundance since the 1990s. Using gene transcription products and heat shock protein 70 biomarkers validated by ﬁeld experiment, we identiﬁed heat stress in half of Chinook salmon examined (54%, n = 477) across three mainstem locations and three tributaries in 2016–2017. Biomarkers tracked wide variation in water temperature (14–23 °C) within a tributary. The proportion of salmon with heat stress differed between years at four of the six locations, with more prevalent heat stress in the warmer year. This work demonstrates that warming water temperatures are currently affecting northern populations of Paciﬁc salmon.","container-title":"Canadian Journal of Fisheries and Aquatic Sciences","DOI":"10.1139/cjfas-2020-0209","ISSN":"0706-652X, 1205-7533","issue":"12","journalAbbreviation":"Can. J. Fish. Aquat. Sci.","language":"en","page":"1878-1892","source":"DOI.org (Crossref)","title":"Evidence of prevalent heat stress in Yukon River Chinook salmon","volume":"77","author":[{"family":"Biela","given":"Vanessa R.","non-dropping-particle":"von"},{"family":"Bowen","given":"Lizabeth"},{"family":"McCormick","given":"Stephen D."},{"family":"Carey","given":"Michael P."},{"family":"Donnelly","given":"Daniel S."},{"family":"Waters","given":"Shannon"},{"family":"Regish","given":"Amy M."},{"family":"Laske","given":"Sarah M."},{"family":"Brown","given":"Randy J."},{"family":"Larson","given":"Sean"},{"family":"Zuray","given":"Stanley"},{"family":"Zimmerman","given":"Christian E."}],"issued":{"date-parts":[["2020",12]]},"citation-key":"vonbiela_2020"}}],"schema":"https://github.com/citation-style-language/schema/raw/master/csl-citation.json"} </w:instrText>
      </w:r>
      <w:r w:rsidRPr="009867C1">
        <w:fldChar w:fldCharType="separate"/>
      </w:r>
      <w:r w:rsidR="0042141C" w:rsidRPr="009867C1">
        <w:t>(Bowen et al., 2020; Loring &amp; Gerlach, 2010; von Biela et al., 2020)</w:t>
      </w:r>
      <w:r w:rsidRPr="009867C1">
        <w:fldChar w:fldCharType="end"/>
      </w:r>
      <w:r w:rsidRPr="009867C1">
        <w:t xml:space="preserve">. </w:t>
      </w:r>
    </w:p>
    <w:p w14:paraId="0C59C60B" w14:textId="123DB10D" w:rsidR="008832BF" w:rsidRPr="009867C1" w:rsidRDefault="008832BF" w:rsidP="008832BF">
      <w:pPr>
        <w:ind w:firstLine="720"/>
      </w:pPr>
      <w:r w:rsidRPr="009867C1">
        <w:t xml:space="preserve">Despite their </w:t>
      </w:r>
      <w:r w:rsidR="005A66EC">
        <w:t xml:space="preserve">social, </w:t>
      </w:r>
      <w:r w:rsidRPr="009867C1">
        <w:t xml:space="preserve">economic and ecological importance, there remain important gaps in our understanding of salmon biology and ecology </w:t>
      </w:r>
      <w:r w:rsidRPr="009867C1">
        <w:fldChar w:fldCharType="begin"/>
      </w:r>
      <w:r w:rsidR="00AC0205">
        <w:instrText xml:space="preserve"> ADDIN ZOTERO_ITEM CSL_CITATION {"citationID":"3HEQsOAi","properties":{"formattedCitation":"(Connors, Jones, Honka, et al., 2018; J. C. Walsh, Connors, et al., 2020)","plainCitation":"(Connors, Jones, Honka, et al., 2018; J. C. Walsh, Connors, et al., 2020)","noteIndex":0},"citationItems":[{"id":2408,"uris":["http://zotero.org/users/2189142/items/CHV2XRV2"],"itemData":{"id":2408,"type":"article-journal","container-title":"Salish Sea Ecosystem Conference","title":"The Pacific salmon explorer: a data driven look at salmon populations and their habitats","title-short":"The Pacific salmon explorer","URL":"https://cedar.wwu.edu/ssec/2018ssec/allsessions/516","author":[{"family":"Connors","given":"Katrina"},{"family":"Jones","given":"Eileen"},{"family":"Honka","given":"Leah"},{"family":"Kellock","given":"Katy"},{"family":"Hertz","given":"Eric"},{"family":"Riddell","given":"Brian"}],"issued":{"date-parts":[["2018",4,6]]},"citation-key":"connors_2018"}},{"id":"Mdw2eqP8/pFyaWGjs","uris":["http://zotero.org/users/2189142/items/3PMU7YSS"],"itemData":{"id":2407,"type":"article-journal","abstract":"Current investment in conservation is insufficient to adequately protect and recover all ecosystems and species. The challenge of allocating limited funds is acute for Pacific salmon Oncorhynchus spp. in Canada, which lack a strategic approach to ensure that resources are spent on actions most likely to cost-effectively recover diminished populations. We applied the Priority Threat Management framework to prioritize strategies most likely to maximize the number of thriving Pacific salmon populations on the Central Coast of British Columbia, Canada. These included 79 genetically, ecologically and spatially distinct population groups called conservation units (CUs) for five salmon species. This region has high salmon biodiversity and spans the territories of four First Nations: the Heiltsuk, Nuxalk, Kitasoo/Xai'xais and Wuikinuxv. Using structured expert elicitation of Indigenous and other experts, we quantified the estimated benefits, costs and feasibility of implementing 10 strategies. Under a business-as-usual scenario (i.e. no additional investments in salmon conservation or management), experts predicted that only one in four CUs would have &gt;50% chance of achieving a thriving status within 20 years. Limiting future industrial development in salmon habitats, which was predicted to safeguard CUs from future declines, was identified as the most cost-effective strategy. Investment in three strategies: (a) removal of artificial barriers to fish migration, (b) watershed protection and (c) stream restoration—at 11.3M CAD per year—was predicted to result in nearly half (34 of 79) of the CUs having a &gt;60% chance of meeting the conservation objective. If all conservation strategies were implemented, experts estimated a &gt;50% probability of achieving a thriving status for 78 of 79 CUs, at an annual cost of 17.3M CAD. However, even with the implementation of all strategies, most sockeye salmon CUs were unlikely to achieve higher probability targets of reaching the objective. Policy implications. We illustrate how Priority Threat Management can incorporate the perspectives and expertise of Indigenous peoples and other experts to prioritize conservation strategies based on their cost, benefit and feasibility. Implementation of this framework can help safeguard and recover Pacific salmon in Canada, and could also be used to prioritize actions for other conservation issues globally.","container-title":"Journal of Applied Ecology","DOI":"https://doi.org/10.1111/1365-2664.13646","ISSN":"1365-2664","issue":"9","language":"en","note":"_eprint: https://onlinelibrary.wiley.com/doi/pdf/10.1111/1365-2664.13646","page":"1688-1699","source":"Wiley Online Library","title":"Prioritizing conservation actions for Pacific salmon in Canada","volume":"57","author":[{"family":"Walsh","given":"Jessica C."},{"family":"Connors","given":"Katrina"},{"family":"Hertz","given":"Eric"},{"family":"Kehoe","given":"Laura"},{"family":"Martin","given":"Tara G."},{"family":"Connors","given":"Brendan"},{"family":"Bradford","given":"Michael J."},{"family":"Freshwater","given":"Cameron"},{"family":"Frid","given":"Alejandro"},{"family":"Halverson","given":"Jessica"},{"family":"Moore","given":"Jonathan W."},{"family":"Price","given":"Michael H. H."},{"family":"Reynolds","given":"John D."}],"issued":{"date-parts":[["2020"]]}}}],"schema":"https://github.com/citation-style-language/schema/raw/master/csl-citation.json"} </w:instrText>
      </w:r>
      <w:r w:rsidRPr="009867C1">
        <w:fldChar w:fldCharType="separate"/>
      </w:r>
      <w:r w:rsidR="0042141C" w:rsidRPr="009867C1">
        <w:t>(Connors, Jones, Honka, et al., 2018; J. C. Walsh, Connors, et al., 2020)</w:t>
      </w:r>
      <w:r w:rsidRPr="009867C1">
        <w:fldChar w:fldCharType="end"/>
      </w:r>
      <w:r w:rsidRPr="009867C1">
        <w:t xml:space="preserve">. Their ocean life in particular remains obscure </w:t>
      </w:r>
      <w:r w:rsidRPr="009867C1">
        <w:fldChar w:fldCharType="begin"/>
      </w:r>
      <w:r w:rsidR="00AC0205">
        <w:instrText xml:space="preserve"> ADDIN ZOTERO_ITEM CSL_CITATION {"citationID":"wwjrHtbP","properties":{"formattedCitation":"(Augerot et al., 2005; Groot &amp; Margolis, 1991)","plainCitation":"(Augerot et al., 2005; Groot &amp; Margolis, 1991)","noteIndex":0},"citationItems":[{"id":2464,"uris":["http://zotero.org/users/2189142/items/NYA78B4G"],"itemData":{"id":2464,"type":"book","publisher":"University of California Press Berkeley","source":"Google Scholar","title":"Atlas of Pacific salmon: the first map-based status assessment of salmon in the North Pacific","title-short":"Atlas of Pacific salmon","author":[{"family":"Augerot","given":"Xanthippe"},{"family":"Foley","given":"Dana Nadel"},{"family":"Steinback","given":"C."},{"family":"Fuller","given":"A."},{"family":"Fobes","given":"N."},{"family":"Spencer","given":"K."}],"issued":{"date-parts":[["2005"]]},"citation-key":"augerot_2005"}},{"id":1018,"uris":["http://zotero.org/users/2189142/items/759FQMAZ"],"itemData":{"id":1018,"type":"book","abstract":"Pacific salmon are an important biological and economic resource of countries of the North Pacific rim. They are also a unique group of fish possessing unusually complex life histories. There are seven species of Pacific salmon, five occurring on both the North American and Asian continents (sockeye, pink, chum, chinook, and coho) and two (masu and amago) only in Asia.The life cycle of the Pacific salmon begins in the autumn when the adult female deposits eggs that are fertilized in gravel beds in rivers or lakes. The young emerge from the gravel the following spring and will either migrate immediately to salt water or spend one or more years in a river or lake before migrating. Migrations in the ocean are extensive during the feeding and growing phase, covering thousands of kilometres. After one or more years the maturing adults find their way back to their home river, returning to their ancestral breeding grounds to spawn. They die after spawning and the eggs in the gravel signify a new cycle. Upon this theme Pacific salmon have developed many variations, both between as well as within species. Pacific Salmon Life Histories provides detailed descriptions of the different life phases through which each of the seven species passes. Each chapter is written by a scientist who has spent years studying and observing a particular species of salmon. Some of the topics covered are geographic distribution, transplants, freshwater life, ocean life, development, growth, feeding, diet, migration, and spawning behaviour. The text is richly supplemented by numerous maps, illustrations, colour plates, and tables and there is a detailed general index, as well as a useful geographical index.","edition":"First Edition edition","event-place":"Vancouver","ISBN":"978-0-7748-0359-5","language":"English","number-of-pages":"608","publisher":"UBC Press","publisher-place":"Vancouver","source":"Amazon","title":"Pacific Salmon Life Histories","editor":[{"family":"Groot","given":"Cornelis"},{"family":"Margolis","given":"Leo"}],"issued":{"date-parts":[["1991",1,1]]},"citation-key":"groot_1991"}}],"schema":"https://github.com/citation-style-language/schema/raw/master/csl-citation.json"} </w:instrText>
      </w:r>
      <w:r w:rsidRPr="009867C1">
        <w:fldChar w:fldCharType="separate"/>
      </w:r>
      <w:r w:rsidR="0042141C" w:rsidRPr="009867C1">
        <w:t>(Augerot et al., 2005; Groot &amp; Margolis, 1991)</w:t>
      </w:r>
      <w:r w:rsidRPr="009867C1">
        <w:fldChar w:fldCharType="end"/>
      </w:r>
      <w:r w:rsidRPr="009867C1">
        <w:t>, and new discoveries reveal unexpected interconnections and biological challenges - for example, the</w:t>
      </w:r>
      <w:r w:rsidR="005A66EC">
        <w:t>re has been</w:t>
      </w:r>
      <w:r w:rsidRPr="009867C1">
        <w:t xml:space="preserve"> acute mortality</w:t>
      </w:r>
      <w:r w:rsidR="005A66EC">
        <w:t xml:space="preserve"> observed to be</w:t>
      </w:r>
      <w:r w:rsidRPr="009867C1">
        <w:t xml:space="preserve"> induced in coho salmon by the chemical 6PPD-quinone, a common rubber tire additive </w:t>
      </w:r>
      <w:r w:rsidRPr="009867C1">
        <w:fldChar w:fldCharType="begin"/>
      </w:r>
      <w:r w:rsidR="00AC0205">
        <w:instrText xml:space="preserve"> ADDIN ZOTERO_ITEM CSL_CITATION {"citationID":"R9NyUMF8","properties":{"formattedCitation":"(Z. Tian et al., 2021)","plainCitation":"(Z. Tian et al., 2021)","noteIndex":0},"citationItems":[{"id":2547,"uris":["http://zotero.org/users/2189142/items/KY2LDN6J"],"itemData":{"id":2547,"type":"article-journal","abstract":"Tire tread particles turn streams toxic\nFor coho salmon in the U.S. Pacific Northwest, returning to spawn in urban and suburban streams can be deadly. Regular acute mortality events are tied, in particular, to stormwater runoff, but the identity of the causative toxicant(s) has not been known. Starting from leachate from new and aged tire tread wear particles, Tian et al. followed toxic fractions through chromatography steps, eventually isolating a single molecule that could induce acute toxicity at threshold concentrations of </w:instrText>
      </w:r>
      <w:r w:rsidR="00AC0205">
        <w:rPr>
          <w:rFonts w:ascii="Cambria Math" w:hAnsi="Cambria Math" w:cs="Cambria Math"/>
        </w:rPr>
        <w:instrText>∼</w:instrText>
      </w:r>
      <w:r w:rsidR="00AC0205">
        <w:instrText xml:space="preserve">1 microgram per liter. The compound, called 6PPD-quinone, is an oxidation product of an additive intended to prevent damage to tire rubber from ozone. Measurements from road runoff and immediate receiving waters show concentrations of 6PPD-quinone high enough to account for the acute toxicity events.\nScience, this issue p. 185\nIn U.S. Pacific Northwest coho salmon (Oncorhynchus kisutch), stormwater exposure annually causes unexplained acute mortality when adult salmon migrate to urban creeks to reproduce. By investigating this phenomenon, we identified a highly toxic quinone transformation product of N-(1,3-dimethylbutyl)-N′-phenyl-p-phenylenediamine (6PPD), a globally ubiquitous tire rubber antioxidant. Retrospective analysis of representative roadway runoff and stormwater-affected creeks of the U.S. West Coast indicated widespread occurrence of 6PPD-quinone (&lt;0.3 to 19 micrograms per liter) at toxic concentrations (median lethal concentration of 0.8 ± 0.16 micrograms per liter). These results reveal unanticipated risks of 6PPD antioxidants to an aquatic species and imply toxicological relevance for dissipated tire rubber residues.\nA toxic transformation product of a tire rubber antioxidant explains mortality in salmon exposed to urban stormwater.\nA toxic transformation product of a tire rubber antioxidant explains mortality in salmon exposed to urban stormwater.","container-title":"Science","DOI":"10.1126/science.abd6951","ISSN":"0036-8075, 1095-9203","issue":"6525","language":"en","note":"publisher: American Association for the Advancement of Science\nsection: Report\nPMID: 33273063","page":"185-189","source":"science-sciencemag-org.ezproxy.library.ubc.ca","title":"A ubiquitous tire rubber–derived chemical induces acute mortality in coho salmon","volume":"371","author":[{"family":"Tian","given":"Zhenyu"},{"family":"Zhao","given":"Haoqi"},{"family":"Peter","given":"Katherine T."},{"family":"Gonzalez","given":"Melissa"},{"family":"Wetzel","given":"Jill"},{"family":"Wu","given":"Christopher"},{"family":"Hu","given":"Ximin"},{"family":"Prat","given":"Jasmine"},{"family":"Mudrock","given":"Emma"},{"family":"Hettinger","given":"Rachel"},{"family":"Cortina","given":"Allan E."},{"family":"Biswas","given":"Rajshree Ghosh"},{"family":"Kock","given":"Flávio Vinicius Crizóstomo"},{"family":"Soong","given":"Ronald"},{"family":"Jenne","given":"Amy"},{"family":"Du","given":"Bowen"},{"family":"Hou","given":"Fan"},{"family":"He","given":"Huan"},{"family":"Lundeen","given":"Rachel"},{"family":"Gilbreath","given":"Alicia"},{"family":"Sutton","given":"Rebecca"},{"family":"Scholz","given":"Nathaniel L."},{"family":"Davis","given":"Jay W."},{"family":"Dodd","given":"Michael C."},{"family":"Simpson","given":"Andre"},{"family":"McIntyre","given":"Jenifer K."},{"family":"Kolodziej","given":"Edward P."}],"issued":{"date-parts":[["2021",1,8]]},"citation-key":"tian_2021"}}],"schema":"https://github.com/citation-style-language/schema/raw/master/csl-citation.json"} </w:instrText>
      </w:r>
      <w:r w:rsidRPr="009867C1">
        <w:fldChar w:fldCharType="separate"/>
      </w:r>
      <w:r w:rsidR="0042141C" w:rsidRPr="009867C1">
        <w:t>(Z. Tian et al., 2021)</w:t>
      </w:r>
      <w:r w:rsidRPr="009867C1">
        <w:fldChar w:fldCharType="end"/>
      </w:r>
      <w:r w:rsidRPr="009867C1">
        <w:t xml:space="preserve">. </w:t>
      </w:r>
      <w:r w:rsidR="005A66EC">
        <w:t>Knowledge</w:t>
      </w:r>
      <w:r w:rsidRPr="009867C1">
        <w:t xml:space="preserve"> gaps </w:t>
      </w:r>
      <w:r w:rsidR="005A66EC">
        <w:t xml:space="preserve">of such stressors </w:t>
      </w:r>
      <w:r w:rsidRPr="009867C1">
        <w:t xml:space="preserve">hamper conservation efforts, as do challenges in reconciling international and local interests and management objectives. </w:t>
      </w:r>
      <w:r w:rsidR="005A66EC">
        <w:t>L</w:t>
      </w:r>
      <w:r w:rsidRPr="009867C1">
        <w:t>and-use</w:t>
      </w:r>
      <w:r w:rsidR="005A66EC">
        <w:t xml:space="preserve"> change</w:t>
      </w:r>
      <w:r w:rsidRPr="009867C1">
        <w:t>, inappropriate salmon</w:t>
      </w:r>
      <w:r w:rsidR="005A66EC">
        <w:t xml:space="preserve"> fishing and</w:t>
      </w:r>
      <w:r w:rsidRPr="009867C1">
        <w:t xml:space="preserve"> farming practices, and political resistance stymie efforts at legislative change. And as the future of salmon remain</w:t>
      </w:r>
      <w:r w:rsidR="00390945">
        <w:t>s</w:t>
      </w:r>
      <w:r w:rsidRPr="009867C1">
        <w:t xml:space="preserve"> uncertain, so too does the future of aquatic and terrestrial systems that will be affected by their loss.</w:t>
      </w:r>
    </w:p>
    <w:p w14:paraId="6B0F4093" w14:textId="77777777" w:rsidR="008832BF" w:rsidRPr="009867C1" w:rsidRDefault="008832BF" w:rsidP="008832BF">
      <w:pPr>
        <w:ind w:firstLine="720"/>
      </w:pPr>
    </w:p>
    <w:p w14:paraId="432D4A87" w14:textId="04009392" w:rsidR="008832BF" w:rsidRPr="009867C1" w:rsidRDefault="008832BF" w:rsidP="008832BF">
      <w:pPr>
        <w:pStyle w:val="Heading3"/>
      </w:pPr>
      <w:bookmarkStart w:id="28" w:name="_Toc99385404"/>
      <w:r w:rsidRPr="009867C1">
        <w:t xml:space="preserve">Salmon streams and salmon lakes: aquatic effects of </w:t>
      </w:r>
      <w:r w:rsidR="005A66EC">
        <w:t>marine-derived nutrients</w:t>
      </w:r>
      <w:bookmarkEnd w:id="28"/>
      <w:r w:rsidR="005A66EC">
        <w:t xml:space="preserve"> </w:t>
      </w:r>
    </w:p>
    <w:p w14:paraId="42A4160D" w14:textId="3AD07E2E" w:rsidR="008832BF" w:rsidRDefault="008832BF" w:rsidP="008832BF">
      <w:pPr>
        <w:ind w:firstLine="720"/>
      </w:pPr>
      <w:r w:rsidRPr="009867C1">
        <w:t xml:space="preserve">Early observations of salmon runs led to speculation about their importance to maintaining the productivity of spawning lakes and rivers. As early as the 1930s, </w:t>
      </w:r>
      <w:r w:rsidR="00390945">
        <w:t>s</w:t>
      </w:r>
      <w:r w:rsidRPr="009867C1">
        <w:t xml:space="preserve">ockeye salmon were found to increase soluble phosphorus and nitrogen compounds in lakes and streams on Kodiak Island, Alaska </w:t>
      </w:r>
      <w:r w:rsidRPr="009867C1">
        <w:fldChar w:fldCharType="begin"/>
      </w:r>
      <w:r w:rsidR="00AC0205">
        <w:instrText xml:space="preserve"> ADDIN ZOTERO_ITEM CSL_CITATION {"citationID":"8P2lbIrd","properties":{"formattedCitation":"(Juday et al., 1932)","plainCitation":"(Juday et al., 1932)","noteIndex":0},"citationItems":[{"id":778,"uris":["http://zotero.org/users/2189142/items/28SK9HMT"],"itemData":{"id":778,"type":"article-journal","container-title":"Fishery Bulletin","page":"407–436","source":"Google Scholar","title":"Limnological studies of Karluk Lake, Alaska","volume":"12","author":[{"family":"Juday","given":"C."},{"family":"Rich","given":"Willis H."},{"family":"Kemmerer","given":"G. I."},{"family":"Mann","given":"A."}],"issued":{"date-parts":[["1932"]]},"citation-key":"juday_1932"}}],"schema":"https://github.com/citation-style-language/schema/raw/master/csl-citation.json"} </w:instrText>
      </w:r>
      <w:r w:rsidRPr="009867C1">
        <w:fldChar w:fldCharType="separate"/>
      </w:r>
      <w:r w:rsidR="0042141C" w:rsidRPr="009867C1">
        <w:t>(Juday et al., 1932)</w:t>
      </w:r>
      <w:r w:rsidRPr="009867C1">
        <w:fldChar w:fldCharType="end"/>
      </w:r>
      <w:r w:rsidRPr="009867C1">
        <w:t>.  A more systematic study in California found that stream water nitrogen, phosphorus, algae production, periphyton production, and stream metabolism w</w:t>
      </w:r>
      <w:r w:rsidR="00C31534">
        <w:t>ere</w:t>
      </w:r>
      <w:r w:rsidRPr="009867C1">
        <w:t xml:space="preserve"> higher downstream than upstream of spawning salmon, and higher in high-salmon run years compared to years with lower runs </w:t>
      </w:r>
      <w:r w:rsidRPr="009867C1">
        <w:fldChar w:fldCharType="begin"/>
      </w:r>
      <w:r w:rsidR="00AC0205">
        <w:instrText xml:space="preserve"> ADDIN ZOTERO_ITEM CSL_CITATION {"citationID":"CJTXLbxS","properties":{"formattedCitation":"(Richey et al., 1975)","plainCitation":"(Richey et al., 1975)","noteIndex":0},"citationItems":[{"id":228,"uris":["http://zotero.org/users/2189142/items/Q82PVY73"],"itemData":{"id":228,"type":"article-journal","abstract":"The role of kokanee salmon (Oncorhynchus nerka) carcass decomposition in the nutrient cycles and energy flow of a subalpine stream was investigated during a season (1970–71) of high spawner abundan..., Nous avons examiné le rôle de la décomposition des cadavres de kokanis (Oncorhynchus nerka) dans le cycle alimentaire et le flux d’énergie d’un cours d’eau subalpin pendant une saison (1970–71) de ...","container-title":"Journal of the Fisheries Research Board of Canada","DOI":"10.1139/f75-109","ISSN":"0015-296X","issue":"6","journalAbbreviation":"J. Fish. Res. Bd. Can.","page":"817-820","source":"NRC Research Press","title":"Effects of Kokanee Salmon (Oncorhynchus nerka) Decomposition on the Ecology of a Subalpine Stream","volume":"32","author":[{"family":"Richey","given":"Jeffrey E."},{"family":"Perkins","given":"Michael A."},{"family":"Goldman","given":"Charles R."}],"issued":{"date-parts":[["1975",6,1]]},"citation-key":"richey_1975"}}],"schema":"https://github.com/citation-style-language/schema/raw/master/csl-citation.json"} </w:instrText>
      </w:r>
      <w:r w:rsidRPr="009867C1">
        <w:fldChar w:fldCharType="separate"/>
      </w:r>
      <w:r w:rsidR="0042141C" w:rsidRPr="009867C1">
        <w:t>(Richey et al., 1975)</w:t>
      </w:r>
      <w:r w:rsidRPr="009867C1">
        <w:fldChar w:fldCharType="end"/>
      </w:r>
      <w:r w:rsidRPr="009867C1">
        <w:t xml:space="preserve">. This led to a </w:t>
      </w:r>
      <w:r w:rsidR="00FB68A6">
        <w:t xml:space="preserve">rich </w:t>
      </w:r>
      <w:r w:rsidRPr="009867C1">
        <w:t>literature focused on intergenerational effects between returning salmon populations and their offspring, which found that</w:t>
      </w:r>
      <w:r w:rsidR="00FB68A6">
        <w:t xml:space="preserve"> presence of</w:t>
      </w:r>
      <w:r w:rsidRPr="009867C1">
        <w:t xml:space="preserve"> salmon carcasses </w:t>
      </w:r>
      <w:r w:rsidR="00FB68A6">
        <w:t xml:space="preserve">in natal streams </w:t>
      </w:r>
      <w:r w:rsidRPr="009867C1">
        <w:t>w</w:t>
      </w:r>
      <w:r w:rsidR="00C31534">
        <w:t>as</w:t>
      </w:r>
      <w:r w:rsidRPr="009867C1">
        <w:t xml:space="preserve"> associated with higher growth rates in juvenile salmon </w:t>
      </w:r>
      <w:r w:rsidRPr="009867C1">
        <w:fldChar w:fldCharType="begin"/>
      </w:r>
      <w:r w:rsidR="00AC0205">
        <w:instrText xml:space="preserve"> ADDIN ZOTERO_ITEM CSL_CITATION {"citationID":"9zQXush3","properties":{"formattedCitation":"(Wipfli et al., 2003)","plainCitation":"(Wipfli et al., 2003)","noteIndex":0},"citationItems":[{"id":638,"uris":["http://zotero.org/users/2189142/items/6CBG4BJF"],"itemData":{"id":638,"type":"article-journal","abstract":"We tested the hypotheses that marine-derived resource subsidies (salmon carcasses) increase the growth rates of stream-resident salmonids in southeastern Alaska and that more carcasses translate into more growth. Five carcass treatments of pink salmon Oncorhynchus gorbuscha (0, 1, 2, 3, and 4 carcasses/m2 or 0, 1.9, 3.7, 5.6, and 7.4 kg wet mass/m2) were replicated six times in once-through artificial channels, then each channel was stocked with three live age-0 coho salmon O. kisutch. The experiment spanned more than 9 weeks: 16 August to 24 October 1998. The body mass and fork length of the young coho salmon significantly increased from carcass additions, but the incremental increases sharply diminished at carcass-loading levels above 1 carcass/m2. Further, in a small stream in which we added salmon carcasses to a cumulative density of 0.54 carcasses/m2, both cutthroat trout O. clarki and Dolly Varden Salvelinus malma grew significantly faster during the 2 months in which carcasses were added (September–October) compared with fish in control reaches. Fish maintained their assimilated body mass through winter into the following spring. This study illustrates that marine nutrients and energy from salmon spawners increase growth rates of resident and anadromous salmonids in streams. This elevated growth should translate into increased survival and reproduction, ultimately elevating freshwater and marine salmon production. Ecological relationships between salmon runs and aquatic community nutrition and productivity may be important considerations for salmon stock protection and restoration and for freshwater and marine ecosystem management.","container-title":"Transactions of the American Fisheries Society","DOI":"10.1577/1548-8659(2003)132&lt;0371:MSIFES&gt;2.0.CO;2","ISSN":"0002-8487","issue":"2","page":"371-381","source":"Taylor and Francis+NEJM","title":"Marine Subsidies in Freshwater Ecosystems: Salmon Carcasses Increase the Growth Rates of Stream-Resident Salmonids","title-short":"Marine Subsidies in Freshwater Ecosystems","volume":"132","author":[{"family":"Wipfli","given":"Mark S."},{"family":"Hudson","given":"John P."},{"family":"Caouette","given":"John P."},{"family":"Chaloner","given":"Dominic T."}],"issued":{"date-parts":[["2003",3,1]]},"citation-key":"wipfli_2003"}}],"schema":"https://github.com/citation-style-language/schema/raw/master/csl-citation.json"} </w:instrText>
      </w:r>
      <w:r w:rsidRPr="009867C1">
        <w:fldChar w:fldCharType="separate"/>
      </w:r>
      <w:r w:rsidR="0042141C" w:rsidRPr="009867C1">
        <w:t>(Wipfli et al., 2003)</w:t>
      </w:r>
      <w:r w:rsidRPr="009867C1">
        <w:fldChar w:fldCharType="end"/>
      </w:r>
      <w:r w:rsidR="00FB68A6">
        <w:t>. This</w:t>
      </w:r>
      <w:r w:rsidRPr="009867C1">
        <w:t xml:space="preserve"> suggested the possibility of a </w:t>
      </w:r>
      <w:r w:rsidR="00FB68A6">
        <w:t xml:space="preserve">reinforcing </w:t>
      </w:r>
      <w:r w:rsidRPr="009867C1">
        <w:t xml:space="preserve">feedback loop whereby reduced marine derived nutrient (MDN) inputs lead to smaller salmon fry and hence reduced fitness, which in turn leads to lower runs in future years </w:t>
      </w:r>
      <w:r w:rsidRPr="00937409">
        <w:fldChar w:fldCharType="begin"/>
      </w:r>
      <w:r w:rsidR="00AC0205">
        <w:instrText xml:space="preserve"> ADDIN ZOTERO_ITEM CSL_CITATION {"citationID":"VvW0ZYyC","properties":{"formattedCitation":"(Cederholm et al., 1999b; Larkin &amp; Slaney, 1997)","plainCitation":"(Cederholm et al., 1999b; Larkin &amp; Slaney, 1997)","noteIndex":0},"citationItems":[{"id":1985,"uris":["http://zotero.org/users/2189142/items/AZ2VKS4G"],"itemData":{"id":1985,"type":"article-journal","abstract":"Pacific salmon and other anadromous salmonids represent a major vector for transporting marine nutrients across ecosystem boundaries (i.e., from marine to freshwater and terrestrial ecosystems). Salmon carcasses provide nutrients and energy to biota within aquatic and terrestrial ecosystems through various pathways. In this paper we review and synthesize the growing number of studies documenting this process in different localities. We also discuss the implications for maintaining the nutrient feedback system. Our findings show that future management will need to view spawning salmon and their carcasses as important habitat components for sustaining the production of fish as well as other salmon-dependent species within watersheds.","container-title":"Fisheries","DOI":"10.1577/1548-8446(1999)024&lt;0006:PSC&gt;2.0.CO;2","ISSN":"0363-2415","issue":"10","page":"6-15","source":"Taylor and Francis+NEJM","title":"Pacific Salmon Carcasses: Essential Contributions of Nutrients and Energy for Aquatic and Terrestrial Ecosystems","title-short":"Pacific Salmon Carcasses","volume":"24","author":[{"family":"Cederholm","given":"C. J."},{"family":"Kunze","given":"Matt D."},{"family":"Murota","given":"Takeshi"},{"family":"Sibatani","given":"Atuhiro"}],"issued":{"date-parts":[["1999",10,1]]},"citation-key":"cederholm_1999"}},{"id":1199,"uris":["http://zotero.org/users/2189142/items/R27ZZSFU"],"itemData":{"id":1199,"type":"article-journal","container-title":"Fisheries","issue":"11","page":"16–24","source":"Google Scholar","title":"Implications of trends in marine-derived nutrient influx to south coastal British Columbia salmonid production","volume":"22","author":[{"family":"Larkin","given":"Gillian A."},{"family":"Slaney","given":"Pat A."}],"issued":{"date-parts":[["1997"]]},"citation-key":"larkin_1997"}}],"schema":"https://github.com/citation-style-language/schema/raw/master/csl-citation.json"} </w:instrText>
      </w:r>
      <w:r w:rsidRPr="00937409">
        <w:fldChar w:fldCharType="separate"/>
      </w:r>
      <w:r w:rsidR="0042141C" w:rsidRPr="00937409">
        <w:t>(Cederholm et al., 1999b; Larkin &amp; Slaney, 1997)</w:t>
      </w:r>
      <w:r w:rsidRPr="00937409">
        <w:fldChar w:fldCharType="end"/>
      </w:r>
      <w:r w:rsidRPr="009867C1">
        <w:t xml:space="preserve">. This concern, as well as </w:t>
      </w:r>
      <w:r w:rsidR="00FB68A6">
        <w:t xml:space="preserve">evidence </w:t>
      </w:r>
      <w:r w:rsidRPr="009867C1">
        <w:t>of increase</w:t>
      </w:r>
      <w:r w:rsidR="00FB68A6">
        <w:t>d</w:t>
      </w:r>
      <w:r w:rsidRPr="009867C1">
        <w:t xml:space="preserve"> primary production in benthic algae associated with salmon carcass decomposition </w:t>
      </w:r>
      <w:r w:rsidRPr="009867C1">
        <w:fldChar w:fldCharType="begin"/>
      </w:r>
      <w:r w:rsidR="00AC0205">
        <w:instrText xml:space="preserve"> ADDIN ZOTERO_ITEM CSL_CITATION {"citationID":"NIeOVfCh","properties":{"formattedCitation":"(Narver, 1967)","plainCitation":"(Narver, 1967)","noteIndex":0},"citationItems":[{"id":2496,"uris":["http://zotero.org/users/2189142/items/9BK5VS9Y"],"itemData":{"id":2496,"type":"article-journal","container-title":"Journal of the Fisheries Board of Canada","issue":"10","note":"publisher: NRC Research Press Ottawa, Canada","page":"2045–2052","source":"Google Scholar","title":"Primary productivity in the Babine lake system, British Columbia","volume":"24","author":[{"family":"Narver","given":"David W."}],"issued":{"date-parts":[["1967"]]},"citation-key":"narver_1967"}}],"schema":"https://github.com/citation-style-language/schema/raw/master/csl-citation.json"} </w:instrText>
      </w:r>
      <w:r w:rsidRPr="009867C1">
        <w:fldChar w:fldCharType="separate"/>
      </w:r>
      <w:r w:rsidR="0042141C" w:rsidRPr="009867C1">
        <w:t>(Narver, 1967)</w:t>
      </w:r>
      <w:r w:rsidRPr="009867C1">
        <w:fldChar w:fldCharType="end"/>
      </w:r>
      <w:r w:rsidRPr="009867C1">
        <w:t>, led to efforts to measure the broader suite of salmon impacts on host lakes and streams.</w:t>
      </w:r>
    </w:p>
    <w:p w14:paraId="3D917703" w14:textId="2F51F6EC" w:rsidR="00937409" w:rsidRPr="009867C1" w:rsidRDefault="00937409" w:rsidP="00937409">
      <w:pPr>
        <w:ind w:firstLine="720"/>
      </w:pPr>
      <w:r w:rsidRPr="009867C1">
        <w:t>One of the most commonly used correlates to measure</w:t>
      </w:r>
      <w:r>
        <w:t xml:space="preserve"> </w:t>
      </w:r>
      <w:r w:rsidRPr="009867C1">
        <w:t>MDN</w:t>
      </w:r>
      <w:r>
        <w:t xml:space="preserve"> </w:t>
      </w:r>
      <w:r w:rsidRPr="009867C1">
        <w:t>inputs has been nitrogen stable isotope ratios (δ</w:t>
      </w:r>
      <w:r w:rsidRPr="009867C1">
        <w:rPr>
          <w:vertAlign w:val="superscript"/>
        </w:rPr>
        <w:t>15</w:t>
      </w:r>
      <w:r w:rsidRPr="009867C1">
        <w:t xml:space="preserve">N). </w:t>
      </w:r>
      <w:r>
        <w:t>Biogeochemically</w:t>
      </w:r>
      <w:r w:rsidRPr="009867C1">
        <w:t xml:space="preserve">, </w:t>
      </w:r>
      <w:r w:rsidRPr="009867C1">
        <w:rPr>
          <w:vertAlign w:val="superscript"/>
        </w:rPr>
        <w:t>15</w:t>
      </w:r>
      <w:r w:rsidRPr="009867C1">
        <w:t xml:space="preserve">N is higher in marine </w:t>
      </w:r>
      <w:r>
        <w:t>relative to</w:t>
      </w:r>
      <w:r w:rsidRPr="009867C1">
        <w:t xml:space="preserve"> terrestrial environments</w:t>
      </w:r>
      <w:r>
        <w:t xml:space="preserve">; </w:t>
      </w:r>
      <w:r w:rsidRPr="009867C1">
        <w:t xml:space="preserve"> </w:t>
      </w:r>
      <w:r>
        <w:t>i</w:t>
      </w:r>
      <w:r w:rsidRPr="009867C1">
        <w:t xml:space="preserve">n addition, it bioaccumulates in trophic webs </w:t>
      </w:r>
      <w:r>
        <w:t>so</w:t>
      </w:r>
      <w:r w:rsidRPr="009867C1">
        <w:t xml:space="preserve"> that predators show elevated δ</w:t>
      </w:r>
      <w:r w:rsidRPr="009867C1">
        <w:rPr>
          <w:vertAlign w:val="superscript"/>
        </w:rPr>
        <w:t>15</w:t>
      </w:r>
      <w:r w:rsidRPr="009867C1">
        <w:t xml:space="preserve">N relative to herbivores </w:t>
      </w:r>
      <w:r w:rsidRPr="005A66EC">
        <w:fldChar w:fldCharType="begin"/>
      </w:r>
      <w:r w:rsidR="00AC0205">
        <w:instrText xml:space="preserve"> ADDIN ZOTERO_ITEM CSL_CITATION {"citationID":"qIp1HSbe","properties":{"formattedCitation":"(Fry, 2007)","plainCitation":"(Fry, 2007)","noteIndex":0},"citationItems":[{"id":475,"uris":["http://zotero.org/users/2189142/items/RFHXKG2M"],"itemData":{"id":475,"type":"book","abstract":"A solid introduction to stable isotopes that can also be used as an instructive review for more experienced researchers and professionals. The book approaches the use of isotopes from the perspective of ecological and biological research, but its concepts can be applied within other disciplines. A novel, step-by-step spreadsheet modeling approach is also presented for circulating tracers in any ecological system, including any favorite system an ecologist might dream up while sitting at a computer. The author’s humorous and lighthearted style painlessly imparts the principles of isotope ecology. The online material contains color illustrations, spreadsheet models, technical appendices, and problems and answers.","edition":"1st ed. 2006. 3rd. Corr. printing 2007 edition","event-place":"New York, NY","ISBN":"978-0-387-30513-4","language":"English","number-of-pages":"308","publisher":"Springer","publisher-place":"New York, NY","source":"Amazon","title":"Stable Isotope Ecology","author":[{"family":"Fry","given":"Brian"}],"issued":{"date-parts":[["2007",12,21]]},"citation-key":"fry_2007"}}],"schema":"https://github.com/citation-style-language/schema/raw/master/csl-citation.json"} </w:instrText>
      </w:r>
      <w:r w:rsidRPr="005A66EC">
        <w:fldChar w:fldCharType="separate"/>
      </w:r>
      <w:r w:rsidRPr="005A66EC">
        <w:t>(Fry, 2007)</w:t>
      </w:r>
      <w:r w:rsidRPr="005A66EC">
        <w:fldChar w:fldCharType="end"/>
      </w:r>
      <w:r w:rsidRPr="009867C1">
        <w:t>. Since salmon are predators of marine origin, elevated δ</w:t>
      </w:r>
      <w:r w:rsidRPr="009867C1">
        <w:rPr>
          <w:vertAlign w:val="superscript"/>
        </w:rPr>
        <w:t>15</w:t>
      </w:r>
      <w:r w:rsidRPr="009867C1">
        <w:t>N has been used as a measure of MDN contributions to the nitrogen budgets of recipient systems</w:t>
      </w:r>
      <w:r w:rsidR="00B84EF7">
        <w:t>, and as a tracer of the flow and fate of MDN through trophic webs</w:t>
      </w:r>
      <w:r w:rsidRPr="009867C1">
        <w:t xml:space="preserve">.  </w:t>
      </w:r>
    </w:p>
    <w:p w14:paraId="2BEEC551" w14:textId="2905A755" w:rsidR="008832BF" w:rsidRPr="009867C1" w:rsidRDefault="005A66EC" w:rsidP="008832BF">
      <w:pPr>
        <w:ind w:firstLine="720"/>
      </w:pPr>
      <w:r>
        <w:t>The arrival of salmon</w:t>
      </w:r>
      <w:r w:rsidR="008832BF" w:rsidRPr="009867C1">
        <w:t xml:space="preserve"> directly affects stream and lake water chemistry. Their presence increases stream nitrogenous compounds (primarily NH</w:t>
      </w:r>
      <w:r w:rsidR="008832BF" w:rsidRPr="009867C1">
        <w:rPr>
          <w:vertAlign w:val="subscript"/>
        </w:rPr>
        <w:t>4</w:t>
      </w:r>
      <w:r w:rsidR="008832BF" w:rsidRPr="009867C1">
        <w:rPr>
          <w:vertAlign w:val="superscript"/>
        </w:rPr>
        <w:t>+</w:t>
      </w:r>
      <w:r w:rsidR="008832BF" w:rsidRPr="009867C1">
        <w:t>, but also NO</w:t>
      </w:r>
      <w:r w:rsidR="008832BF" w:rsidRPr="009867C1">
        <w:rPr>
          <w:vertAlign w:val="subscript"/>
        </w:rPr>
        <w:t>3</w:t>
      </w:r>
      <w:r w:rsidR="008832BF" w:rsidRPr="009867C1">
        <w:rPr>
          <w:vertAlign w:val="superscript"/>
        </w:rPr>
        <w:t xml:space="preserve">- </w:t>
      </w:r>
      <w:r w:rsidR="008832BF" w:rsidRPr="009867C1">
        <w:t>and dissolved organic nitrogen (DON)) and phosphorus compounds (PO</w:t>
      </w:r>
      <w:r w:rsidR="008832BF" w:rsidRPr="009867C1">
        <w:rPr>
          <w:vertAlign w:val="subscript"/>
        </w:rPr>
        <w:t>4</w:t>
      </w:r>
      <w:r w:rsidR="008832BF" w:rsidRPr="009867C1">
        <w:rPr>
          <w:vertAlign w:val="superscript"/>
        </w:rPr>
        <w:t>-</w:t>
      </w:r>
      <w:r w:rsidR="008832BF" w:rsidRPr="009867C1">
        <w:t xml:space="preserve">; soluble reactive phosphorus (SRP)) </w:t>
      </w:r>
      <w:r w:rsidR="008832BF" w:rsidRPr="009867C1">
        <w:fldChar w:fldCharType="begin"/>
      </w:r>
      <w:r w:rsidR="00AC0205">
        <w:instrText xml:space="preserve"> ADDIN ZOTERO_ITEM CSL_CITATION {"citationID":"y5eaFSCe","properties":{"formattedCitation":"(Hood et al., 2019; Minakawa &amp; Gara, 1999; Mitchell &amp; Lamberti, 2005)","plainCitation":"(Hood et al., 2019; Minakawa &amp; Gara, 1999; Mitchell &amp; Lamberti, 2005)","noteIndex":0},"citationItems":[{"id":203,"uris":["http://zotero.org/users/2189142/items/IBJQAVHM"],"itemData":{"id":203,"type":"article-journal","abstract":"Salmon are important vectors for biogeochemical transport across ecosystem boundaries. Here we quantified salmon contributions to annual catchment fluxes of nutrients (N and P) and organic matter (C, N, and P) from a forested catchment in coastal southeast Alaska. Concentrations of ammonium and soluble reactive phosphorus increased by several orders of magnitude during spawning and were significantly correlated with spawning salmon densities. Nitrate concentrations increased modestly during spawning and were not significantly correlated with salmon densities. Salmon had a modest legacy effect on inorganic N and P as evidenced by elevated streamwater concentrations past the end of the spawning period. Dissolved organic carbon concentrations did not respond to the presence of salmon; however, concentrations of dissolved organic nitrogen and phosphorus showed a significant positive relationship to salmon densities. Changes in spectroscopic properties of the bulk streamwater dissolved organic matter pool indicated that streamwater dissolved organic matter became less aromatic and biolabile during spawning. On an annual basis, salmon were the dominant source of streamwater fluxes of inorganic nutrients, accounting for 92%, 65%, and 74% of annual streamwater fluxes of ammonium, nitrate, and soluble reactive phosphorus, respectively. In contrast, fluxes of organic matter were dominated by catchment sources with salmon accounting for &lt;1% of the annual catchment flux of dissolved organic carbon and 12% and 15% of the annual fluxes of dissolved organic nitrogen and phosphorous respectively. These findings indicate that, in small coastal catchments, salmon can be a quantitatively important source of dissolved streamwater nutrients with implications for productivity in downstream estuarine ecosystems.","container-title":"Freshwater Biology","DOI":"10.1111/fwb.13292","ISSN":"1365-2427","issue":"6","language":"en","page":"1157-1168","source":"Wiley Online Library","title":"Salmon-derived nutrient and organic matter fluxes from a coastal catchment in southeast Alaska","volume":"64","author":[{"family":"Hood","given":"Eran"},{"family":"Fellman","given":"Jason B."},{"family":"Edwards","given":"Rick T."},{"family":"D'Amore","given":"David V."},{"family":"Scott","given":"Durelle"}],"issued":{"date-parts":[["2019"]]},"citation-key":"hood_2019"}},{"id":2439,"uris":["http://zotero.org/users/2189142/items/8EFV3QE5"],"itemData":{"id":2439,"type":"article-journal","container-title":"Journal of Freshwater Ecology","issue":"3","note":"publisher: Taylor &amp; Francis","page":"327–335","source":"Google Scholar","title":"Ecological effects of a chum salmon (Oncorhynchus keta) spawning run in a small stream of the Pacific Northwest","volume":"14","author":[{"family":"Minakawa","given":"Noboru"},{"family":"Gara","given":"Robert I."}],"issued":{"date-parts":[["1999"]]},"citation-key":"minakawa_1999"}},{"id":2475,"uris":["http://zotero.org/users/2189142/items/GZVPJC23"],"itemData":{"id":2475,"type":"article-journal","container-title":"Limnology and Oceanography","issue":"1","note":"publisher: Wiley Online Library","page":"217–227","source":"Google Scholar","title":"Responses in dissolved nutrients and epilithon abundance to spawning salmon in southeast Alaska streams","volume":"50","author":[{"family":"Mitchell","given":"Nicole L."},{"family":"Lamberti","given":"Gary A."}],"issued":{"date-parts":[["2005"]]},"citation-key":"mitchell_2005"}}],"schema":"https://github.com/citation-style-language/schema/raw/master/csl-citation.json"} </w:instrText>
      </w:r>
      <w:r w:rsidR="008832BF" w:rsidRPr="009867C1">
        <w:fldChar w:fldCharType="separate"/>
      </w:r>
      <w:r w:rsidR="0042141C" w:rsidRPr="009867C1">
        <w:t>(Hood et al., 2019; Minakawa &amp; Gara, 1999; Mitchell &amp; Lamberti, 2005)</w:t>
      </w:r>
      <w:r w:rsidR="008832BF" w:rsidRPr="009867C1">
        <w:fldChar w:fldCharType="end"/>
      </w:r>
      <w:r w:rsidR="008832BF" w:rsidRPr="009867C1">
        <w:t xml:space="preserve">. Some variability has been reported in stream carbon and dissolved organic matter (DOM) content, with some studies documenting increases with salmon </w:t>
      </w:r>
      <w:r w:rsidR="008832BF" w:rsidRPr="009867C1">
        <w:fldChar w:fldCharType="begin"/>
      </w:r>
      <w:r w:rsidR="00AC0205">
        <w:instrText xml:space="preserve"> ADDIN ZOTERO_ITEM CSL_CITATION {"citationID":"LqTivUee","properties":{"formattedCitation":"(Hood et al., 2007; Sarica et al., 2004)","plainCitation":"(Hood et al., 2007; Sarica et al., 2004)","noteIndex":0},"citationItems":[{"id":2437,"uris":["http://zotero.org/users/2189142/items/DQDB4FRT"],"itemData":{"id":2437,"type":"article-journal","container-title":"Limnology and oceanography","issue":"4","note":"publisher: Wiley Online Library","page":"1580–1587","source":"Google Scholar","title":"Salmon influences on dissolved organic matter in a coastal temperate brownwater stream: an application of fluorescence spectroscopy","title-short":"Salmon influences on dissolved organic matter in a coastal temperate brownwater stream","volume":"52","author":[{"family":"Hood","given":"Eran"},{"family":"Fellman","given":"Jason"},{"family":"Edwards","given":"Rick T."}],"issued":{"date-parts":[["2007"]]},"citation-key":"hood_2007"}},{"id":2436,"uris":["http://zotero.org/users/2189142/items/JCJHLSQZ"],"itemData":{"id":2436,"type":"article-journal","container-title":"Limnology and Oceanography","issue":"4","note":"publisher: Wiley Online Library","page":"891–899","source":"Google Scholar","title":"Salmon-derived mercury and nutrients in a Lake Ontario spawning stream","volume":"49","author":[{"family":"Sarica","given":"José"},{"family":"Amyot","given":"Marc"},{"family":"Hare","given":"Landis"},{"family":"Doyon","given":"Marie-Renée"},{"family":"Stanfield","given":"Les William"}],"issued":{"date-parts":[["2004"]]},"citation-key":"sarica_2004"}}],"schema":"https://github.com/citation-style-language/schema/raw/master/csl-citation.json"} </w:instrText>
      </w:r>
      <w:r w:rsidR="008832BF" w:rsidRPr="009867C1">
        <w:fldChar w:fldCharType="separate"/>
      </w:r>
      <w:r w:rsidR="0042141C" w:rsidRPr="009867C1">
        <w:t>(Hood et al., 2007; Sarica et al., 2004)</w:t>
      </w:r>
      <w:r w:rsidR="008832BF" w:rsidRPr="009867C1">
        <w:fldChar w:fldCharType="end"/>
      </w:r>
      <w:r w:rsidR="008832BF" w:rsidRPr="009867C1">
        <w:t xml:space="preserve"> and others finding no effect </w:t>
      </w:r>
      <w:r w:rsidR="008832BF" w:rsidRPr="009867C1">
        <w:fldChar w:fldCharType="begin"/>
      </w:r>
      <w:r w:rsidR="00AC0205">
        <w:instrText xml:space="preserve"> ADDIN ZOTERO_ITEM CSL_CITATION {"citationID":"R7w6iX4i","properties":{"formattedCitation":"(Hood et al., 2019)","plainCitation":"(Hood et al., 2019)","noteIndex":0},"citationItems":[{"id":203,"uris":["http://zotero.org/users/2189142/items/IBJQAVHM"],"itemData":{"id":203,"type":"article-journal","abstract":"Salmon are important vectors for biogeochemical transport across ecosystem boundaries. Here we quantified salmon contributions to annual catchment fluxes of nutrients (N and P) and organic matter (C, N, and P) from a forested catchment in coastal southeast Alaska. Concentrations of ammonium and soluble reactive phosphorus increased by several orders of magnitude during spawning and were significantly correlated with spawning salmon densities. Nitrate concentrations increased modestly during spawning and were not significantly correlated with salmon densities. Salmon had a modest legacy effect on inorganic N and P as evidenced by elevated streamwater concentrations past the end of the spawning period. Dissolved organic carbon concentrations did not respond to the presence of salmon; however, concentrations of dissolved organic nitrogen and phosphorus showed a significant positive relationship to salmon densities. Changes in spectroscopic properties of the bulk streamwater dissolved organic matter pool indicated that streamwater dissolved organic matter became less aromatic and biolabile during spawning. On an annual basis, salmon were the dominant source of streamwater fluxes of inorganic nutrients, accounting for 92%, 65%, and 74% of annual streamwater fluxes of ammonium, nitrate, and soluble reactive phosphorus, respectively. In contrast, fluxes of organic matter were dominated by catchment sources with salmon accounting for &lt;1% of the annual catchment flux of dissolved organic carbon and 12% and 15% of the annual fluxes of dissolved organic nitrogen and phosphorous respectively. These findings indicate that, in small coastal catchments, salmon can be a quantitatively important source of dissolved streamwater nutrients with implications for productivity in downstream estuarine ecosystems.","container-title":"Freshwater Biology","DOI":"10.1111/fwb.13292","ISSN":"1365-2427","issue":"6","language":"en","page":"1157-1168","source":"Wiley Online Library","title":"Salmon-derived nutrient and organic matter fluxes from a coastal catchment in southeast Alaska","volume":"64","author":[{"family":"Hood","given":"Eran"},{"family":"Fellman","given":"Jason B."},{"family":"Edwards","given":"Rick T."},{"family":"D'Amore","given":"David V."},{"family":"Scott","given":"Durelle"}],"issued":{"date-parts":[["2019"]]},"citation-key":"hood_2019"}}],"schema":"https://github.com/citation-style-language/schema/raw/master/csl-citation.json"} </w:instrText>
      </w:r>
      <w:r w:rsidR="008832BF" w:rsidRPr="009867C1">
        <w:fldChar w:fldCharType="separate"/>
      </w:r>
      <w:r w:rsidR="0042141C" w:rsidRPr="009867C1">
        <w:t>(Hood et al., 2019)</w:t>
      </w:r>
      <w:r w:rsidR="008832BF" w:rsidRPr="009867C1">
        <w:fldChar w:fldCharType="end"/>
      </w:r>
      <w:r w:rsidR="008832BF" w:rsidRPr="009867C1">
        <w:t>. These changes in water chemistry are likely due to a combination of excretion, egg production, decomposition, and the effects of salmon behaviour. Comparisons between live salmon, salmon carcasses, and artificial fertilizers indicate that there are differen</w:t>
      </w:r>
      <w:r w:rsidR="004C3AC0">
        <w:t>t effects on water chemistry among</w:t>
      </w:r>
      <w:r w:rsidR="008832BF" w:rsidRPr="009867C1">
        <w:t xml:space="preserve"> these </w:t>
      </w:r>
      <w:r w:rsidR="004C3AC0">
        <w:t xml:space="preserve">nutrient source </w:t>
      </w:r>
      <w:r w:rsidR="008832BF" w:rsidRPr="009867C1">
        <w:t>pathways, and indicated that excretion from live salmon is a major pathway of</w:t>
      </w:r>
      <w:r w:rsidR="004C3AC0">
        <w:t xml:space="preserve"> </w:t>
      </w:r>
      <w:r w:rsidR="008832BF" w:rsidRPr="009867C1">
        <w:t>NH</w:t>
      </w:r>
      <w:r w:rsidR="008832BF" w:rsidRPr="009867C1">
        <w:rPr>
          <w:vertAlign w:val="subscript"/>
        </w:rPr>
        <w:t>4</w:t>
      </w:r>
      <w:r w:rsidR="004C3AC0">
        <w:rPr>
          <w:vertAlign w:val="subscript"/>
        </w:rPr>
        <w:t xml:space="preserve"> </w:t>
      </w:r>
      <w:r w:rsidR="004C3AC0">
        <w:t xml:space="preserve">deposition </w:t>
      </w:r>
      <w:r w:rsidR="0091649B">
        <w:t>in</w:t>
      </w:r>
      <w:r w:rsidR="004C3AC0">
        <w:t xml:space="preserve"> the water column</w:t>
      </w:r>
      <w:r w:rsidR="008832BF" w:rsidRPr="009867C1">
        <w:rPr>
          <w:vertAlign w:val="subscript"/>
        </w:rPr>
        <w:t xml:space="preserve"> </w:t>
      </w:r>
      <w:r w:rsidR="008832BF" w:rsidRPr="009867C1">
        <w:rPr>
          <w:vertAlign w:val="subscript"/>
        </w:rPr>
        <w:fldChar w:fldCharType="begin"/>
      </w:r>
      <w:r w:rsidR="00AC0205">
        <w:rPr>
          <w:vertAlign w:val="subscript"/>
        </w:rPr>
        <w:instrText xml:space="preserve"> ADDIN ZOTERO_ITEM CSL_CITATION {"citationID":"swWGW0FQ","properties":{"formattedCitation":"(S. F. Collins et al., 2016; K. Wheeler et al., 2015)","plainCitation":"(S. F. Collins et al., 2016; K. Wheeler et al., 2015)","noteIndex":0},"citationItems":[{"id":364,"uris":["http://zotero.org/users/2189142/items/87CNISEU"],"itemData":{"id":364,"type":"article-journal","abstract":"Artificial additions of nutrients of differing forms such as salmon carcasses and analog pellets (i.e. pasteurized fishmeal) have been proposed as a means of stimulating aquatic productivity and enhancing populations of anadromous and resident fishes. Nutrient mitigation to enhance fish production in stream ecosystems assumes that the central pathway by which effects occur is bottom-up, through aquatic primary and secondary production, with little consideration of reciprocal aquatic-terrestrial pathways. The net outcome (i.e. bottom-up vs. top-down) of adding salmon-derived materials to streams depend on whether or not these subsidies indirectly intensify predation on in situ prey via increases in a shared predator or alleviate such predation pressure. We conducted a 3-year experiment across nine tributaries of the N. Fork Boise River, Idaho, USA, consisting of 500-m stream reaches treated with salmon carcasses (n = 3), salmon carcass analog (n = 3), and untreated control reaches (n = 3). We observed 2–8 fold increases in streambed biofilms in the 2–6 weeks following additions of both salmon subsidy treatments in years 1 and 2 and a 1.5-fold increase in standing crop biomass of aquatic invertebrates to carcass additions in the second year of our experiment. The consumption of benthic invertebrates by stream fishes increased 110–140% and 44–66% in carcass and analog streams in the same time frame, which may have masked invertebrate standing crop responses in years 3 and 4. Resident trout directly consumed 10.0–24.0 g·m−2·yr−1 of salmon carcass and &lt;1–11.0 g·m−2·yr−1 of analog material, which resulted in 1.2–2.9 g·m−2·yr−1 and 0.03–1.4 g·m−2·yr−1 of tissue produced. In addition, a feedback flux of terrestrial maggots to streams contributed 0.0–2.0 g·m−2·yr−1 to trout production. Overall, treatments increased annual trout production by 2–3 fold, though density and biomass were unaffected. Our results indicate the strength of bottom-up and top-down responses to subsidy additions was asymmetrical, with top-down forces masking bottom-up effects that required multiple years to manifest. The findings also highlight the need for nutrient mitigation programs to consider multiple pathways of energy and nutrient flow to account for the complex effects of salmon subsidies in stream-riparian ecosystems.","container-title":"Ecosphere","DOI":"10.1002/ecs2.1248","ISSN":"2150-8925","issue":"3","journalAbbreviation":"Ecosphere","language":"en","page":"n/a-n/a","source":"Wiley Online Library","title":"Effects of experimentally added salmon subsidies on resident fishes via direct and indirect pathways","volume":"7","author":[{"family":"Collins","given":"Scott F."},{"family":"Baxter","given":"Colden V."},{"family":"Marcarelli","given":"Amy M."},{"family":"Wipfli","given":"Mark S."}],"issued":{"date-parts":[["2016",3,1]]},"citation-key":"collins_2016"}},{"id":2192,"uris":["http://zotero.org/users/2189142/items/7NUSA8U3"],"itemData":{"id":2192,"type":"article-journal","abstract":"Consumer excretion can be an important component of nutrient cycling in aquatic ecosystems. Uncertainty concerning the functional role of many freshwater organisms remains, including those with migratory life-history strategies that may introduce nutrients to recipient systems. We quantified the magnitude, variability and importance of excretion by migratory fish in the context of stream nutrient cycling. In 2011–12, we collected data from tributaries of a central Utah reservoir used by two potamodromous fishes (Bonneville cut-throat trout – BCT, Oncorhynchus clarkii utah; kokanee salmon – KOK, Oncorhynchus nerka) with temporally separated spawning migrations. To quantify the contribution of the two migratory freshwater fishes to nutrient cycling, we extrapolated measurements of per capita nitrogen (N) and phosphorus (P) excretion rates to the population level within the local environmental context of two tributaries. We observed differences in excretion subsidies between species and tributaries. BCT excretion rates and ratios were significantly greater than those for KOK. Estimates of the ratio of population-level migrant excretion to tributary nutrient export were highly variable through time and between tributaries. These estimates were influenced by spatiotemporal hydrologic variation and positively related to ratios of migrant biomass to discharge. During migrations, daily migrant excretion loading comprised a maximum of 6–859% and 1–388% of tributary NH4-N and soluble reactive phosphorus (SRP) export, respectively. Measurements of nutrient uptake suggested that migrant excretion could meet a substantial portion of ecosystem nutrient demand. Migrant excretion fluxes comprised 46–188% of ecosystem NH4-N demand and varied between streams and species. In contrast, the proportion of SRP demand supplied by migrant excretion (34–37%) was relatively invariant. These results demonstrate an important role for potamodromous fishes as nutrient sources in recipient ecosystems. Furthermore, our data support predictions about when and where effects of fish-derived nutrients will be strongest, thereby advancing the understanding of context-dependent migratory fish effects in riverine ecosystems. Although widespread and common, potamodromous fishes are overlooked but important organisms capable of substantially affecting stream nutrient cycling.","container-title":"Freshwater Biology","DOI":"https://doi.org/10.1111/fwb.12495","ISSN":"1365-2427","issue":"3","language":"en","note":"_eprint: https://onlinelibrary.wiley.com/doi/pdf/10.1111/fwb.12495","page":"537-550","source":"Wiley Online Library","title":"Migratory fish excretion as a nutrient subsidy to recipient stream ecosystems","volume":"60","author":[{"family":"Wheeler","given":"Kit"},{"family":"Miller","given":"Scott W."},{"family":"Crowl","given":"Todd A."}],"issued":{"date-parts":[["2015"]]},"citation-key":"wheeler_2015"}}],"schema":"https://github.com/citation-style-language/schema/raw/master/csl-citation.json"} </w:instrText>
      </w:r>
      <w:r w:rsidR="008832BF" w:rsidRPr="009867C1">
        <w:rPr>
          <w:vertAlign w:val="subscript"/>
        </w:rPr>
        <w:fldChar w:fldCharType="separate"/>
      </w:r>
      <w:r w:rsidR="0042141C" w:rsidRPr="009867C1">
        <w:t>(S. F. Collins et al., 2016; K. Wheeler et al., 2015)</w:t>
      </w:r>
      <w:r w:rsidR="008832BF" w:rsidRPr="009867C1">
        <w:rPr>
          <w:vertAlign w:val="subscript"/>
        </w:rPr>
        <w:fldChar w:fldCharType="end"/>
      </w:r>
      <w:r w:rsidR="008832BF" w:rsidRPr="009867C1">
        <w:t xml:space="preserve">. </w:t>
      </w:r>
    </w:p>
    <w:p w14:paraId="0214910B" w14:textId="2F8854AA" w:rsidR="008832BF" w:rsidRPr="009867C1" w:rsidRDefault="00A72DF0" w:rsidP="008832BF">
      <w:pPr>
        <w:ind w:firstLine="720"/>
      </w:pPr>
      <w:r>
        <w:t>These i</w:t>
      </w:r>
      <w:r w:rsidR="008832BF" w:rsidRPr="009867C1">
        <w:t xml:space="preserve">ncreases in dissolved nutrients significantly affect stream primary producers, particularly those in biofilms and periphyton. Salmon have been shown to increase periphyton and plankton biomass </w:t>
      </w:r>
      <w:r w:rsidR="008832BF" w:rsidRPr="009867C1">
        <w:fldChar w:fldCharType="begin"/>
      </w:r>
      <w:r w:rsidR="00AC0205">
        <w:instrText xml:space="preserve"> ADDIN ZOTERO_ITEM CSL_CITATION {"citationID":"E9S2YZF1","properties":{"formattedCitation":"(S. F. Collins et al., 2016; Marcarelli et al., 2014)","plainCitation":"(S. F. Collins et al., 2016; Marcarelli et al., 2014)","noteIndex":0},"citationItems":[{"id":364,"uris":["http://zotero.org/users/2189142/items/87CNISEU"],"itemData":{"id":364,"type":"article-journal","abstract":"Artificial additions of nutrients of differing forms such as salmon carcasses and analog pellets (i.e. pasteurized fishmeal) have been proposed as a means of stimulating aquatic productivity and enhancing populations of anadromous and resident fishes. Nutrient mitigation to enhance fish production in stream ecosystems assumes that the central pathway by which effects occur is bottom-up, through aquatic primary and secondary production, with little consideration of reciprocal aquatic-terrestrial pathways. The net outcome (i.e. bottom-up vs. top-down) of adding salmon-derived materials to streams depend on whether or not these subsidies indirectly intensify predation on in situ prey via increases in a shared predator or alleviate such predation pressure. We conducted a 3-year experiment across nine tributaries of the N. Fork Boise River, Idaho, USA, consisting of 500-m stream reaches treated with salmon carcasses (n = 3), salmon carcass analog (n = 3), and untreated control reaches (n = 3). We observed 2–8 fold increases in streambed biofilms in the 2–6 weeks following additions of both salmon subsidy treatments in years 1 and 2 and a 1.5-fold increase in standing crop biomass of aquatic invertebrates to carcass additions in the second year of our experiment. The consumption of benthic invertebrates by stream fishes increased 110–140% and 44–66% in carcass and analog streams in the same time frame, which may have masked invertebrate standing crop responses in years 3 and 4. Resident trout directly consumed 10.0–24.0 g·m−2·yr−1 of salmon carcass and &lt;1–11.0 g·m−2·yr−1 of analog material, which resulted in 1.2–2.9 g·m−2·yr−1 and 0.03–1.4 g·m−2·yr−1 of tissue produced. In addition, a feedback flux of terrestrial maggots to streams contributed 0.0–2.0 g·m−2·yr−1 to trout production. Overall, treatments increased annual trout production by 2–3 fold, though density and biomass were unaffected. Our results indicate the strength of bottom-up and top-down responses to subsidy additions was asymmetrical, with top-down forces masking bottom-up effects that required multiple years to manifest. The findings also highlight the need for nutrient mitigation programs to consider multiple pathways of energy and nutrient flow to account for the complex effects of salmon subsidies in stream-riparian ecosystems.","container-title":"Ecosphere","DOI":"10.1002/ecs2.1248","ISSN":"2150-8925","issue":"3","journalAbbreviation":"Ecosphere","language":"en","page":"n/a-n/a","source":"Wiley Online Library","title":"Effects of experimentally added salmon subsidies on resident fishes via direct and indirect pathways","volume":"7","author":[{"family":"Collins","given":"Scott F."},{"family":"Baxter","given":"Colden V."},{"family":"Marcarelli","given":"Amy M."},{"family":"Wipfli","given":"Mark S."}],"issued":{"date-parts":[["2016",3,1]]},"citation-key":"collins_2016"}},{"id":1180,"uris":["http://zotero.org/users/2189142/items/UK7EXXDU"],"itemData":{"id":1180,"type":"article-journal","container-title":"Ecosphere","issue":"6","page":"1–22","source":"Google Scholar","title":"Nutrient additions to mitigate for loss of Pacific salmon: consequences for stream biofilm and nutrient dynamics","title-short":"Nutrient additions to mitigate for loss of Pacific salmon","volume":"5","author":[{"family":"Marcarelli","given":"Amy M."},{"family":"Baxter","given":"Colden V."},{"family":"Wipfli","given":"Mark S."}],"issued":{"date-parts":[["2014"]]},"citation-key":"marcarelli_2014"}}],"schema":"https://github.com/citation-style-language/schema/raw/master/csl-citation.json"} </w:instrText>
      </w:r>
      <w:r w:rsidR="008832BF" w:rsidRPr="009867C1">
        <w:fldChar w:fldCharType="separate"/>
      </w:r>
      <w:r w:rsidR="0042141C" w:rsidRPr="009867C1">
        <w:t>(S. F. Collins et al., 2016; Marcarelli et al., 2014)</w:t>
      </w:r>
      <w:r w:rsidR="008832BF" w:rsidRPr="009867C1">
        <w:fldChar w:fldCharType="end"/>
      </w:r>
      <w:r w:rsidR="008832BF" w:rsidRPr="009867C1">
        <w:t xml:space="preserve">, and these effects were recently reviewed </w:t>
      </w:r>
      <w:r w:rsidR="00B32EEA" w:rsidRPr="009867C1">
        <w:t>by Collins et al.</w:t>
      </w:r>
      <w:r w:rsidR="008832BF" w:rsidRPr="009867C1">
        <w:t xml:space="preserve"> </w:t>
      </w:r>
      <w:r w:rsidR="008832BF" w:rsidRPr="009867C1">
        <w:fldChar w:fldCharType="begin"/>
      </w:r>
      <w:r w:rsidR="00AC0205">
        <w:instrText xml:space="preserve"> ADDIN ZOTERO_ITEM CSL_CITATION {"citationID":"InAyWItI","properties":{"formattedCitation":"(S. F. Collins et al., 2015)","plainCitation":"(S. F. Collins et al., 2015)","dontUpdate":true,"noteIndex":0},"citationItems":[{"id":1179,"uris":["http://zotero.org/users/2189142/items/EIS3QH73"],"itemData":{"id":1179,"type":"article-journal","container-title":"Environmental management","issue":"3","page":"571–586","source":"Google Scholar","title":"A critical assessment of the ecological assumptions underpinning compensatory mitigation of salmon-derived nutrients","volume":"56","author":[{"family":"Collins","given":"Scott F."},{"family":"Marcarelli","given":"Amy M."},{"family":"Baxter","given":"Colden V."},{"family":"Wipfli","given":"Mark S."}],"issued":{"date-parts":[["2015"]]},"citation-key":"collins_2015"}}],"schema":"https://github.com/citation-style-language/schema/raw/master/csl-citation.json"} </w:instrText>
      </w:r>
      <w:r w:rsidR="008832BF" w:rsidRPr="009867C1">
        <w:fldChar w:fldCharType="separate"/>
      </w:r>
      <w:r w:rsidR="0042141C" w:rsidRPr="009867C1">
        <w:t>(2015)</w:t>
      </w:r>
      <w:r w:rsidR="008832BF" w:rsidRPr="009867C1">
        <w:fldChar w:fldCharType="end"/>
      </w:r>
      <w:r w:rsidR="008832BF" w:rsidRPr="009867C1">
        <w:t>. However, spawning salmon also disturb the streambed</w:t>
      </w:r>
      <w:r w:rsidR="00734A50">
        <w:t xml:space="preserve"> during migration and redd construction</w:t>
      </w:r>
      <w:r w:rsidR="008832BF" w:rsidRPr="009867C1">
        <w:t>, resulting in some cases in reduced algal biomass as periphyton and biofilms are dislodged</w:t>
      </w:r>
      <w:r w:rsidR="00734A50">
        <w:t xml:space="preserve"> by bioturbation</w:t>
      </w:r>
      <w:r w:rsidR="008832BF" w:rsidRPr="009867C1">
        <w:t xml:space="preserve"> and washed downstream </w:t>
      </w:r>
      <w:r w:rsidR="008832BF" w:rsidRPr="009867C1">
        <w:fldChar w:fldCharType="begin"/>
      </w:r>
      <w:r w:rsidR="00AC0205">
        <w:instrText xml:space="preserve"> ADDIN ZOTERO_ITEM CSL_CITATION {"citationID":"2XozCI97","properties":{"formattedCitation":"(Holtgrieve &amp; Schindler, 2011; Moore et al., 2007; R\\uc0\\u252{}egg et al., 2020; Verspoor et al., 2010)","plainCitation":"(Holtgrieve &amp; Schindler, 2011; Moore et al., 2007; Rüegg et al., 2020; Verspoor et al., 2010)","noteIndex":0},"citationItems":[{"id":789,"uris":["http://zotero.org/users/2189142/items/IBVD5RBG"],"itemData":{"id":789,"type":"article-journal","abstract":"In coastal areas of the North Pacific Ocean, annual returns of spawning salmon provide a substantial influx of nutrients and organic matter to streams and are generally believed to enhance the productivity of recipient ecosystems. Loss of this subsidy from areas with diminished salmon runs has been hypothesized to limit ecosystem productivity in juvenile salmon rearing habitats (lakes and streams), thereby reinforcing population declines. Using five to seven years of data from an Alaskan stream supporting moderate salmon densities, we show that salmon predictably increased stream water nutrient concentrations, which were on average 190% (nitrogen) and 390% (phosphorus) pre-salmon values, and that primary producers incorporated some of these nutrients into tissues. However, benthic algal biomass declined by an order of magnitude despite increased nutrients. We also measured changes in stream ecosystem metabolic properties, including gross primary productivity (GPP) and ecosystem respiration (ER), from three salmon streams by analyzing diel measurements of oxygen concentrations and stable isotopic ratios (δ18O-O2) within a Bayesian statistical model of oxygen dynamics. Our results do not support a shift toward higher primary productivity with the return of salmon, as is expected from a nutrient fertilization mechanism. Rather, net ecosystem metabolism switched from approximately net autotrophic (GPP ≥ ER) to a strongly net heterotrophic state (GPP </w:instrText>
      </w:r>
      <w:r w:rsidR="00AC0205">
        <w:rPr>
          <w:rFonts w:ascii="Cambria Math" w:hAnsi="Cambria Math" w:cs="Cambria Math"/>
        </w:rPr>
        <w:instrText>≪</w:instrText>
      </w:r>
      <w:r w:rsidR="00AC0205">
        <w:instrText xml:space="preserve"> ER) in response to bioturbation of benthic habitats by salmon. Following the seasonal arrival of salmon, GPP declined to &lt;12% of pre-salmon rates, while ER increased by over threefold. Metabolism by live salmon could not account for the observed increase in ER early in the salmon run, suggesting salmon nutrients and disturbance enhanced in situ heterotrophic respiration. Salmon also changed the physical properties of the stream, increasing air–water gas exchange by nearly 10-fold during peak spawning. We suggest that management efforts to restore salmon ecosystems should consider effects on ecosystem metabolic properties and how salmon disturbance affects the incorporation of marine-derived nutrients into food webs.","container-title":"Ecology","DOI":"10.1890/09-1694.1","ISSN":"1939-9170","issue":"2","language":"en","page":"373-385","source":"Wiley Online Library","title":"Marine-derived nutrients, bioturbation, and ecosystem metabolism: reconsidering the role of salmon in streams","title-short":"Marine-derived nutrients, bioturbation, and ecosystem metabolism","volume":"92","author":[{"family":"Holtgrieve","given":"Gordon W."},{"family":"Schindler","given":"Daniel E."}],"issued":{"date-parts":[["2011",2,1]]},"citation-key":"holtgrieve_2011"}},{"id":788,"uris":["http://zotero.org/users/2189142/items/CDIMAQER"],"itemData":{"id":788,"type":"article-journal","container-title":"Ecology","DOI":"10.1890/06-0782","ISSN":"0012-9658","issue":"5","language":"en","page":"1278-1291","source":"CrossRef","title":"BIOTIC CONTROL OF STREAM FLUXES: SPAWNING SALMON DRIVE NUTRIENT AND MATTER EXPORT","title-short":"BIOTIC CONTROL OF STREAM FLUXES","volume":"88","author":[{"family":"Moore","given":"Jonathan W."},{"family":"Schindler","given":"Daniel E."},{"family":"Carter","given":"Jackie L."},{"family":"Fox","given":"Justin"},{"family":"Griffiths","given":"Jennifer"},{"family":"Holtgrieve","given":"Gordon W."}],"issued":{"date-parts":[["2007",5]]},"citation-key":"moore_2007"}},{"id":2174,"uris":["http://zotero.org/users/2189142/items/P98Q7T5Y"],"itemData":{"id":2174,"type":"article-journal","abstract":"Organisms exert multiple, often-contrasting, influences on ecosystems. Migrating Pacific salmon (Oncorhynchus spp.) deliver nutrients to freshwater ecosystems, but also disturb benthic sediments during upstream migration and nest building. The relative importance of these contrasting roles is not well understood, especially not in relation to the temporal dynamics of other environmental drivers. To assess the influence of salmon-mediated enrichment and disturbance, we measured stream biofilm metrics (production, respiration, chlorophyll a [chla], ash-free dry mass, stable isotope signatures) and environmental variables (spawner and carcass abundance, dissolved nutrients, temperature, discharge, light) from July through September in multiple habitats of a southeast Alaska stream. Biofilm production and biomass increased before and early in the salmon run, but declined later in the run. Biofilm stable isotope composition indicated incorporation of salmon-derived carbon and nitrogen (N) during the latter part of the run. Biofilm biomass differed among benthic habitat types (i.e., riffles, pools stream edges) but temporal patterns were generally similar, suggesting salmon and environmental influences were not habitat-specific. We used this high-frequency field data to parameterize an ordinary differential equation model for dissolved inorganic N, chla, and cellular N, and estimated model parameters using Marcov Chain Monte Carlo. Posterior distributions indicated that 1) habitats and locations were generally similar in model parameters, 2) removing the effect of salmon resulted in no change in biofilm chla early in the run (mid-August), but did show a decrease for some habitats later in the run (September), and 3) the overall integrated salmon effect over the run was one of biofilm loss. Only the combination of high frequency biofilm and environmental data collections with a process-based model, allowed us to determine how environmental context dynamics interact with salmon run dynamics to modulate the biofilm response in natal spawning streams. High-frequency field data combined with modeling provides a critical tool to gain a mechanistic understanding of resource subsidies, especially those from organisms that have other influences and roles, in relation to the environmental context and will allow us to evaluate the small and large scale importance of subsidies.","container-title":"Frontiers in Ecology and Evolution","DOI":"10.3389/fevo.2020.00019","ISSN":"2296-701X","journalAbbreviation":"Front. Ecol. Evol.","language":"English","note":"publisher: Frontiers","source":"Frontiers","title":"Understanding the Relative Roles of Salmon Spawner Enrichment and Disturbance: A High-Frequency, Multi-Habitat Field and Modeling Approach","title-short":"Understanding the Relative Roles of Salmon Spawner Enrichment and Disturbance","URL":"https://www.frontiersin.org/articles/10.3389/fevo.2020.00019/full","volume":"8","author":[{"family":"Rüegg","given":"Janine"},{"family":"Chaloner","given":"Dominic T."},{"family":"Ballantyne","given":"Ford"},{"family":"Levi","given":"Peter S."},{"family":"Song","given":"Chao"},{"family":"Tank","given":"Jennifer L."},{"family":"Tiegs","given":"Scott D."},{"family":"Lamberti","given":"Gary A."}],"accessed":{"date-parts":[["2021",1,11]]},"issued":{"date-parts":[["2020"]]},"citation-key":"ruegg_2020"}},{"id":551,"uris":["http://zotero.org/users/2189142/items/6R2R5JX5"],"itemData":{"id":551,"type":"article-journal","abstract":"Species’ impacts on primary production can have strong ecological consequences. In freshwater ecosystems, Pacific salmon (Oncorhynchus spp.) may influence stream periphyton through substrate disturbance during spawning and nutrient subsidies from senescent adults. The shape of relationships between the abundance of spawning salmon and stream periphyton, as well as interactions with environmental variables, are incompletely understood and may differ across the geographic range of salmon. We examined these relationships across 24 sockeye salmon (Oncorhynchus nerka) spawning streams in north-central British Columbia, Canada. The influence of salmon abundance and environmental variables (temperature, light, dissolved nutrients, water velocity, watershed size, and invertebrate grazer abundance) on post-spawning periphyton abundance and nitrogen stable isotope signatures, which can indicate the uptake of salmon nitrogen, was evaluated using linear regression models and Akaike Information Criterion. Periphyton nitrogen stable isotope signatures were best described by a positive log-linear relationship with an upstream salmon abundance metric that includes salmon from earlier years. This suggests the presence of a nutrient legacy. In contrast, periphyton abundance was negatively related to the spawning-year salmon density, which likely results from substrate disturbance during spawning, and positively related to dissolved soluble reactive phosphorus prior to spawning, which may indicate phosphorus limitation in the streams. These results suggest that enrichment from salmon nutrients does not always translate into elevated periphyton abundance. This underscores the need to directly assess the outcome of salmon impacts on streams rather than extrapolating from stable isotope evidence for the incorporation of salmon nutrients into food webs.","container-title":"Ecosystems","DOI":"10.1007/s10021-010-9371-0","ISSN":"1432-9840, 1435-0629","issue":"7","journalAbbreviation":"Ecosystems","language":"en","page":"1020-1034","source":"link.springer.com.ezproxy.library.ubc.ca","title":"Quantitative Links Between Pacific Salmon and Stream Periphyton","volume":"13","author":[{"family":"Verspoor","given":"Jan J."},{"family":"Braun","given":"Douglas C."},{"family":"Reynolds","given":"John D."}],"issued":{"date-parts":[["2010",9,17]]},"citation-key":"verspoor_2010"}}],"schema":"https://github.com/citation-style-language/schema/raw/master/csl-citation.json"} </w:instrText>
      </w:r>
      <w:r w:rsidR="008832BF" w:rsidRPr="009867C1">
        <w:fldChar w:fldCharType="separate"/>
      </w:r>
      <w:r w:rsidR="0042141C" w:rsidRPr="009867C1">
        <w:t>(Holtgrieve &amp; Schindler, 2011; Moore et al., 2007; Rüegg et al., 2020; Verspoor et al., 2010)</w:t>
      </w:r>
      <w:r w:rsidR="008832BF" w:rsidRPr="009867C1">
        <w:fldChar w:fldCharType="end"/>
      </w:r>
      <w:r w:rsidR="008832BF" w:rsidRPr="009867C1">
        <w:t xml:space="preserve">. Hence salmon can either increase or decrease biofilm and periphyton abundance </w:t>
      </w:r>
      <w:r w:rsidR="008832BF" w:rsidRPr="009867C1">
        <w:fldChar w:fldCharType="begin"/>
      </w:r>
      <w:r w:rsidR="00AC0205">
        <w:instrText xml:space="preserve"> ADDIN ZOTERO_ITEM CSL_CITATION {"citationID":"ZVWWX4eB","properties":{"formattedCitation":"(J. N. Harding et al., 2014; R\\uc0\\u252{}egg et al., 2012)","plainCitation":"(J. N. Harding et al., 2014; Rüegg et al., 2012)","noteIndex":0},"citationItems":[{"id":516,"uris":["http://zotero.org/users/2189142/items/FK5TTHKN"],"itemData":{"id":516,"type":"article-journal","abstract":"* Nutrient subsidies and physical disturbance from migrating species can have strong impacts on primary producers. In the north Pacific, adult salmon (Oncorhynchus spp.) transport marine-derived nutrients back to freshwater streams and can also significantly disrupt the substratum during spawning events. We tested for effects of spawning pink (O. gorbuscha) and chum (O. keta) salmon on stream biofilm. Biofilm is a mix of algae, fungi and bacteria that provides food and habitat and forms the base of these aquatic food webs.\n\n\n* We collected rock biofilm samples to compare stable isotopes and biomass prior to and following peak salmon spawning in 16 catchments on the central coast of British Columbia, Canada.\n\n\n* We conducted two separate analyses. The first was a within-stream comparison, which focused on 5 catchments that had a barrier to pink and chum salmon migration. The second was an among-stream analysis that included all 16 catchments and explicitly considered biotic and abiotic factors, in addition to salmon density, known to influence biofilm growth and isotope ratios.\n\n\n* Salmon density proved to be the best predictor of biofilm δ15N. Biofilm δ13C was best predicted by salmon density and catchment size. While spring chlorophyll a increased with mean salmon density, it was on average lower during spawning in the autumn, probably due to physical disturbance from spawning salmon.\n\n\n* These results show that of the several variables considered to affect biofilm isotopes and biomass, salmon density and catchment size are among the most influential in coastal streams where salmon spawn.","container-title":"Freshwater Biology","DOI":"10.1111/fwb.12351","ISSN":"1365-2427","issue":"7","journalAbbreviation":"Freshw Biol","language":"en","page":"1361-1377","source":"Wiley Online Library","title":"Movers and shakers: nutrient subsidies and benthic disturbance predict biofilm biomass and stable isotope signatures in coastal streams","title-short":"Movers and shakers","volume":"59","author":[{"family":"Harding","given":"Jennifer N."},{"family":"Harding","given":"Joel M. S."},{"family":"Reynolds","given":"John D."}],"issued":{"date-parts":[["2014",7,1]]},"citation-key":"harding_2014a"}},{"id":783,"uris":["http://zotero.org/users/2189142/items/Q69CKH97"],"itemData":{"id":783,"type":"article-journal","abstract":"1. Variation in resource subsidies can create or reinforce heterogeneity in recipient ecosystems. Related activities of organisms delivering resource subsidies, such as ecosystem engineering by Pacific salmon spawners (Oncorhynchus spp.), also alter heterogeneity. We studied whether heterogeneity in stream environmental conditions and spawner abundances were reflected in the net ecological effects of salmon (i.e. enrichment by resource subsidies and disturbance by ecosystem engineering) on benthic biofilm. 2. We sampled seven Southeast Alaska streams over 3 years, both before and during the salmon run. In each stream and year, stream environmental characteristics and their influence on responses of benthic biofilm [mean and coefficient of variation of chlorophyll a (chl a), ash-free dry mass (AFDM) and autotrophic index (AFDM:chl a)] to spawners were assessed. 3. Streams and periods before and during the salmon run were distinct based on their environmental characteristics. The responses of most biofilm metrics to spawners were stream- and year-specific, suggesting that the ecological effect of spawners ranged from net enrichment to net disturbance depending on the stream or year studied. The environmental context, especially temperature, large wood, and sediment size, explained &gt;50% of biofilm variability during the run, but &lt;30% over the entire study, suggesting that salmon can alter environmental constraints. 4. Precision of biofilm estimates improved by increasing either the number of streams or the number of years sampled (i.e. spatial or temporal replication). However, combining data from different North Pacific Rim ecoregions inflated the confidence interval as compared with a single ecoregion, indicating the importance of regional environmental contexts for net salmon effects. 5. Our results suggest that biofilm responses to salmon can vary greatly, even within a single ecoregion, and that environmental conditions can modify net salmon effects. Consequently, generalisations about biofilm responses across the native range of salmon may be challenging.","container-title":"Freshwater Biology","DOI":"10.1111/j.1365-2427.2011.02703.x","ISSN":"1365-2427","issue":"1","language":"en","page":"129-142","source":"Wiley Online Library","title":"Environmental variability and the ecological effects of spawning Pacific salmon on stream biofilm","volume":"57","author":[{"family":"Rüegg","given":"Janine"},{"family":"Chaloner","given":"Dominic T."},{"family":"Levi","given":"Peter S."},{"family":"Tank","given":"Jennifer L."},{"family":"Tiegs","given":"Scott D."},{"family":"Lamberti","given":"Gary A."}],"issued":{"date-parts":[["2012",1,1]]},"citation-key":"ruegg_2012"}}],"schema":"https://github.com/citation-style-language/schema/raw/master/csl-citation.json"} </w:instrText>
      </w:r>
      <w:r w:rsidR="008832BF" w:rsidRPr="009867C1">
        <w:fldChar w:fldCharType="separate"/>
      </w:r>
      <w:r w:rsidR="0042141C" w:rsidRPr="009867C1">
        <w:t>(J. N. Harding et al., 2014; Rüegg et al., 2012)</w:t>
      </w:r>
      <w:r w:rsidR="008832BF" w:rsidRPr="009867C1">
        <w:fldChar w:fldCharType="end"/>
      </w:r>
      <w:r w:rsidR="008832BF" w:rsidRPr="009867C1">
        <w:t xml:space="preserve"> depending on </w:t>
      </w:r>
      <w:r w:rsidR="00734A50">
        <w:t xml:space="preserve">the </w:t>
      </w:r>
      <w:r w:rsidR="008832BF" w:rsidRPr="009867C1">
        <w:t>environmental context and the time of year</w:t>
      </w:r>
      <w:r>
        <w:t xml:space="preserve"> that measurements are being taken</w:t>
      </w:r>
      <w:r w:rsidR="008832BF" w:rsidRPr="009867C1">
        <w:t>. Th</w:t>
      </w:r>
      <w:r w:rsidR="00B32EEA" w:rsidRPr="009867C1">
        <w:t>e</w:t>
      </w:r>
      <w:r w:rsidR="008832BF" w:rsidRPr="009867C1">
        <w:t>s</w:t>
      </w:r>
      <w:r w:rsidR="00B32EEA" w:rsidRPr="009867C1">
        <w:t>e</w:t>
      </w:r>
      <w:r w:rsidR="008832BF" w:rsidRPr="009867C1">
        <w:t xml:space="preserve"> effect</w:t>
      </w:r>
      <w:r w:rsidR="00B32EEA" w:rsidRPr="009867C1">
        <w:t>s</w:t>
      </w:r>
      <w:r w:rsidR="008832BF" w:rsidRPr="009867C1">
        <w:t xml:space="preserve"> </w:t>
      </w:r>
      <w:r w:rsidR="00B32EEA" w:rsidRPr="009867C1">
        <w:t>are</w:t>
      </w:r>
      <w:r w:rsidR="008832BF" w:rsidRPr="009867C1">
        <w:t xml:space="preserve"> mediated by sediment size and presence of large woody debris (LWD), which in turn</w:t>
      </w:r>
      <w:r w:rsidR="00B32EEA" w:rsidRPr="009867C1">
        <w:t xml:space="preserve"> are</w:t>
      </w:r>
      <w:r w:rsidR="008832BF" w:rsidRPr="009867C1">
        <w:t xml:space="preserve"> affected by logging intensity </w:t>
      </w:r>
      <w:r w:rsidR="00734A50">
        <w:t>that</w:t>
      </w:r>
      <w:r w:rsidR="008832BF" w:rsidRPr="009867C1">
        <w:t xml:space="preserve"> can shift the net effect of salmon on aquatic biofilm from positive to negative </w:t>
      </w:r>
      <w:r w:rsidR="008832BF" w:rsidRPr="009867C1">
        <w:fldChar w:fldCharType="begin"/>
      </w:r>
      <w:r w:rsidR="00AC0205">
        <w:instrText xml:space="preserve"> ADDIN ZOTERO_ITEM CSL_CITATION {"citationID":"1nNffxch","properties":{"formattedCitation":"(P. S. Levi et al., 2011; Tiegs et al., 2008)","plainCitation":"(P. S. Levi et al., 2011; Tiegs et al., 2008)","noteIndex":0},"citationItems":[{"id":847,"uris":["http://zotero.org/users/2189142/items/647EFBX4"],"itemData":{"id":847,"type":"article-journal","abstract":"Streams often rely on nutrient subsidies, and variation in nutrient delivery may alter the ecosystem response. Pacific salmon (Oncorhynchus spp.) provide marine-derived nutrients to their natal streams but also cause benthic disturbance, with the net effect determined by watershed and stream characteristics. To understand the factors contributing to variation in salmon-derived nutrients (SDN), we studied nutrient concentration and export in seven streams with varying physical characteristics due to timber harvest (e.g., channel complexity) over three years in Southeast Alaska, USA. Salmon increased concentrations and export of dissolved and particulate nitrogen, phosphorus, and carbon, but the magnitude of increase varied up to 41-fold among streams. The density of live salmon best predicted the increase in nutrient concentration and export, whereas the density of carcasses had a negligible effect. Nutrient export was predicted by transient storage before and after the salmon run. Streams in harvested wat..., Les cours d’eau dépendent souvent de subsides de nutriments et la variation dans les apports de nutriments peut modifier les réactions de l’écosystème. Les saumons du Pacifique (Oncorhynchus spp.) procurent des nutriments d’origine marine à leur cours d’eau de naissance, mais ils causent aussi des bouleversements benthiques; l’effet net dépend des caractéristiques du bassin versant et du cours d’eau. Afin de connaître les facteurs qui contribuent à la variation dans les nutriments provenant des saumons (SDN), nous avons étudié les concentrations et les exportations de nutriments dans sept cours d’eau présentant des caractéristiques physiques différentes dues à la coupe du bois (par ex., complexité du chenal) pendant trois ans dans le sud-est de l’Alaska. Les saumons font augmenter les concentrations et l’exportation de l’azote dissous et particulaire, du phosphore et du carbone, mais l’importance de l’augmentation varie par un facteur pouvant atteindre 41 entre les cours d’eau. La densité des saumons est ...","container-title":"Canadian Journal of Fisheries and Aquatic Sciences","DOI":"10.1139/f2011-067","ISSN":"0706-652X","issue":"8","journalAbbreviation":"Can. J. Fish. Aquat. Sci.","page":"1316-1329","source":"NRC Research Press","title":"Does timber harvest influence the dynamics of marine-derived nutrients in Southeast Alaska streams?","volume":"68","author":[{"family":"Levi","given":"Peter S."},{"family":"Tank","given":"Jennifer L."},{"family":"Tiegs","given":"Scott D."},{"family":"Rüegg","given":"Janine"},{"family":"Chaloner","given":"Dominic T."},{"family":"Lamberti","given":"Gary A."}],"issued":{"date-parts":[["2011",7,28]]},"citation-key":"levi_2011"}},{"id":2080,"uris":["http://zotero.org/users/2189142/items/LDCM5H6P"],"itemData":{"id":2080,"type":"article-journal","abstract":"Although species commonly modify habitats and thereby influence ecosystem structure and function, the factors governing the ecological importance of these modifications are not well understood. Pacific salmon have repeatedly been shown to positively influence the abundance of benthic biota by annually transferring large quantities of nutrients from marine systems to the nutrient-poor freshwaters in which they spawn. Conversely, other studies have demonstrated that salmon can negatively influence the abundance of freshwater biota, an effect attributed to bioturbation during upstream migration and nest construction. The factors determining which of these contrasting ecological effects predominates are unknown, including how human activities, such as land use, influence ecological responses to salmon. We sampled a key basal food resource, sediment biofilm, in seven southeast Alaskan streams impacted to varying degrees by timber harvest. Biofilm abundance (measured as chlorophyll a and ash-free dry mass) was positively related to timber-harvest intensity prior to salmon arrival. However, during the salmon run, an inverse relationship emerged of more abundant biofilm in less-harvested watersheds. Among-stream variability in biofilm response to salmon was largely explained by sediment particle size, which was larger in less-harvested watersheds. Collectively, these results suggest that, by altering stream sediment size, timber harvest transformed the dominant effect of salmon from nutrient enrichment to physical disturbance, thus modifying nutrient linkages between marine and freshwater ecosystems.","container-title":"Ecological Applications","DOI":"10.1890/07-0655.1","ISSN":"1939-5582","issue":"1","language":"en","note":"_eprint: https://onlinelibrary.wiley.com/doi/pdf/10.1890/07-0655.1","page":"4-11","source":"Wiley Online Library","title":"Timber Harvest Transforms Ecological Roles of Salmon in Southeast Alaska Rain Forest Streams","volume":"18","author":[{"family":"Tiegs","given":"Scott D."},{"family":"Chaloner","given":"Dominic T."},{"family":"Levi","given":"Peter"},{"family":"Rüegg","given":"Janine"},{"family":"Tank","given":"Jennifer L."},{"family":"Lamberti","given":"Gary A."}],"issued":{"date-parts":[["2008"]]},"citation-key":"tiegs_2008"}}],"schema":"https://github.com/citation-style-language/schema/raw/master/csl-citation.json"} </w:instrText>
      </w:r>
      <w:r w:rsidR="008832BF" w:rsidRPr="009867C1">
        <w:fldChar w:fldCharType="separate"/>
      </w:r>
      <w:r w:rsidR="0042141C" w:rsidRPr="009867C1">
        <w:t>(P. S. Levi et al., 2011; Tiegs et al., 2008)</w:t>
      </w:r>
      <w:r w:rsidR="008832BF" w:rsidRPr="009867C1">
        <w:fldChar w:fldCharType="end"/>
      </w:r>
      <w:r w:rsidR="008832BF" w:rsidRPr="009867C1">
        <w:t xml:space="preserve">. </w:t>
      </w:r>
    </w:p>
    <w:p w14:paraId="6A0CF396" w14:textId="4495C169" w:rsidR="008832BF" w:rsidRDefault="00734A50" w:rsidP="008832BF">
      <w:pPr>
        <w:ind w:firstLine="720"/>
      </w:pPr>
      <w:r>
        <w:t>Marine derived nutrients have also been shown to affect</w:t>
      </w:r>
      <w:r w:rsidR="008832BF" w:rsidRPr="009867C1">
        <w:t xml:space="preserve"> benthic invertebrates </w:t>
      </w:r>
      <w:r w:rsidR="008832BF" w:rsidRPr="009867C1">
        <w:fldChar w:fldCharType="begin"/>
      </w:r>
      <w:r w:rsidR="00AC0205">
        <w:instrText xml:space="preserve"> ADDIN ZOTERO_ITEM CSL_CITATION {"citationID":"64TgZAHs","properties":{"formattedCitation":"(Sato et al., 2016; Verspoor et al., 2011)","plainCitation":"(Sato et al., 2016; Verspoor et al., 2011)","noteIndex":0},"citationItems":[{"id":1439,"uris":["http://zotero.org/users/2189142/items/PXF4WFSE"],"itemData":{"id":1439,"type":"article-journal","abstract":"Spatial resource subsidies can alter bottom-up and top-down forces of community regulation across ecosystem boundaries. Most subsidies are temporally variable, and recent theory has suggested that consumer-resource dynamics can be stabilized if the peak timing of a subsidy is desynchronized with that of prey productivity in the recipient ecosystem. However, magnitude of consumer responses per se could depend on the subsidy timing, which may be a critical component for community dynamics and ecosystem processes. The aim of this study was to test (i) whether a recipient consumer (cutthroat trout) responds differently to a resource subsidy occurring early in its growing season than to a subsidy occurring late in the season and, if this is the case, (ii) whether the timing-dependent consumer response has cascading effects on communities and ecosystem functions in streams. To test those hypotheses, we conducted a large-scale field experiment, in which we directly manipulated the timing of augmentation of the terrestrial invertebrates that enter stream (i.e. peak timing of June–August vs. August–October), keeping constant the total amounts of the invertebrates entered. We found large increases in the individual growth rate and population biomass of the cutthroat trout, in response to the early resource pulse, but not to the late pulse. This timing-dependent consumer response cascaded down to reduce benthic invertebrates and leaf breakdown rate, and increased water nutrient concentrations. Furthermore, the early resource pulse resulted in higher maturity rate of the cutthroat trout in the following spring, demonstrating the importance of the subsidy timing on long-term community dynamics via the consumer's numerical response. Our results emphasize the need to acknowledge timing-dependent consumer responses in understanding the effects of subsidies on communities and ecosystem processes. Elucidating the mechanisms by which consumers effectively exploit pulsed subsidies is an important avenue to better understand community dynamics in spatially coupled ecosystems.","container-title":"Journal of Animal Ecology","DOI":"10.1111/1365-2656.12516","ISSN":"1365-2656","issue":"5","language":"en","page":"1136-1146","source":"Wiley Online Library","title":"A test of the effects of timing of a pulsed resource subsidy on stream ecosystems","volume":"85","author":[{"family":"Sato","given":"Takuya"},{"family":"El‐Sabaawi","given":"Rana W."},{"family":"Campbell","given":"Kirsten"},{"family":"Ohta","given":"Tamihisa"},{"family":"Richardson","given":"John S."}],"issued":{"date-parts":[["2016",9,1]]},"citation-key":"sato_2016"}},{"id":552,"uris":["http://zotero.org/users/2189142/items/VKG7BETV"],"itemData":{"id":552,"type":"article-journal","abstract":"Pulsed resource subsidies can have ecological effects that persist over time. These subsidies can be particularly important in aquatic ecosystems, which are often resource-limited. Anadromous salmon (Oncorhynchus spp.) deliver annual nutrient pulses to many freshwater ecosystems around the North Pacific. The persistent ecological consequences of this nutrient subsidy are poorly understood across the range of Pacific salmon and likely depend on stream habitat, background nutrient dynamics, and the abundance of spawning salmon. Using a model selection approach, we examined relationships among spawning salmon density, stream habitats, and the abundance and diversity of stream invertebrates ten months after salmon spawning, across 21 streams in central British Columbia, Canada. Total invertebrate abundance increased with salmon density and with higher stream temperatures. Invertebrate diversity was more closely related to stream habitat characteristics than to salmon density. These results suggest that salmon nutrients have a greater impact on stream invertebrate population sizes than on the variety of taxa that inhabit these streams. The three most common invertebrate families—grazing mayflies (Heptageniidae), predatory stoneflies (Chloroperlidae), and chironomid midges (Chironomidae)—all increased in abundance with salmon density. Stream habitat variables (temperature, pH, and substrate size) also explained significant variation in the abundances of the three groups. These results suggest that salmon nutrients retained in the watershed from previous years help support greater abundances of some invertebrate taxa. Thus the pulsed nutrient subsidy provided by spawning salmon may have ecological effects that persist many months, or even years, after it is delivered.","container-title":"Ecosphere","DOI":"10.1890/ES10-00011.1","ISSN":"2150-8925","issue":"2","journalAbbreviation":"Ecosphere","page":"art18","source":"esajournals.org.ezproxy.library.ubc.ca (Atypon)","title":"Persistent ecological effects of a salmon-derived nutrient pulse on stream invertebrate communities","volume":"2","author":[{"family":"Verspoor","given":"Jan J."},{"family":"Braun","given":"Douglas C."},{"family":"Stubbs","given":"Morgan M."},{"family":"Reynolds","given":"John D."}],"issued":{"date-parts":[["2011",2,1]]},"citation-key":"verspoor_2011"}}],"schema":"https://github.com/citation-style-language/schema/raw/master/csl-citation.json"} </w:instrText>
      </w:r>
      <w:r w:rsidR="008832BF" w:rsidRPr="009867C1">
        <w:fldChar w:fldCharType="separate"/>
      </w:r>
      <w:r w:rsidR="0042141C" w:rsidRPr="009867C1">
        <w:t>(Sato et al., 2016; Verspoor et al., 2011)</w:t>
      </w:r>
      <w:r w:rsidR="008832BF" w:rsidRPr="009867C1">
        <w:fldChar w:fldCharType="end"/>
      </w:r>
      <w:r w:rsidR="008832BF" w:rsidRPr="009867C1">
        <w:t xml:space="preserve">. </w:t>
      </w:r>
      <w:r>
        <w:t>Benthic invertebrate</w:t>
      </w:r>
      <w:r w:rsidR="008832BF" w:rsidRPr="009867C1">
        <w:t xml:space="preserve"> diversity increased and </w:t>
      </w:r>
      <w:r>
        <w:t xml:space="preserve">their community </w:t>
      </w:r>
      <w:r w:rsidR="008832BF" w:rsidRPr="009867C1">
        <w:t xml:space="preserve">composition changed with MDN </w:t>
      </w:r>
      <w:r w:rsidR="008832BF" w:rsidRPr="009867C1">
        <w:fldChar w:fldCharType="begin"/>
      </w:r>
      <w:r w:rsidR="00AC0205">
        <w:instrText xml:space="preserve"> ADDIN ZOTERO_ITEM CSL_CITATION {"citationID":"EzqSGDu0","properties":{"formattedCitation":"(Piorkowski, 1995)","plainCitation":"(Piorkowski, 1995)","noteIndex":0},"citationItems":[{"id":2466,"uris":["http://zotero.org/users/2189142/items/MH8VAVUH"],"itemData":{"id":2466,"type":"thesis","genre":"PhD Thesis","source":"Google Scholar","title":"Ecological effects of spawning salmon on several southcentral Alaskan streams","author":[{"family":"Piorkowski","given":"Robert Joseph"}],"issued":{"date-parts":[["1995"]]},"citation-key":"piorkowski_1995"}}],"schema":"https://github.com/citation-style-language/schema/raw/master/csl-citation.json"} </w:instrText>
      </w:r>
      <w:r w:rsidR="008832BF" w:rsidRPr="009867C1">
        <w:fldChar w:fldCharType="separate"/>
      </w:r>
      <w:r w:rsidR="0042141C" w:rsidRPr="009867C1">
        <w:t>(Piorkowski, 1995)</w:t>
      </w:r>
      <w:r w:rsidR="008832BF" w:rsidRPr="009867C1">
        <w:fldChar w:fldCharType="end"/>
      </w:r>
      <w:r w:rsidR="008832BF" w:rsidRPr="009867C1">
        <w:t xml:space="preserve">, and multiple studies </w:t>
      </w:r>
      <w:r>
        <w:t xml:space="preserve">provide </w:t>
      </w:r>
      <w:r w:rsidR="008832BF" w:rsidRPr="009867C1">
        <w:t xml:space="preserve">isotopic evidence </w:t>
      </w:r>
      <w:r>
        <w:t>for</w:t>
      </w:r>
      <w:r w:rsidR="008832BF" w:rsidRPr="009867C1">
        <w:t xml:space="preserve"> </w:t>
      </w:r>
      <w:r>
        <w:t xml:space="preserve">the </w:t>
      </w:r>
      <w:r w:rsidR="008832BF" w:rsidRPr="009867C1">
        <w:t>incorporation of MDN</w:t>
      </w:r>
      <w:r>
        <w:t xml:space="preserve"> into these organisms</w:t>
      </w:r>
      <w:r w:rsidR="008832BF" w:rsidRPr="009867C1">
        <w:t xml:space="preserve"> </w:t>
      </w:r>
      <w:r w:rsidR="008832BF" w:rsidRPr="009867C1">
        <w:fldChar w:fldCharType="begin"/>
      </w:r>
      <w:r w:rsidR="00AC0205">
        <w:instrText xml:space="preserve"> ADDIN ZOTERO_ITEM CSL_CITATION {"citationID":"id4Uf3uW","properties":{"formattedCitation":"(Claeson et al., 2006; Monaghan &amp; Milner, 2008; Wipfli et al., 1998)","plainCitation":"(Claeson et al., 2006; Monaghan &amp; Milner, 2008; Wipfli et al., 1998)","noteIndex":0},"citationItems":[{"id":894,"uris":["http://zotero.org/users/2189142/items/R7MCR4SK"],"itemData":{"id":894,"type":"article-journal","abstract":"Salmon carcass addition to streams is expected to increase stream productivity at multiple trophic levels. This study examined stream nutrient (nitrogen, phosphorus, and carbon), epilithic biofilm (ash-free dry mass and chlorophyll a), leaf-litter decomposition, and macroinvertebrate (density and biomass) responses to carcass addition in three headwater streams of southwestern Washington State, USA. We used stable isotopes (δ13C and δ15N) to trace incorporation of salmon-derived (SD) nutrients into stream food webs. SD nutrients were assimilated by biofilm, benthic insects (Perlidae and Limnephilidae spp.), and age-1 steelhead (Oncorhynchus mykiss gairdneri). SD nutrients peaked ~2 weeks after carcass addition for insects and fish feeding on carcasses, but indirect uptake of SD nutrients by biofilm and insects was delayed by ~2 months. A strong stable isotope signal did not always correspond with measurable biological change. At reaches 1050 m downstream from carcasses, ammonium concentration, leaf-litte..., L'addition de carcasses de saumons dans les cours d'eau doit augmenter, croit-on, la productivité du milieu à plusieurs niveaux trophiques. Notre étude examine les réactions des nutriments du cours d'eau (azote, phosphore et carbone), du biofilm épilithique (masse sèche sans les cendres et chlorophylle a), de la décomposition de la litière de feuilles et des macroinvertébrés (densité et biomasse) à l'addition de carcasses dans trois cours d'eau d'amont du sud-ouest de l'état de Washington, É.-U. Nous utilisons les isotopes stables (δ13C et δ15N) pour suivre l'incorporation des nutriments dérivés des saumons (nutriments SD) dans les réseaux alimentaires des cours d'eau. Les nutriments SD sont assimilés par le biofilm, les insectes benthiques (des espèces de Perlidae et de Limnephilidae) et les truites arc-en-ciel anadromes (Oncorhynchus mykiss gairdneri) d'âge 1. Les nutriments SD atteignent un sommet ~2 semaines après l'addition des carcasses chez les insectes et les poissons qui se nourrissent de carcass...","container-title":"Canadian Journal of Fisheries and Aquatic Sciences","DOI":"10.1139/f06-029","ISSN":"0706-652X","issue":"6","journalAbbreviation":"Can. J. Fish. Aquat. Sci.","page":"1230-1241","source":"NRC Research Press","title":"Response of nutrients, biofilm, and benthic insects to salmon carcass addition","volume":"63","author":[{"family":"Claeson","given":"Shannon M"},{"family":"Li","given":"Judith L"},{"family":"Compton","given":"Jana E"},{"family":"Bisson","given":"Peter A"}],"issued":{"date-parts":[["2006",6,1]]},"citation-key":"claeson_2006"}},{"id":780,"uris":["http://zotero.org/users/2189142/items/Z7A9C9F6"],"itemData":{"id":780,"type":"article-journal","abstract":"Streams formed in Glacier Bay, southeast Alaska, following glacial recession rapidly support populations of spawning salmon. Using both observational and experimental approaches, we examined the importance of pink salmon (Oncorhynchus gorbuscha) carcasses for benthic macroinvertebrate communities, approximately 10 years after salmon first colonized Wolf Point Creek, a first-order, lake-fed stream. Macroinvertebrate abundance on carcasses naturally accumulating in the stream channel was low, dominated by chironomids (Eukiefferiella spp.). Macroinvertebrate drift was significantly lower from artificial experimental channels containing salmon flesh (P &lt; 0.001) compared with channels without. However, the density and community structure of macroinvertebrates colonizing rock baskets in channels was not significantly different between treatments. In a separate experiment, colonization of substrate trays with salmon and control (inert) fillets were associated with differences in community structure; simuliids do..., Les cours d’eau qui se forment dans la baie Glacier dans le sud-est de l’Alaska à la suite du retrait des glaciers abritent très rapidement des populations reproductrices de saumons. À l’aide à la fois d’observations et d’expériences, nous avons examiné l’importance des carcasses de saumons roses (Oncorhynchus gorbuscha) pour les communautés benthiques de macroinvertébrés, environ 10 ans après que les saumons aient colonisé pour la première fois Wolf Point Creek, un cours d’eau d’ordre 1 alimenté par un lac. L’abondance des macroinvertébrés sur les carcasses qui s’accumulent naturellement dans le chenal du cours d’eau est faible et dominée par les chironomidés (Eukiefferiella spp.). La dérive des macroinvertébrés est significativement plus faible dans les canalisations expérimentales artificielles qui contiennent de la chair de saumon (P &lt; 0,001) comparativement aux canalisations qui n’en ont pas. Cependant, la densité et la structure des communautés des macroinvertébrés qui colonisent des paniers de pier...","container-title":"Canadian Journal of Fisheries and Aquatic Sciences","DOI":"10.1139/F08-058","ISSN":"0706-652X","issue":"7","journalAbbreviation":"Can. J. Fish. Aquat. Sci.","page":"1342-1351","source":"NRC Research Press","title":"Salmon carcasses as a marine-derived resource for benthic macroinvertebrates in a developing postglacial stream, Alaska","volume":"65","author":[{"family":"Monaghan","given":"Kieran A."},{"family":"Milner","given":"Alexander M."}],"issued":{"date-parts":[["2008",5,22]]},"citation-key":"monaghan_2008"}},{"id":639,"uris":["http://zotero.org/users/2189142/items/SRC6D3UB"],"itemData":{"id":639,"type":"article-journal","abstract":"This study was conducted to determine if salmon carcasses (from spawning adults) increased stream biofilm ash-free dry mass (AFDM) and benthic macroinvertebrate abundance in southeastern Alaska, U.S.A. Thirty-six once-through artificial streams were situated along, and received water and drifting invertebrates from, a natural stream. Two treatments (salmon carcass, control) were sampled six times during a 3-month period in a randomized incomplete block design with a 2 x 6 factorial treatment structure. Additionally, two natural stream sites were sampled once for biofilm and macroinvertebrates, one site receiving 75 000 adult salmon migrants during 1996 and the other upstream of spawning salmon. While biofilm AFDM was 15 times higher in carcass-enriched reaches of Margaret Creek, there were no detectable treatment differences in the artificial streams. Total macroinvertebrate densities were up to eight and 25 times higher in carcass-enriched areas of artificial and natural streams, respectively; Chironomid..., La présente étude visait à déterminer si les carcasses de saumon (géniteurs adultes) augmentaient la masse sèche exempte de cendres du film biologique d'un cours d'eau et l'abondance des macroinvertébrés benthiques dans le sud-est de l'Alaska (É.-U.). Trente-six cours d'eau artificiels à circulation ouverte ont été créés le long d'un cours d'eau naturel qui les alimentait en eau et en invertébrés à la dérive. Deux groupes de traitement (carcasse de saumon, témoin) ont été échantillonnés six fois pendant une période de trois mois dans le cadre d'un plan expérimental en blocs aléatoires incomplets avec une structure de traitement factorielle de 2 x 6. En outre, on a prélevé des échantillons de film biologique et de macroinvertébrés dans deux sites de cours d'eau naturels, un site recevant 75 000 saumons adultes migrants en 1996 et l'autre situé en amont de la frayère. Alors que le film biologique de masse sèche exempte de cendres était 15 fois plus élevé dans les tronçons du ruisseau Margaret enrichis par l...","container-title":"Canadian Journal of Fisheries and Aquatic Sciences","DOI":"10.1139/f98-031","ISSN":"0706-652X","issue":"6","journalAbbreviation":"Can. J. Fish. Aquat. Sci.","page":"1503-1511","source":"NRC Research Press","title":"Influence of salmon carcasses on stream productivity: response of biofilm and benthic macroinvertebrates in southeastern Alaska, U.S.A.","title-short":"Influence of salmon carcasses on stream productivity","volume":"55","author":[{"family":"Wipfli","given":"Mark S"},{"family":"Hudson","given":"John"},{"family":"Caouette","given":"John"}],"issued":{"date-parts":[["1998",6,1]]},"citation-key":"wipfli_1998"}}],"schema":"https://github.com/citation-style-language/schema/raw/master/csl-citation.json"} </w:instrText>
      </w:r>
      <w:r w:rsidR="008832BF" w:rsidRPr="009867C1">
        <w:fldChar w:fldCharType="separate"/>
      </w:r>
      <w:r w:rsidR="0042141C" w:rsidRPr="009867C1">
        <w:t>(Claeson et al., 2006; Monaghan &amp; Milner, 2008; Wipfli et al., 1998)</w:t>
      </w:r>
      <w:r w:rsidR="008832BF" w:rsidRPr="009867C1">
        <w:fldChar w:fldCharType="end"/>
      </w:r>
      <w:r w:rsidR="008832BF" w:rsidRPr="009867C1">
        <w:t>. Benthic invertebrate</w:t>
      </w:r>
      <w:r w:rsidR="00A72DF0">
        <w:t xml:space="preserve"> communities</w:t>
      </w:r>
      <w:r w:rsidR="008832BF" w:rsidRPr="009867C1">
        <w:t xml:space="preserve"> display complex responses depending on their ecological role, with some taxa (e.g., filterers) increasing with MDN and others decreasing or remaining the same (e.g., scrapers) </w:t>
      </w:r>
      <w:r w:rsidR="008832BF" w:rsidRPr="009867C1">
        <w:fldChar w:fldCharType="begin"/>
      </w:r>
      <w:r w:rsidR="00AC0205">
        <w:instrText xml:space="preserve"> ADDIN ZOTERO_ITEM CSL_CITATION {"citationID":"iCp7dCzb","properties":{"formattedCitation":"(Rinella et al., 2013)","plainCitation":"(Rinella et al., 2013)","noteIndex":0},"citationItems":[{"id":794,"uris":["http://zotero.org/users/2189142/items/BUDZ3NPD"],"itemData":{"id":794,"type":"article-journal","abstract":"Spawning salmon deliver annual pulses of marine-derived nutrients (MDN) to riverine ecosystems around the Pacific Rim, leading to increased growth and condition in aquatic and riparian biota. The influence of pulsed resources may last for extended periods of time when recipient food webs have effective storage mechanisms, yet few studies have tracked the seasonal persistence of MDN. With this as our goal, we sampled stream water chemistry and selected stream and riparian biota spring through fall at 18 stations (in six watersheds) that vary widely in spawner abundance and at nine stations (in three watersheds) where salmon runs were blocked by waterfalls. We then developed regression models that related dissolved nutrient concentrations and biochemical measures of MDN assimilation to localized spawner density across these 27 stations. Stream water ammonium-N and orthophosphate-P concentrations increased with spawner density during the summer salmon runs, but responses did not persist into the following fall. The effect of spawner density on δ15N in generalist macroinvertebrates and three independent MDN metrics (δ15N, δ34S, and ω3:ω6 fatty acids) in juvenile Dolly Varden (Salvelinus malma) was positive and similar during each season, indicating that MDN levels in biota increased with spawner abundance and were maintained for at least nine months after inputs. Delta 15N in a riparian plant, horsetail (Equisetum fluviatile), and scraper macroinvertebrates did not vary with spawner density in any season, suggesting a lack of MDN assimilation by these lower trophic levels. Our results demonstrate the ready assimilation of MDN by generalist consumers and the persistence of this pulsed subsidy in these organisms through the winter and into the next growing season.","container-title":"Ecosphere","DOI":"10.1890/ES13-00112.1","ISSN":"2150-8925","issue":"10","language":"en","page":"1-18","source":"Wiley Online Library","title":"Seasonal persistence of marine-derived nutrients in south-central Alaskan salmon streams","volume":"4","author":[{"family":"Rinella","given":"Daniel J."},{"family":"Wipfli","given":"Mark S."},{"family":"Walker","given":"Coowe M."},{"family":"Stricker","given":"Craig A."},{"family":"Heintz","given":"Ron A."}],"issued":{"date-parts":[["2013",10,1]]},"citation-key":"rinella_2013"}}],"schema":"https://github.com/citation-style-language/schema/raw/master/csl-citation.json"} </w:instrText>
      </w:r>
      <w:r w:rsidR="008832BF" w:rsidRPr="009867C1">
        <w:fldChar w:fldCharType="separate"/>
      </w:r>
      <w:r w:rsidR="0042141C" w:rsidRPr="009867C1">
        <w:t>(Rinella et al., 2013)</w:t>
      </w:r>
      <w:r w:rsidR="008832BF" w:rsidRPr="009867C1">
        <w:fldChar w:fldCharType="end"/>
      </w:r>
      <w:r w:rsidR="008832BF" w:rsidRPr="009867C1">
        <w:t xml:space="preserve">. In addition to negative </w:t>
      </w:r>
      <w:r>
        <w:t>MDN effects</w:t>
      </w:r>
      <w:r w:rsidR="008832BF" w:rsidRPr="009867C1">
        <w:t xml:space="preserve"> </w:t>
      </w:r>
      <w:r w:rsidR="00300865">
        <w:t xml:space="preserve">occasionally </w:t>
      </w:r>
      <w:r w:rsidR="008832BF" w:rsidRPr="009867C1">
        <w:t xml:space="preserve">arising </w:t>
      </w:r>
      <w:r w:rsidR="00300865">
        <w:t>due to</w:t>
      </w:r>
      <w:r w:rsidR="008832BF" w:rsidRPr="009867C1">
        <w:t xml:space="preserve"> increased disturbance, it has also been suggested that the negative effect of salmon on stream benthic invertebrate densities might be due to a trophic cascade arising from MDN subsidization of higher (i</w:t>
      </w:r>
      <w:r w:rsidR="00C31534">
        <w:t>.</w:t>
      </w:r>
      <w:r w:rsidR="008832BF" w:rsidRPr="009867C1">
        <w:t xml:space="preserve">e. predator) trophic levels </w:t>
      </w:r>
      <w:r w:rsidR="008832BF" w:rsidRPr="009867C1">
        <w:fldChar w:fldCharType="begin"/>
      </w:r>
      <w:r w:rsidR="00AC0205">
        <w:instrText xml:space="preserve"> ADDIN ZOTERO_ITEM CSL_CITATION {"citationID":"MRvJy4Mb","properties":{"formattedCitation":"(J. N. Harding &amp; Reynolds, 2014)","plainCitation":"(J. N. Harding &amp; Reynolds, 2014)","noteIndex":0},"citationItems":[{"id":517,"uris":["http://zotero.org/users/2189142/items/D3QU2GS4"],"itemData":{"id":517,"type":"article-journal","abstract":"Resource flows and disturbance from species migrations can alter the productivity, structure and function of an ecosystem. Annual mass migrations of Pacific salmon (Oncorhynchus spp.) to coastal watersheds import vast quantities of potentially limiting nutrients that have been shown to increase primary and secondary productivity in streams and lakes. Substrate disturbance during spawning can also export nutrients and reduce primary and secondary production. Here we study the impacts of these dual roles of salmon on stream invertebrates. We collected benthic macroinvertebrates in 15 streams prior to and following peak salmon spawning on British Columbia's central coast. Along with other habitat measurements including stream water chemistry, temperature, and watershed size, we investigated the effects of salmon on invertebrate δ15N, δ13C and biomass density (mg/m2) among 15 streams and within 5 streams, upstream and downstream of barriers to spawning salmon. We found that stream invertebrates assimilate salmon-derived nutrients in proportion to availability but invertebrate biomass density declines in both seasons with increasing salmon density. Benthic disturbance appears to be the cause of this decline in the fall, but the decline in the spring may be due to the slow recovery of invertebrates from substrate disturbance the previous fall or salmon nutrients may be indirectly driving declines in spring invertebrate biomass by subsidizing other trophic levels and eliciting a trophic cascade.","container-title":"Ecosphere","DOI":"10.1890/ES14-00207.1","ISSN":"2150-8925","issue":"12","journalAbbreviation":"Ecosphere","page":"art157","source":"esajournals.org.ezproxy.library.ubc.ca (Atypon)","title":"Opposing forces: Evaluating multiple ecological roles of Pacific salmon in coastal stream ecosystems","title-short":"Opposing forces","volume":"5","author":[{"family":"Harding","given":"Jennifer N."},{"family":"Reynolds","given":"John D."}],"issued":{"date-parts":[["2014",12,1]]},"citation-key":"harding_2014b"}}],"schema":"https://github.com/citation-style-language/schema/raw/master/csl-citation.json"} </w:instrText>
      </w:r>
      <w:r w:rsidR="008832BF" w:rsidRPr="009867C1">
        <w:fldChar w:fldCharType="separate"/>
      </w:r>
      <w:r w:rsidR="0042141C" w:rsidRPr="009867C1">
        <w:t>(J. N. Harding &amp; Reynolds, 2014)</w:t>
      </w:r>
      <w:r w:rsidR="008832BF" w:rsidRPr="009867C1">
        <w:fldChar w:fldCharType="end"/>
      </w:r>
      <w:r w:rsidR="008832BF" w:rsidRPr="009867C1">
        <w:t xml:space="preserve">. </w:t>
      </w:r>
    </w:p>
    <w:p w14:paraId="0DE9C23A" w14:textId="4CE7EB54" w:rsidR="008832BF" w:rsidRPr="009867C1" w:rsidRDefault="008832BF" w:rsidP="008832BF">
      <w:pPr>
        <w:ind w:firstLine="720"/>
      </w:pPr>
      <w:r w:rsidRPr="009867C1">
        <w:t xml:space="preserve">Finally, MDN </w:t>
      </w:r>
      <w:r w:rsidR="00300865">
        <w:t>has been found</w:t>
      </w:r>
      <w:r w:rsidRPr="009867C1">
        <w:t xml:space="preserve"> to affect lake and stream vertebrates, including other fish</w:t>
      </w:r>
      <w:r w:rsidR="00300865">
        <w:t xml:space="preserve"> species</w:t>
      </w:r>
      <w:r w:rsidRPr="009867C1">
        <w:t xml:space="preserve">. In addition to positive growth rates observed in juvenile salmon noted earlier </w:t>
      </w:r>
      <w:r w:rsidRPr="009867C1">
        <w:fldChar w:fldCharType="begin"/>
      </w:r>
      <w:r w:rsidR="00AC0205">
        <w:instrText xml:space="preserve"> ADDIN ZOTERO_ITEM CSL_CITATION {"citationID":"39noZBqV","properties":{"formattedCitation":"(Bilby et al., 1996; Hicks et al., 2005; Wipfli et al., 2003)","plainCitation":"(Bilby et al., 1996; Hicks et al., 2005; Wipfli et al., 2003)","noteIndex":0},"citationItems":[{"id":840,"uris":["http://zotero.org/users/2189142/items/P6T53SH2"],"itemData":{"id":840,"type":"article-journal","container-title":"Canadian Journal of Fisheries and Aquatic Sciences","issue":"1","page":"164–173","source":"Google Scholar","title":"Incorporation of nitrogen and carbon from spawning coho salmon into the trophic system of small streams: evidence from stable isotopes","title-short":"Incorporation of nitrogen and carbon from spawning coho salmon into the trophic system of small streams","volume":"53","author":[{"family":"Bilby","given":"Robert E."},{"family":"Fransen","given":"Brian R."},{"family":"Bisson","given":"Peter A."}],"issued":{"date-parts":[["1996"]]},"citation-key":"bilby_1996"}},{"id":2435,"uris":["http://zotero.org/users/2189142/items/59QSEPEV"],"itemData":{"id":2435,"type":"article-journal","container-title":"Oecologia","issue":"4","note":"publisher: Springer","page":"558–569","source":"Google Scholar","title":"Marine-derived nitrogen and carbon in freshwater-riparian food webs of the Copper River Delta, southcentral Alaska","volume":"144","author":[{"family":"Hicks","given":"Brendan J."},{"family":"Wipfli","given":"Mark S."},{"family":"Lang","given":"Dirk W."},{"family":"Lang","given":"Maria E."}],"issued":{"date-parts":[["2005"]]},"citation-key":"hicks_2005"}},{"id":638,"uris":["http://zotero.org/users/2189142/items/6CBG4BJF"],"itemData":{"id":638,"type":"article-journal","abstract":"We tested the hypotheses that marine-derived resource subsidies (salmon carcasses) increase the growth rates of stream-resident salmonids in southeastern Alaska and that more carcasses translate into more growth. Five carcass treatments of pink salmon Oncorhynchus gorbuscha (0, 1, 2, 3, and 4 carcasses/m2 or 0, 1.9, 3.7, 5.6, and 7.4 kg wet mass/m2) were replicated six times in once-through artificial channels, then each channel was stocked with three live age-0 coho salmon O. kisutch. The experiment spanned more than 9 weeks: 16 August to 24 October 1998. The body mass and fork length of the young coho salmon significantly increased from carcass additions, but the incremental increases sharply diminished at carcass-loading levels above 1 carcass/m2. Further, in a small stream in which we added salmon carcasses to a cumulative density of 0.54 carcasses/m2, both cutthroat trout O. clarki and Dolly Varden Salvelinus malma grew significantly faster during the 2 months in which carcasses were added (September–October) compared with fish in control reaches. Fish maintained their assimilated body mass through winter into the following spring. This study illustrates that marine nutrients and energy from salmon spawners increase growth rates of resident and anadromous salmonids in streams. This elevated growth should translate into increased survival and reproduction, ultimately elevating freshwater and marine salmon production. Ecological relationships between salmon runs and aquatic community nutrition and productivity may be important considerations for salmon stock protection and restoration and for freshwater and marine ecosystem management.","container-title":"Transactions of the American Fisheries Society","DOI":"10.1577/1548-8659(2003)132&lt;0371:MSIFES&gt;2.0.CO;2","ISSN":"0002-8487","issue":"2","page":"371-381","source":"Taylor and Francis+NEJM","title":"Marine Subsidies in Freshwater Ecosystems: Salmon Carcasses Increase the Growth Rates of Stream-Resident Salmonids","title-short":"Marine Subsidies in Freshwater Ecosystems","volume":"132","author":[{"family":"Wipfli","given":"Mark S."},{"family":"Hudson","given":"John P."},{"family":"Caouette","given":"John P."},{"family":"Chaloner","given":"Dominic T."}],"issued":{"date-parts":[["2003",3,1]]},"citation-key":"wipfli_2003"}}],"schema":"https://github.com/citation-style-language/schema/raw/master/csl-citation.json"} </w:instrText>
      </w:r>
      <w:r w:rsidRPr="009867C1">
        <w:fldChar w:fldCharType="separate"/>
      </w:r>
      <w:r w:rsidR="0042141C" w:rsidRPr="009867C1">
        <w:t>(Bilby et al., 1996; Hicks et al., 2005; Wipfli et al., 2003)</w:t>
      </w:r>
      <w:r w:rsidRPr="009867C1">
        <w:fldChar w:fldCharType="end"/>
      </w:r>
      <w:r w:rsidRPr="009867C1">
        <w:t>, isotopic evidence revealed exploitation of MDN by other fish</w:t>
      </w:r>
      <w:r w:rsidR="00256512">
        <w:t xml:space="preserve"> species</w:t>
      </w:r>
      <w:r w:rsidRPr="009867C1">
        <w:t xml:space="preserve"> including sculpins, sticklebacks, rainbow trout and </w:t>
      </w:r>
      <w:r w:rsidR="00256512">
        <w:t>A</w:t>
      </w:r>
      <w:r w:rsidRPr="009867C1">
        <w:t xml:space="preserve">rctic char </w:t>
      </w:r>
      <w:r w:rsidRPr="009867C1">
        <w:fldChar w:fldCharType="begin"/>
      </w:r>
      <w:r w:rsidR="00AC0205">
        <w:instrText xml:space="preserve"> ADDIN ZOTERO_ITEM CSL_CITATION {"citationID":"wuaY4XHR","properties":{"formattedCitation":"(Mathisen et al., 1988)","plainCitation":"(Mathisen et al., 1988)","noteIndex":0},"citationItems":[{"id":2537,"uris":["http://zotero.org/users/2189142/items/7RHS5IHR"],"itemData":{"id":2537,"type":"article-journal","container-title":"SIL Proceedings, 1922-2010","DOI":"10.1080/03680770.1987.11899884","ISSN":"0368-0770","issue":"4","note":"publisher: Taylor &amp; Francis\n_eprint: https://doi.org/10.1080/03680770.1987.11899884","page":"2249-2258","source":"Taylor and Francis+NEJM","title":"Recycling of marine elements transported into freshwater systems by anadromous salmon","volume":"23","author":[{"family":"Mathisen","given":"O. A."},{"family":"Parker","given":"P. L."},{"family":"Goering","given":"J. J."},{"family":"Kline","given":"T. C."},{"family":"Poe","given":"P. H."},{"family":"Scalan","given":"R. S."}],"issued":{"date-parts":[["1988",12,1]]},"citation-key":"mathisen_1988"}}],"schema":"https://github.com/citation-style-language/schema/raw/master/csl-citation.json"} </w:instrText>
      </w:r>
      <w:r w:rsidRPr="009867C1">
        <w:fldChar w:fldCharType="separate"/>
      </w:r>
      <w:r w:rsidR="0042141C" w:rsidRPr="009867C1">
        <w:t>(Mathisen et al., 1988)</w:t>
      </w:r>
      <w:r w:rsidRPr="009867C1">
        <w:fldChar w:fldCharType="end"/>
      </w:r>
      <w:r w:rsidRPr="009867C1">
        <w:t xml:space="preserve">. On the Central Coast, Coastrange sculpin increased in number, showed improved body condition, and shifted their diet when salmon were present </w:t>
      </w:r>
      <w:r w:rsidRPr="009867C1">
        <w:fldChar w:fldCharType="begin"/>
      </w:r>
      <w:r w:rsidR="00AC0205">
        <w:instrText xml:space="preserve"> ADDIN ZOTERO_ITEM CSL_CITATION {"citationID":"OHeVOb2N","properties":{"formattedCitation":"(Swain et al., 2013; Swain &amp; Reynolds, 2015)","plainCitation":"(Swain et al., 2013; Swain &amp; Reynolds, 2015)","noteIndex":0},"citationItems":[{"id":641,"uris":["http://zotero.org/users/2189142/items/4P9RKAWP"],"itemData":{"id":641,"type":"article-journal","abstract":"Pacific salmon (Oncorhynchus spp.) can subsidize freshwater food webs with marine-derived nutrients from their eggs, juveniles, and carcasses. However, trophic interactions between spawning salmon and freshwater fish across natural gradients in salmon subsidies remain unclear. We tested how salmon affected the diets and condition of two dominant freshwater consumers — prickly and coastrange sculpins (Cottus asper and Cottus aleuticus, respectively) — across a wide gradient of pink salmon (Oncorhynchus gorbuscha) and chum salmon (Oncorhynchus keta) biomass from 33 streams in the Great Bear Rainforest of British Columbia, Canada. Sculpin diets shifted from invertebrates and juvenile salmonids to salmon eggs when salmon arrived in autumn, with salmon-derived nutrient contributions to diets and sculpin condition increasing with increasing biomass of spawning salmon among streams. Season, habitat, and individual sculpin body size and species also mediated the effects of salmon on sculpin diet as inferred from ..., Les saumons du Pacifique (Oncorhynchus spp.) peuvent contribuer aux réseaux trophiques d’eau douce par l’entremise de nutriments d’origine marine issus de leurs œufs, leurs juvéniles et leurs carcasses. Les interactions trophiques entre les saumons en frai et les poissons d’eau douce le long de gradients naturels d’apports trophiques des saumons demeurent toutefois mal définies. Nous avons voulu comprendre l’incidence des saumons sur le régime alimentaire et l’état d’embonpoint de deux consommateurs d’eau douce dominants, le chabot piquant et le chabot côtier (Cottus asper et Cottus aleuticus, respectivement), le long d’un large gradient de biomasse de saumons roses (Oncorhynchus gorbuscha) et kétas (Oncorhynchus keta) de 33 cours d’eau dans la forêt pluviale de Great Bear, en Colombie-Britannique (Canada). Les régimes alimentaires des chabots passaient d’invertébrés et de salmonidés juvéniles aux œufs de saumon après l’arrivée des saumons en automne, les contributions de nutriments provenant des saumons ...","container-title":"Canadian Journal of Fisheries and Aquatic Sciences","DOI":"10.1139/cjfas-2013-0159","ISSN":"0706-652X","issue":"4","journalAbbreviation":"Can. J. Fish. Aquat. Sci.","page":"521-532","source":"NRC Research Press","title":"Effects of salmon on the diet and condition of stream-resident sculpins","volume":"71","author":[{"family":"Swain","given":"Noel R."},{"family":"Hocking","given":"Morgan D."},{"family":"Harding","given":"Jennifer N."},{"family":"Reynolds","given":"John D."}],"issued":{"date-parts":[["2013",11,28]]},"citation-key":"swain_2013"}},{"id":1352,"uris":["http://zotero.org/users/2189142/items/ATZDM72F"],"itemData":{"id":1352,"type":"article-journal","abstract":"Movement of nutrients across ecosystem boundaries can have important effects on food webs and population dynamics. An example from the North Pacific Rim is the connection between productive marine ecosystems and freshwaters driven by annual spawning migrations of Pacific salmon (Oncorhynchus spp). While a growing body of research has highlighted the importance of both pulsed nutrient subsidies and disturbance by spawning salmon, their effects on population densities of vertebrate consumers have rarely been tested, especially across streams spanning a wide range of natural variation in salmon densities and habitat characteristics. We studied resident freshwater prickly (Cottus asper), and coastrange sculpins (C. aleuticus) in coastal salmon spawning streams to test whether their population densities are affected by spawning densities of pink and chum salmon (O. gorbuscha and O. keta), as well as habitat characteristics. Coastrange sculpins occurred in the highest densities in streams with high densities of spawning pink and chum salmon. They also were more dense in streams with high pH, large watersheds, less area covered by pools, and lower gradients. In contrast, prickly sculpin densities were higher in streams with more large wood and pools, and less canopy cover, but their densities were not correlated with salmon. These results for coastrange sculpins provide evidence of a numerical population response by freshwater fish to increased availability of salmon subsidies in streams. These results demonstrate complex and context-dependent relationships between spawning Pacific salmon and coastal ecosystems and can inform an ecosystem-based approach to their management and conservation.","container-title":"PLOS ONE","DOI":"10.1371/journal.pone.0116090","ISSN":"1932-6203","issue":"6","journalAbbreviation":"PLOS ONE","page":"e0116090","source":"PLoS Journals","title":"Effects of Salmon-Derived Nutrients and Habitat Characteristics on Population Densities of Stream-Resident Sculpins","volume":"10","author":[{"family":"Swain","given":"Noel R."},{"family":"Reynolds","given":"John D."}],"issued":{"date-parts":[["2015",6,1]]},"citation-key":"swain_2015"}}],"schema":"https://github.com/citation-style-language/schema/raw/master/csl-citation.json"} </w:instrText>
      </w:r>
      <w:r w:rsidRPr="009867C1">
        <w:fldChar w:fldCharType="separate"/>
      </w:r>
      <w:r w:rsidR="0042141C" w:rsidRPr="009867C1">
        <w:t>(Swain et al., 2013; Swain &amp; Reynolds, 2015)</w:t>
      </w:r>
      <w:r w:rsidRPr="009867C1">
        <w:fldChar w:fldCharType="end"/>
      </w:r>
      <w:r w:rsidRPr="009867C1">
        <w:t xml:space="preserve">. Live salmon also have wide-ranging indirect effects via changes to aquatic foodwebs and changes to fish behaviour by shifting dominance hierarchies among stream fish communities </w:t>
      </w:r>
      <w:r w:rsidRPr="009867C1">
        <w:fldChar w:fldCharType="begin"/>
      </w:r>
      <w:r w:rsidR="00AC0205">
        <w:instrText xml:space="preserve"> ADDIN ZOTERO_ITEM CSL_CITATION {"citationID":"9YvdIjjg","properties":{"formattedCitation":"(Bailey et al., 2019; Bailey &amp; Moore, 2020)","plainCitation":"(Bailey et al., 2019; Bailey &amp; Moore, 2020)","noteIndex":0},"citationItems":[{"id":2646,"uris":["http://zotero.org/users/2189142/items/XWZINDII"],"itemData":{"id":2646,"type":"article-journal","abstract":"Resource availability may modulate interference interactions among competitors. For example, competition among stream fishes for drifting eggs from salmon (Oncorhynchus spp.) spawning events may be influenced by the availability of this energy-rich food source. This study used camera-based techniques to evaluate the effect of varied prey availability (i.e., pink salmon (O. gorbuscha) eggs) on rates of interference competition within natural stream fish communities at 10 sites. Aggressive interactions were quantified across different levels of egg additions, ranging from 6 to 3575 O. gorbuscha eggs, at 10 sites on the Keogh River, British Columbia, Canada. There were fewer aggressive interactions among salmonids (O. kisutch, O. mykiss, and O. clarkii clarkii) when there were more available eggs. Aggressive interaction rates were species-dependent; for example, the number of aggressive acts relative to null expectations based on abundances were highest in juvenile coho (O. kisutch) towards conspecifics. For some interactions, size of fish appeared to be a key factor as well. Thus, higher densities of spawning salmon in streams may provide sufficient prey resources in the form of eggs to temporarily decrease interference competition among stream fishes.","container-title":"Environmental Biology of Fishes","DOI":"10.1007/s10641-019-00880-9","ISSN":"1573-5133","issue":"6","journalAbbreviation":"Environ Biol Fish","language":"en","page":"915-926","source":"Springer Link","title":"Salmon egg subsidies and interference competition among stream fishes","volume":"102","author":[{"family":"Bailey","given":"Colin J."},{"family":"Andersson","given":"L. C."},{"family":"Arbeider","given":"M."},{"family":"Bradford","given":"K."},{"family":"Moore","given":"J. W."}],"issued":{"date-parts":[["2019",6,1]]},"citation-key":"bailey_2019"}},{"id":2446,"uris":["http://zotero.org/users/2189142/items/HT27C7IQ"],"itemData":{"id":2446,"type":"article-journal","container-title":"Ecosphere","issue":"9","note":"publisher: Wiley Online Library","page":"e03211","source":"Google Scholar","title":"Resource pulses increase the diversity of successful competitors in a multi-species stream fish assemblage","volume":"11","author":[{"family":"Bailey","given":"Colin J."},{"family":"Moore","given":"Jonathan W."}],"issued":{"date-parts":[["2020"]]},"citation-key":"bailey_2020"}}],"schema":"https://github.com/citation-style-language/schema/raw/master/csl-citation.json"} </w:instrText>
      </w:r>
      <w:r w:rsidRPr="009867C1">
        <w:fldChar w:fldCharType="separate"/>
      </w:r>
      <w:r w:rsidR="0042141C" w:rsidRPr="009867C1">
        <w:t>(Bailey et al., 2019; Bailey &amp; Moore, 2020)</w:t>
      </w:r>
      <w:r w:rsidRPr="009867C1">
        <w:fldChar w:fldCharType="end"/>
      </w:r>
      <w:r w:rsidRPr="009867C1">
        <w:t>. These changes demonstrate that salmon affect not only stream</w:t>
      </w:r>
      <w:r w:rsidR="00C31534">
        <w:t>-</w:t>
      </w:r>
      <w:r w:rsidRPr="009867C1">
        <w:t>water chemistry, but also</w:t>
      </w:r>
      <w:r w:rsidR="00B32EEA" w:rsidRPr="009867C1">
        <w:t xml:space="preserve"> primary producers and</w:t>
      </w:r>
      <w:r w:rsidRPr="009867C1">
        <w:t xml:space="preserve"> secondary</w:t>
      </w:r>
      <w:r w:rsidR="00B32EEA" w:rsidRPr="009867C1">
        <w:t xml:space="preserve"> </w:t>
      </w:r>
      <w:r w:rsidRPr="009867C1">
        <w:t xml:space="preserve">and tertiary consumers. </w:t>
      </w:r>
    </w:p>
    <w:p w14:paraId="5BCCD16F" w14:textId="590C45C8" w:rsidR="008832BF" w:rsidRPr="009867C1" w:rsidRDefault="008832BF" w:rsidP="008832BF">
      <w:pPr>
        <w:ind w:firstLine="720"/>
      </w:pPr>
      <w:r w:rsidRPr="009867C1">
        <w:t xml:space="preserve">These findings </w:t>
      </w:r>
      <w:r w:rsidR="00B32EEA" w:rsidRPr="009867C1">
        <w:t>motivated a</w:t>
      </w:r>
      <w:r w:rsidRPr="009867C1">
        <w:t xml:space="preserve"> re-analysis of historical salmon runs in order to estimate the decline of MDN subsidies to aquatic and terrestrial ecosystems </w:t>
      </w:r>
      <w:r w:rsidRPr="009867C1">
        <w:fldChar w:fldCharType="begin"/>
      </w:r>
      <w:r w:rsidR="00AC0205">
        <w:instrText xml:space="preserve"> ADDIN ZOTERO_ITEM CSL_CITATION {"citationID":"R4zUbOhD","properties":{"formattedCitation":"(Gresh et al., 2000; Larkin &amp; Slaney, 1997)","plainCitation":"(Gresh et al., 2000; Larkin &amp; Slaney, 1997)","noteIndex":0},"citationItems":[{"id":648,"uris":["http://zotero.org/users/2189142/items/27JAQJZ9"],"itemData":{"id":648,"type":"article-journal","abstract":"We used historical cannery records and current escapement and harvest records to estimate historical and current salmon escapement to western North American river systems, in order to determine the biomass and marine-derived nitrogen and phosphorous levels delivered by adult salmon, and the deficits corresponding to the diminished returns of adult salmon over the past century. We have estimated the historic biomass of salmon returning to the Pacific Northwest (Washington, Oregon, Idaho, and California) to be 160–226 million kg. The number of fish now returning to these rivers has a biomass of 11.8–13.7 million kg. These numbers indicate that just 6–7% of the marine-derived nitrogen and phosphorous once delivered to the rivers of the Pacific Northwest is currently reaching those streams. This nutrient deficit may be one indication of ecosystem failure that has contributed to the downward spiral of salmonid abundance and diversity in general, further diminishing the possibility of salmon population recovery to self-sustaining levels.","container-title":"Fisheries","DOI":"10.1577/1548-8446(2000)025&lt;0015:AEOHAC&gt;2.0.CO;2","ISSN":"0363-2415","issue":"1","page":"15-21","source":"Taylor and Francis+NEJM","title":"An Estimation of Historic and Current Levels of Salmon Production in the Northeast Pacific Ecosystem: Evidence of a Nutrient Deficit in the Freshwater Systems of the Pacific Northwest","title-short":"An Estimation of Historic and Current Levels of Salmon Production in the Northeast Pacific Ecosystem","volume":"25","author":[{"family":"Gresh","given":"Ted"},{"family":"Lichatowich","given":"Jim"},{"family":"Schoonmaker","given":"Peter"}],"issued":{"date-parts":[["2000",1,1]]},"citation-key":"gresh_2000"}},{"id":1199,"uris":["http://zotero.org/users/2189142/items/R27ZZSFU"],"itemData":{"id":1199,"type":"article-journal","container-title":"Fisheries","issue":"11","page":"16–24","source":"Google Scholar","title":"Implications of trends in marine-derived nutrient influx to south coastal British Columbia salmonid production","volume":"22","author":[{"family":"Larkin","given":"Gillian A."},{"family":"Slaney","given":"Pat A."}],"issued":{"date-parts":[["1997"]]},"citation-key":"larkin_1997"}}],"schema":"https://github.com/citation-style-language/schema/raw/master/csl-citation.json"} </w:instrText>
      </w:r>
      <w:r w:rsidRPr="009867C1">
        <w:fldChar w:fldCharType="separate"/>
      </w:r>
      <w:r w:rsidR="0042141C" w:rsidRPr="009867C1">
        <w:t>(Gresh et al., 2000; Larkin &amp; Slaney, 1997)</w:t>
      </w:r>
      <w:r w:rsidRPr="009867C1">
        <w:fldChar w:fldCharType="end"/>
      </w:r>
      <w:r w:rsidRPr="009867C1">
        <w:t xml:space="preserve">, </w:t>
      </w:r>
      <w:r w:rsidR="00256512">
        <w:t>which showed</w:t>
      </w:r>
      <w:r w:rsidRPr="009867C1">
        <w:t xml:space="preserve"> that widespread stock declines were potentially detrimental to the fertility of recipient sites. Given this possibility, early ideas to artificially fertilize lakes</w:t>
      </w:r>
      <w:r w:rsidR="00B32EEA" w:rsidRPr="009867C1">
        <w:t xml:space="preserve"> </w:t>
      </w:r>
      <w:r w:rsidRPr="009867C1">
        <w:t xml:space="preserve"> to stimulate production</w:t>
      </w:r>
      <w:r w:rsidR="00B32EEA" w:rsidRPr="009867C1">
        <w:t xml:space="preserve"> </w:t>
      </w:r>
      <w:r w:rsidR="00B32EEA" w:rsidRPr="009867C1">
        <w:fldChar w:fldCharType="begin"/>
      </w:r>
      <w:r w:rsidR="00AC0205">
        <w:instrText xml:space="preserve"> ADDIN ZOTERO_ITEM CSL_CITATION {"citationID":"5zsA4cCT","properties":{"formattedCitation":"(Huntsman, 1948)","plainCitation":"(Huntsman, 1948)","noteIndex":0},"citationItems":[{"id":2477,"uris":["http://zotero.org/users/2189142/items/AZSUHUJ9"],"itemData":{"id":2477,"type":"article-journal","container-title":"Journal of the Fisheries Board of Canada","issue":"5","note":"publisher: NRC Research Press Ottawa, Canada","page":"248–253","source":"Google Scholar","title":"Fertility and fertilization of streams","volume":"7","author":[{"family":"Huntsman","given":"A. G."}],"issued":{"date-parts":[["1948"]]},"citation-key":"huntsman_1948"}}],"schema":"https://github.com/citation-style-language/schema/raw/master/csl-citation.json"} </w:instrText>
      </w:r>
      <w:r w:rsidR="00B32EEA" w:rsidRPr="009867C1">
        <w:fldChar w:fldCharType="separate"/>
      </w:r>
      <w:r w:rsidR="0042141C" w:rsidRPr="009867C1">
        <w:t>(Huntsman, 1948)</w:t>
      </w:r>
      <w:r w:rsidR="00B32EEA" w:rsidRPr="009867C1">
        <w:fldChar w:fldCharType="end"/>
      </w:r>
      <w:r w:rsidRPr="009867C1">
        <w:t xml:space="preserve"> were </w:t>
      </w:r>
      <w:r w:rsidR="00B32EEA" w:rsidRPr="009867C1">
        <w:t xml:space="preserve">further </w:t>
      </w:r>
      <w:r w:rsidRPr="009867C1">
        <w:t>developed</w:t>
      </w:r>
      <w:r w:rsidR="00B32EEA" w:rsidRPr="009867C1">
        <w:t>,</w:t>
      </w:r>
      <w:r w:rsidRPr="009867C1">
        <w:t xml:space="preserve"> and a large literature emerged around attempts to fertilize lakes and streams to improve salmon production and to hedge against the possibility of a </w:t>
      </w:r>
      <w:r w:rsidR="00256512">
        <w:t>reinforcing</w:t>
      </w:r>
      <w:r w:rsidRPr="009867C1">
        <w:t xml:space="preserve"> feedback loop </w:t>
      </w:r>
      <w:r w:rsidR="00256512">
        <w:t>of</w:t>
      </w:r>
      <w:r w:rsidRPr="009867C1">
        <w:t xml:space="preserve"> salmon decline. Work on the Keogh and Salmon rivers of Vancouver Island </w:t>
      </w:r>
      <w:r w:rsidRPr="009867C1">
        <w:fldChar w:fldCharType="begin"/>
      </w:r>
      <w:r w:rsidR="00AC0205">
        <w:instrText xml:space="preserve"> ADDIN ZOTERO_ITEM CSL_CITATION {"citationID":"OPbrgqxA","properties":{"formattedCitation":"(Johnston et al., 1990)","plainCitation":"(Johnston et al., 1990)","noteIndex":0},"citationItems":[{"id":2518,"uris":["http://zotero.org/users/2189142/items/JXZTKIUQ"],"itemData":{"id":2518,"type":"article-journal","container-title":"Canadian Journal of Fisheries and Aquatic Sciences","issue":"5","note":"publisher: NRC Research Press Ottawa, Canada","page":"862–872","source":"Google Scholar","title":"Increased juvenile salmonid growth by whole-river fertilization","volume":"47","author":[{"family":"Johnston","given":"N. T."},{"family":"Perrin","given":"C. J."},{"family":"Slaney","given":"P. A."},{"family":"Ward","given":"B. R."}],"issued":{"date-parts":[["1990"]]},"citation-key":"johnston_1990"}}],"schema":"https://github.com/citation-style-language/schema/raw/master/csl-citation.json"} </w:instrText>
      </w:r>
      <w:r w:rsidRPr="009867C1">
        <w:fldChar w:fldCharType="separate"/>
      </w:r>
      <w:r w:rsidR="0042141C" w:rsidRPr="009867C1">
        <w:t>(Johnston et al., 1990)</w:t>
      </w:r>
      <w:r w:rsidRPr="009867C1">
        <w:fldChar w:fldCharType="end"/>
      </w:r>
      <w:r w:rsidRPr="009867C1">
        <w:t xml:space="preserve"> showed that fertilization with P and N increased periphyton biomass, stream</w:t>
      </w:r>
      <w:r w:rsidR="00C31534">
        <w:t>-</w:t>
      </w:r>
      <w:r w:rsidRPr="009867C1">
        <w:t xml:space="preserve">water nutrient concentrations, and doubled the growth rates of juvenile salmon </w:t>
      </w:r>
      <w:r w:rsidRPr="009867C1">
        <w:fldChar w:fldCharType="begin"/>
      </w:r>
      <w:r w:rsidR="00AC0205">
        <w:instrText xml:space="preserve"> ADDIN ZOTERO_ITEM CSL_CITATION {"citationID":"bs82oa4a","properties":{"formattedCitation":"(Johnston et al., 1990; Manley et al., 2005; Stockner &amp; MacIsaac, 1996)","plainCitation":"(Johnston et al., 1990; Manley et al., 2005; Stockner &amp; MacIsaac, 1996)","noteIndex":0},"citationItems":[{"id":2518,"uris":["http://zotero.org/users/2189142/items/JXZTKIUQ"],"itemData":{"id":2518,"type":"article-journal","container-title":"Canadian Journal of Fisheries and Aquatic Sciences","issue":"5","note":"publisher: NRC Research Press Ottawa, Canada","page":"862–872","source":"Google Scholar","title":"Increased juvenile salmonid growth by whole-river fertilization","volume":"47","author":[{"family":"Johnston","given":"N. T."},{"family":"Perrin","given":"C. J."},{"family":"Slaney","given":"P. A."},{"family":"Ward","given":"B. R."}],"issued":{"date-parts":[["1990"]]},"citation-key":"johnston_1990"}},{"id":2529,"uris":["http://zotero.org/users/2189142/items/DAC7D5KQ"],"itemData":{"id":2529,"type":"article-journal","language":"en","page":"50","source":"Zotero","title":"SALMON RIVER NUTRIENT ENRICHMENT FOR FISH HABITAT RESTORATION 2005","author":[{"family":"Manley","given":"Dori"},{"family":"Hansen","given":"Loreta"},{"family":"Wright","given":"Harlan"}],"issued":{"date-parts":[["2005"]]},"citation-key":"manley_2005"}},{"id":2474,"uris":["http://zotero.org/users/2189142/items/ZVH2QDE2"],"itemData":{"id":2474,"type":"article-journal","container-title":"Regulated Rivers: Research &amp; Management","issue":"4-5","note":"publisher: Wiley Online Library","page":"547–561","source":"Google Scholar","title":"British Columbia lake enrichment programme: two decades of habitat enhancement for sockeye salmon","title-short":"British Columbia lake enrichment programme","volume":"12","author":[{"family":"Stockner","given":"J.G."},{"family":"MacIsaac","given":"E.A."}],"issued":{"date-parts":[["1996"]]},"citation-key":"stockner_1996"}}],"schema":"https://github.com/citation-style-language/schema/raw/master/csl-citation.json"} </w:instrText>
      </w:r>
      <w:r w:rsidRPr="009867C1">
        <w:fldChar w:fldCharType="separate"/>
      </w:r>
      <w:r w:rsidR="0042141C" w:rsidRPr="009867C1">
        <w:t>(Johnston et al., 1990; Manley et al., 2005; Stockner &amp; MacIsaac, 1996)</w:t>
      </w:r>
      <w:r w:rsidRPr="009867C1">
        <w:fldChar w:fldCharType="end"/>
      </w:r>
      <w:r w:rsidRPr="009867C1">
        <w:t xml:space="preserve">. A review of 24 studies done in Alaska, BC, and Idaho found consistent increases in sockeye individual weight, total biomass, and survival rates when lakes were fertilized </w:t>
      </w:r>
      <w:r w:rsidRPr="009867C1">
        <w:fldChar w:fldCharType="begin"/>
      </w:r>
      <w:r w:rsidR="00AC0205">
        <w:instrText xml:space="preserve"> ADDIN ZOTERO_ITEM CSL_CITATION {"citationID":"mnSgAdQE","properties":{"formattedCitation":"(Hyatt et al., 2004)","plainCitation":"(Hyatt et al., 2004)","noteIndex":0},"citationItems":[{"id":369,"uris":["http://zotero.org/users/2189142/items/73NIZNHJ"],"itemData":{"id":369,"type":"article-journal","container-title":"Environmental Reviews","issue":"3","page":"133–162","source":"Google Scholar","title":"Sockeye salmon (Oncorhynchus nerka) nursery lake fertilization: review and summary of results","title-short":"Sockeye salmon (Oncorhynchus nerka) nursery lake fertilization","volume":"12","author":[{"family":"Hyatt","given":"K. D."},{"family":"McQueen","given":"D. J."},{"family":"Shortreed","given":"K. S."},{"family":"Rankin","given":"D. P."}],"issued":{"date-parts":[["2004"]]},"citation-key":"hyatt_2004"}}],"schema":"https://github.com/citation-style-language/schema/raw/master/csl-citation.json"} </w:instrText>
      </w:r>
      <w:r w:rsidRPr="009867C1">
        <w:fldChar w:fldCharType="separate"/>
      </w:r>
      <w:r w:rsidR="0042141C" w:rsidRPr="009867C1">
        <w:t>(Hyatt et al., 2004)</w:t>
      </w:r>
      <w:r w:rsidRPr="009867C1">
        <w:fldChar w:fldCharType="end"/>
      </w:r>
      <w:r w:rsidRPr="009867C1">
        <w:t xml:space="preserve">. A contemporary review indicates that whole-lake fertilization can be a useful tool in the restoration ecologist’s toolbox </w:t>
      </w:r>
      <w:r w:rsidRPr="009867C1">
        <w:fldChar w:fldCharType="begin"/>
      </w:r>
      <w:r w:rsidR="00AC0205">
        <w:instrText xml:space="preserve"> ADDIN ZOTERO_ITEM CSL_CITATION {"citationID":"GRew95GK","properties":{"formattedCitation":"(Gerwing &amp; Plate, 2019)","plainCitation":"(Gerwing &amp; Plate, 2019)","noteIndex":0},"citationItems":[{"id":2523,"uris":["http://zotero.org/users/2189142/items/QCMENYYE"],"itemData":{"id":2523,"type":"article-journal","abstract":"Productivity of temperate streams and lakes is often limited by availability of key nutrients, and nutrient-poor habitats are termed oligotrophic. Oligotrophic streams and lakes occur naturally, but often are a product of human activities (cultural oligotrophication), such as the creation of dams. Cultural oligotrophication has resulted in declining productivity in streams and lakes, a condition that can manifest itself in collapsing salmonid fish stocks. To counteract lost productivity as part of restoration or compensation measures, managers often add nutrient via fertilizers to enhance fisheries production. However, these programs are not always successful, and this article reviews available literature to identify patterns that may influence success of nutrient enhancement programs. Overall fertilization of lakes and streams will almost certainly increase primary producer and invertebrate populations. While it is likely that fertilization will also increase fishery production, it is far from certain. The magnitude of this change is unpredictable, and the success of a fertilization program will vary greatly between years, habitat, and microhabitats. Regardless, if fertilization is coupled with holistic monitoring of the food web and ecosystem, then it is likely to be an effective technique to enhance fishery productivity in active restoration of compensation programs. However, the benefits of fertilization will not outlast the fertilization project, and care must be exercised when ceasing active fertilization. When compared to other restoration/compensation strategies such as fish ladders or trap and transport, fertilization may be a cost-effective method to enhance fishery production. Finally, recommendations are discussed to increase the probability of fertilization success.","container-title":"Restoration Ecology","DOI":"https://doi.org/10.1111/rec.12909","ISSN":"1526-100X","issue":"2","language":"en","note":"_eprint: https://onlinelibrary.wiley.com/doi/pdf/10.1111/rec.12909","page":"279-288","source":"Wiley Online Library","title":"Effectiveness of nutrient enhancement as a remediation or compensation strategy of salmonid fisheries in culturally oligotrophic lakes and streams in temperate climates","volume":"27","author":[{"family":"Gerwing","given":"Travis G."},{"family":"Plate","given":"Elmar"}],"issued":{"date-parts":[["2019"]]},"citation-key":"gerwing_2019"}}],"schema":"https://github.com/citation-style-language/schema/raw/master/csl-citation.json"} </w:instrText>
      </w:r>
      <w:r w:rsidRPr="009867C1">
        <w:fldChar w:fldCharType="separate"/>
      </w:r>
      <w:r w:rsidR="0042141C" w:rsidRPr="009867C1">
        <w:t>(Gerwing &amp; Plate, 2019)</w:t>
      </w:r>
      <w:r w:rsidRPr="009867C1">
        <w:fldChar w:fldCharType="end"/>
      </w:r>
      <w:r w:rsidRPr="009867C1">
        <w:t>, but cautions that results may be unpredictable and robust monitoring</w:t>
      </w:r>
      <w:r w:rsidR="00AD1EED" w:rsidRPr="009867C1">
        <w:t xml:space="preserve"> (often neglected)</w:t>
      </w:r>
      <w:r w:rsidRPr="009867C1">
        <w:t xml:space="preserve"> </w:t>
      </w:r>
      <w:r w:rsidR="00AD1EED" w:rsidRPr="009867C1">
        <w:t>is</w:t>
      </w:r>
      <w:r w:rsidRPr="009867C1">
        <w:t xml:space="preserve"> needed to evaluate results. This echoes earlier reflections on the success (and lack of it) of the Salmon Enhancement Program in Canada </w:t>
      </w:r>
      <w:r w:rsidRPr="009867C1">
        <w:fldChar w:fldCharType="begin"/>
      </w:r>
      <w:r w:rsidR="00AC0205">
        <w:instrText xml:space="preserve"> ADDIN ZOTERO_ITEM CSL_CITATION {"citationID":"IDNvUDaY","properties":{"formattedCitation":"(Hilborn &amp; Winton, 1993)","plainCitation":"(Hilborn &amp; Winton, 1993)","noteIndex":0},"citationItems":[{"id":2511,"uris":["http://zotero.org/users/2189142/items/UG76CN9Y"],"itemData":{"id":2511,"type":"article-journal","container-title":"Canadian Journal of Fisheries and Aquatic Sciences","issue":"9","note":"publisher: NRC Research Press Ottawa, Canada","page":"2043–2056","source":"Google Scholar","title":"Learning to enhance salmon production: lessons from the salmonid enhancement program","title-short":"Learning to enhance salmon production","volume":"50","author":[{"family":"Hilborn","given":"Ray"},{"family":"Winton","given":"John"}],"issued":{"date-parts":[["1993"]]},"citation-key":"hilborn_1993"}}],"schema":"https://github.com/citation-style-language/schema/raw/master/csl-citation.json"} </w:instrText>
      </w:r>
      <w:r w:rsidRPr="009867C1">
        <w:fldChar w:fldCharType="separate"/>
      </w:r>
      <w:r w:rsidR="0042141C" w:rsidRPr="009867C1">
        <w:t>(Hilborn &amp; Winton, 1993)</w:t>
      </w:r>
      <w:r w:rsidRPr="009867C1">
        <w:fldChar w:fldCharType="end"/>
      </w:r>
      <w:r w:rsidRPr="009867C1">
        <w:t>, which concluded that while lake and stream fertilization could offset some of the impacts of diminishing salmon runs, they could not replace ecosystem functions that require live fish (e.g. excretion).</w:t>
      </w:r>
    </w:p>
    <w:p w14:paraId="5B8B6929" w14:textId="1D5CD659" w:rsidR="008832BF" w:rsidRPr="009867C1" w:rsidRDefault="008832BF" w:rsidP="008832BF">
      <w:pPr>
        <w:ind w:firstLine="720"/>
      </w:pPr>
      <w:r w:rsidRPr="009867C1">
        <w:t xml:space="preserve">Hence returning salmon represent a unique and irreplaceable phenomenon that has pervasive ecological effects on recipient streams and lakes. Water chemistry, primary producers, benthic consumers, and salmonid and other fish species all show responses to salmon presence. These effects are mediated by stream conditions, species identity, salmon behaviour, </w:t>
      </w:r>
      <w:r w:rsidR="00AD1EED" w:rsidRPr="009867C1">
        <w:t xml:space="preserve">land use, </w:t>
      </w:r>
      <w:r w:rsidRPr="009867C1">
        <w:t xml:space="preserve">and other environmental factors. Carcasses are retained by woody debris, stream channel complexity, and the presence of deep pools </w:t>
      </w:r>
      <w:r w:rsidRPr="009867C1">
        <w:fldChar w:fldCharType="begin"/>
      </w:r>
      <w:r w:rsidR="00AC0205">
        <w:instrText xml:space="preserve"> ADDIN ZOTERO_ITEM CSL_CITATION {"citationID":"r9G7osv4","properties":{"formattedCitation":"(Cederholm et al., 1997; Cederholm &amp; Peterson, 1985)","plainCitation":"(Cederholm et al., 1997; Cederholm &amp; Peterson, 1985)","noteIndex":0},"citationItems":[{"id":359,"uris":["http://zotero.org/users/2189142/items/PG2WS5C3"],"itemData":{"id":359,"type":"article-journal","container-title":"North American Journal of Fisheries Management","issue":"4","page":"947–963","source":"Google Scholar","title":"Response of juvenile coho salmon and steelhead to placement of large woody debris in a coastal Washington stream","volume":"17","author":[{"family":"Cederholm","given":"C. J."},{"family":"Bilby","given":"R. E."},{"family":"Bisson","given":"P. A."},{"family":"Bumstead","given":"T. W."},{"family":"Fransen","given":"B. R."},{"family":"Scarlett","given":"W. J."},{"family":"Ward","given":"J. W."}],"issued":{"date-parts":[["1997"]]},"citation-key":"cederholm_1997"}},{"id":358,"uris":["http://zotero.org/users/2189142/items/IZSVQ65U"],"itemData":{"id":358,"type":"article-journal","container-title":"Canadian Journal of Fisheries and Aquatic Sciences","issue":"6","page":"1222–1225","source":"Google Scholar","title":"The retention of coho salmon (Oncorhynchus kisutch) carcasses by organic debris in small streams","volume":"42","author":[{"family":"Cederholm","given":"C. J."},{"family":"Peterson","given":"N. P."}],"issued":{"date-parts":[["1985"]]},"citation-key":"cederholm_1985"}}],"schema":"https://github.com/citation-style-language/schema/raw/master/csl-citation.json"} </w:instrText>
      </w:r>
      <w:r w:rsidRPr="009867C1">
        <w:fldChar w:fldCharType="separate"/>
      </w:r>
      <w:r w:rsidR="0042141C" w:rsidRPr="009867C1">
        <w:rPr>
          <w:sz w:val="22"/>
        </w:rPr>
        <w:t>(Cederholm et al., 1997; Cederholm &amp; Peterson, 1985)</w:t>
      </w:r>
      <w:r w:rsidRPr="009867C1">
        <w:fldChar w:fldCharType="end"/>
      </w:r>
      <w:r w:rsidRPr="009867C1">
        <w:t xml:space="preserve">. Woody debris in particular is a pathway through which forests feed into these processes, which in turn </w:t>
      </w:r>
      <w:r w:rsidR="00256512">
        <w:t>are</w:t>
      </w:r>
      <w:r w:rsidRPr="009867C1">
        <w:t xml:space="preserve"> changed by past and current logging and the clearing of stream debris and log jams </w:t>
      </w:r>
      <w:r w:rsidRPr="009867C1">
        <w:fldChar w:fldCharType="begin"/>
      </w:r>
      <w:r w:rsidR="00AC0205">
        <w:instrText xml:space="preserve"> ADDIN ZOTERO_ITEM CSL_CITATION {"citationID":"TJmOxaRP","properties":{"formattedCitation":"(B. D. Collins &amp; Montgomery, 2002; P. S. Levi et al., 2011)","plainCitation":"(B. D. Collins &amp; Montgomery, 2002; P. S. Levi et al., 2011)","noteIndex":0},"citationItems":[{"id":2397,"uris":["http://zotero.org/users/2189142/items/IJVBXA9X"],"itemData":{"id":2397,"type":"article-journal","abstract":"Historically in Puget Lowland rivers, wood jams were integral to maintaining an anastomosing channel pattern and a dynamic channel–floodplain connection; they also created deep pools. In the late 1800s, wood was removed from most rivers, rivers were isolated from their floodplains, and riparian forests were cut down, limiting wood recruitment. An exception to this history is an 11-km-long reach of the Nisqually River, which has natural banks and channel pattern and a mature floodplain forest. We use field and archival data from the Nisqually River to explore questions relevant to restoring large rivers in the Pacific Northwest and other forested temperate regions. In particular, we focus on the relation between recovery of in-channel wood accumulations and valley bottom forest conditions and explore implications for river restoration strategies. We find that restoring large rivers depends on establishing riparian forests that can provide wood large enough to function as key pieces in jams. Although the frequency of large trees in the Nisqually valley bottom in 2000 is comparable with that of 1873 land surveys, many formerly more abundant Thuja plicata (western red cedar) were cut down in the late 1800s, and now hardwoods, including Populus trichocarpa (black cottonwood) and Acer macrophyllum (bigleaf maple), are also abundant. Pseudotsuga menziesii (Douglas fir) and fast-growing P. trichocarpa commonly form key pieces that stabilize jams, suggesting that reforested floodplains can develop naturally recruited wood jams within 50 to 100 years, faster than generally assumed. Based on the dynamic between riparian forests, wood recruitment, and wood jams in the Nisqually River, we propose a planning framework for restoring self-sustaining dynamic river morphology and habitat to forested floodplain rivers.","container-title":"Restoration Ecology","DOI":"https://doi.org/10.1046/j.1526-100X.2002.01023.x","ISSN":"1526-100X","issue":"2","language":"en","note":"_eprint: https://onlinelibrary.wiley.com/doi/pdf/10.1046/j.1526-100X.2002.01023.x","page":"237-247","source":"Wiley Online Library","title":"Forest Development, Wood Jams, and Restoration of Floodplain Rivers in the Puget Lowland, Washington","volume":"10","author":[{"family":"Collins","given":"Brian D."},{"family":"Montgomery","given":"David R."}],"issued":{"date-parts":[["2002"]]},"citation-key":"collins_2002"}},{"id":847,"uris":["http://zotero.org/users/2189142/items/647EFBX4"],"itemData":{"id":847,"type":"article-journal","abstract":"Streams often rely on nutrient subsidies, and variation in nutrient delivery may alter the ecosystem response. Pacific salmon (Oncorhynchus spp.) provide marine-derived nutrients to their natal streams but also cause benthic disturbance, with the net effect determined by watershed and stream characteristics. To understand the factors contributing to variation in salmon-derived nutrients (SDN), we studied nutrient concentration and export in seven streams with varying physical characteristics due to timber harvest (e.g., channel complexity) over three years in Southeast Alaska, USA. Salmon increased concentrations and export of dissolved and particulate nitrogen, phosphorus, and carbon, but the magnitude of increase varied up to 41-fold among streams. The density of live salmon best predicted the increase in nutrient concentration and export, whereas the density of carcasses had a negligible effect. Nutrient export was predicted by transient storage before and after the salmon run. Streams in harvested wat..., Les cours d’eau dépendent souvent de subsides de nutriments et la variation dans les apports de nutriments peut modifier les réactions de l’écosystème. Les saumons du Pacifique (Oncorhynchus spp.) procurent des nutriments d’origine marine à leur cours d’eau de naissance, mais ils causent aussi des bouleversements benthiques; l’effet net dépend des caractéristiques du bassin versant et du cours d’eau. Afin de connaître les facteurs qui contribuent à la variation dans les nutriments provenant des saumons (SDN), nous avons étudié les concentrations et les exportations de nutriments dans sept cours d’eau présentant des caractéristiques physiques différentes dues à la coupe du bois (par ex., complexité du chenal) pendant trois ans dans le sud-est de l’Alaska. Les saumons font augmenter les concentrations et l’exportation de l’azote dissous et particulaire, du phosphore et du carbone, mais l’importance de l’augmentation varie par un facteur pouvant atteindre 41 entre les cours d’eau. La densité des saumons est ...","container-title":"Canadian Journal of Fisheries and Aquatic Sciences","DOI":"10.1139/f2011-067","ISSN":"0706-652X","issue":"8","journalAbbreviation":"Can. J. Fish. Aquat. Sci.","page":"1316-1329","source":"NRC Research Press","title":"Does timber harvest influence the dynamics of marine-derived nutrients in Southeast Alaska streams?","volume":"68","author":[{"family":"Levi","given":"Peter S."},{"family":"Tank","given":"Jennifer L."},{"family":"Tiegs","given":"Scott D."},{"family":"Rüegg","given":"Janine"},{"family":"Chaloner","given":"Dominic T."},{"family":"Lamberti","given":"Gary A."}],"issued":{"date-parts":[["2011",7,28]]},"citation-key":"levi_2011"}}],"schema":"https://github.com/citation-style-language/schema/raw/master/csl-citation.json"} </w:instrText>
      </w:r>
      <w:r w:rsidRPr="009867C1">
        <w:fldChar w:fldCharType="separate"/>
      </w:r>
      <w:r w:rsidR="0042141C" w:rsidRPr="009867C1">
        <w:t>(B. D. Collins &amp; Montgomery, 2002; P. S. Levi et al., 2011)</w:t>
      </w:r>
      <w:r w:rsidRPr="009867C1">
        <w:fldChar w:fldCharType="end"/>
      </w:r>
      <w:r w:rsidRPr="009867C1">
        <w:fldChar w:fldCharType="begin"/>
      </w:r>
      <w:r w:rsidR="00AC0205">
        <w:instrText xml:space="preserve"> ADDIN ZOTERO_ITEM CSL_CITATION {"citationID":"gfYUCK5Z","properties":{"formattedCitation":"(P. S. Levi et al., 2011)","plainCitation":"(P. S. Levi et al., 2011)","dontUpdate":true,"noteIndex":0},"citationItems":[{"id":847,"uris":["http://zotero.org/users/2189142/items/647EFBX4"],"itemData":{"id":847,"type":"article-journal","abstract":"Streams often rely on nutrient subsidies, and variation in nutrient delivery may alter the ecosystem response. Pacific salmon (Oncorhynchus spp.) provide marine-derived nutrients to their natal streams but also cause benthic disturbance, with the net effect determined by watershed and stream characteristics. To understand the factors contributing to variation in salmon-derived nutrients (SDN), we studied nutrient concentration and export in seven streams with varying physical characteristics due to timber harvest (e.g., channel complexity) over three years in Southeast Alaska, USA. Salmon increased concentrations and export of dissolved and particulate nitrogen, phosphorus, and carbon, but the magnitude of increase varied up to 41-fold among streams. The density of live salmon best predicted the increase in nutrient concentration and export, whereas the density of carcasses had a negligible effect. Nutrient export was predicted by transient storage before and after the salmon run. Streams in harvested wat..., Les cours d’eau dépendent souvent de subsides de nutriments et la variation dans les apports de nutriments peut modifier les réactions de l’écosystème. Les saumons du Pacifique (Oncorhynchus spp.) procurent des nutriments d’origine marine à leur cours d’eau de naissance, mais ils causent aussi des bouleversements benthiques; l’effet net dépend des caractéristiques du bassin versant et du cours d’eau. Afin de connaître les facteurs qui contribuent à la variation dans les nutriments provenant des saumons (SDN), nous avons étudié les concentrations et les exportations de nutriments dans sept cours d’eau présentant des caractéristiques physiques différentes dues à la coupe du bois (par ex., complexité du chenal) pendant trois ans dans le sud-est de l’Alaska. Les saumons font augmenter les concentrations et l’exportation de l’azote dissous et particulaire, du phosphore et du carbone, mais l’importance de l’augmentation varie par un facteur pouvant atteindre 41 entre les cours d’eau. La densité des saumons est ...","container-title":"Canadian Journal of Fisheries and Aquatic Sciences","DOI":"10.1139/f2011-067","ISSN":"0706-652X","issue":"8","journalAbbreviation":"Can. J. Fish. Aquat. Sci.","page":"1316-1329","source":"NRC Research Press","title":"Does timber harvest influence the dynamics of marine-derived nutrients in Southeast Alaska streams?","volume":"68","author":[{"family":"Levi","given":"Peter S."},{"family":"Tank","given":"Jennifer L."},{"family":"Tiegs","given":"Scott D."},{"family":"Rüegg","given":"Janine"},{"family":"Chaloner","given":"Dominic T."},{"family":"Lamberti","given":"Gary A."}],"issued":{"date-parts":[["2011",7,28]]},"citation-key":"levi_2011"}}],"schema":"https://github.com/citation-style-language/schema/raw/master/csl-citation.json"} </w:instrText>
      </w:r>
      <w:r w:rsidRPr="009867C1">
        <w:fldChar w:fldCharType="end"/>
      </w:r>
      <w:r w:rsidRPr="009867C1">
        <w:t xml:space="preserve">. All of this indicates a consistent but complicated network of impacts by salmon on aquatic communities, with net effects emerging from inputs mediated by environmental and ecological context. </w:t>
      </w:r>
    </w:p>
    <w:p w14:paraId="0E4E41EF" w14:textId="77777777" w:rsidR="008832BF" w:rsidRPr="009867C1" w:rsidRDefault="008832BF" w:rsidP="008832BF">
      <w:pPr>
        <w:ind w:firstLine="720"/>
      </w:pPr>
    </w:p>
    <w:p w14:paraId="6B4420D9" w14:textId="77777777" w:rsidR="008832BF" w:rsidRPr="009867C1" w:rsidRDefault="008832BF" w:rsidP="008832BF">
      <w:pPr>
        <w:pStyle w:val="Heading3"/>
      </w:pPr>
      <w:bookmarkStart w:id="29" w:name="_Toc99385405"/>
      <w:r w:rsidRPr="009867C1">
        <w:t>Salmon forests: terrestrial effects of MDN</w:t>
      </w:r>
      <w:bookmarkEnd w:id="29"/>
    </w:p>
    <w:p w14:paraId="2FAD196C" w14:textId="77777777" w:rsidR="008832BF" w:rsidRPr="009867C1" w:rsidRDefault="008832BF" w:rsidP="008832BF">
      <w:pPr>
        <w:pStyle w:val="Heading4"/>
      </w:pPr>
      <w:bookmarkStart w:id="30" w:name="_Toc99385406"/>
      <w:r w:rsidRPr="009867C1">
        <w:t>From stream to forest</w:t>
      </w:r>
      <w:bookmarkEnd w:id="30"/>
    </w:p>
    <w:p w14:paraId="1EB50FFD" w14:textId="45E1D14C" w:rsidR="008832BF" w:rsidRPr="009867C1" w:rsidRDefault="008832BF" w:rsidP="008832BF">
      <w:pPr>
        <w:ind w:firstLine="720"/>
      </w:pPr>
      <w:r w:rsidRPr="009867C1">
        <w:t xml:space="preserve">Some of the marine-derived nutrients brought into aquatic settings are destined to end up back in the sea. For example, relative to </w:t>
      </w:r>
      <w:r w:rsidR="00CF6B65">
        <w:t>materials</w:t>
      </w:r>
      <w:r w:rsidRPr="009867C1">
        <w:t xml:space="preserve"> imported by salmon, Alaskan stream</w:t>
      </w:r>
      <w:r w:rsidR="00E6145D">
        <w:t xml:space="preserve">s </w:t>
      </w:r>
      <w:r w:rsidRPr="009867C1">
        <w:t xml:space="preserve">exported </w:t>
      </w:r>
      <w:r w:rsidR="00C239C6">
        <w:t xml:space="preserve">a net of </w:t>
      </w:r>
      <w:r w:rsidR="00CF6B65">
        <w:t>1</w:t>
      </w:r>
      <w:r w:rsidRPr="009867C1">
        <w:t xml:space="preserve">89% of biomass, 60% of P and 55% of N </w:t>
      </w:r>
      <w:r w:rsidRPr="009867C1">
        <w:fldChar w:fldCharType="begin"/>
      </w:r>
      <w:r w:rsidR="00AC0205">
        <w:instrText xml:space="preserve"> ADDIN ZOTERO_ITEM CSL_CITATION {"citationID":"aol4Yi0D","properties":{"formattedCitation":"(Moore et al., 2007)","plainCitation":"(Moore et al., 2007)","noteIndex":0},"citationItems":[{"id":788,"uris":["http://zotero.org/users/2189142/items/CDIMAQER"],"itemData":{"id":788,"type":"article-journal","container-title":"Ecology","DOI":"10.1890/06-0782","ISSN":"0012-9658","issue":"5","language":"en","page":"1278-1291","source":"CrossRef","title":"BIOTIC CONTROL OF STREAM FLUXES: SPAWNING SALMON DRIVE NUTRIENT AND MATTER EXPORT","title-short":"BIOTIC CONTROL OF STREAM FLUXES","volume":"88","author":[{"family":"Moore","given":"Jonathan W."},{"family":"Schindler","given":"Daniel E."},{"family":"Carter","given":"Jackie L."},{"family":"Fox","given":"Justin"},{"family":"Griffiths","given":"Jennifer"},{"family":"Holtgrieve","given":"Gordon W."}],"issued":{"date-parts":[["2007",5]]},"citation-key":"moore_2007"}}],"schema":"https://github.com/citation-style-language/schema/raw/master/csl-citation.json"} </w:instrText>
      </w:r>
      <w:r w:rsidRPr="009867C1">
        <w:fldChar w:fldCharType="separate"/>
      </w:r>
      <w:r w:rsidR="0042141C" w:rsidRPr="009867C1">
        <w:t>(Moore et al., 2007)</w:t>
      </w:r>
      <w:r w:rsidRPr="009867C1">
        <w:fldChar w:fldCharType="end"/>
      </w:r>
      <w:r w:rsidRPr="009867C1">
        <w:t>.</w:t>
      </w:r>
      <w:r w:rsidR="00C239C6">
        <w:t xml:space="preserve"> </w:t>
      </w:r>
      <w:r w:rsidRPr="009867C1">
        <w:t>Th</w:t>
      </w:r>
      <w:r w:rsidR="00C239C6">
        <w:t>ese net effects included outputs from</w:t>
      </w:r>
      <w:r w:rsidRPr="009867C1">
        <w:t xml:space="preserve"> bioturbation from salmon redd digging and migration </w:t>
      </w:r>
      <w:r w:rsidRPr="009867C1">
        <w:fldChar w:fldCharType="begin"/>
      </w:r>
      <w:r w:rsidR="00AC0205">
        <w:instrText xml:space="preserve"> ADDIN ZOTERO_ITEM CSL_CITATION {"citationID":"kYHPbZS6","properties":{"formattedCitation":"(Holtgrieve &amp; Schindler, 2011)","plainCitation":"(Holtgrieve &amp; Schindler, 2011)","noteIndex":0},"citationItems":[{"id":789,"uris":["http://zotero.org/users/2189142/items/IBVD5RBG"],"itemData":{"id":789,"type":"article-journal","abstract":"In coastal areas of the North Pacific Ocean, annual returns of spawning salmon provide a substantial influx of nutrients and organic matter to streams and are generally believed to enhance the productivity of recipient ecosystems. Loss of this subsidy from areas with diminished salmon runs has been hypothesized to limit ecosystem productivity in juvenile salmon rearing habitats (lakes and streams), thereby reinforcing population declines. Using five to seven years of data from an Alaskan stream supporting moderate salmon densities, we show that salmon predictably increased stream water nutrient concentrations, which were on average 190% (nitrogen) and 390% (phosphorus) pre-salmon values, and that primary producers incorporated some of these nutrients into tissues. However, benthic algal biomass declined by an order of magnitude despite increased nutrients. We also measured changes in stream ecosystem metabolic properties, including gross primary productivity (GPP) and ecosystem respiration (ER), from three salmon streams by analyzing diel measurements of oxygen concentrations and stable isotopic ratios (δ18O-O2) within a Bayesian statistical model of oxygen dynamics. Our results do not support a shift toward higher primary productivity with the return of salmon, as is expected from a nutrient fertilization mechanism. Rather, net ecosystem metabolism switched from approximately net autotrophic (GPP ≥ ER) to a strongly net heterotrophic state (GPP </w:instrText>
      </w:r>
      <w:r w:rsidR="00AC0205">
        <w:rPr>
          <w:rFonts w:ascii="Cambria Math" w:hAnsi="Cambria Math" w:cs="Cambria Math"/>
        </w:rPr>
        <w:instrText>≪</w:instrText>
      </w:r>
      <w:r w:rsidR="00AC0205">
        <w:instrText xml:space="preserve"> ER) in response to bioturbation of benthic habitats by salmon. Following the seasonal arrival of salmon, GPP declined to &lt;12% of pre-salmon rates, while ER increased by over threefold. Metabolism by live salmon could not account for the observed increase in ER early in the salmon run, suggesting salmon nutrients and disturbance enhanced in situ heterotrophic respiration. Salmon also changed the physical properties of the stream, increasing air–water gas exchange by nearly 10-fold during peak spawning. We suggest that management efforts to restore salmon ecosystems should consider effects on ecosystem metabolic properties and how salmon disturbance affects the incorporation of marine-derived nutrients into food webs.","container-title":"Ecology","DOI":"10.1890/09-1694.1","ISSN":"1939-9170","issue":"2","language":"en","page":"373-385","source":"Wiley Online Library","title":"Marine-derived nutrients, bioturbation, and ecosystem metabolism: reconsidering the role of salmon in streams","title-short":"Marine-derived nutrients, bioturbation, and ecosystem metabolism","volume":"92","author":[{"family":"Holtgrieve","given":"Gordon W."},{"family":"Schindler","given":"Daniel E."}],"issued":{"date-parts":[["2011",2,1]]},"citation-key":"holtgrieve_2011"}}],"schema":"https://github.com/citation-style-language/schema/raw/master/csl-citation.json"} </w:instrText>
      </w:r>
      <w:r w:rsidRPr="009867C1">
        <w:fldChar w:fldCharType="separate"/>
      </w:r>
      <w:r w:rsidR="0042141C" w:rsidRPr="009867C1">
        <w:t>(Holtgrieve &amp; Schindler, 2011)</w:t>
      </w:r>
      <w:r w:rsidRPr="009867C1">
        <w:fldChar w:fldCharType="end"/>
      </w:r>
      <w:r w:rsidRPr="009867C1">
        <w:t xml:space="preserve">, diffusion, eventual out-migration of smolts </w:t>
      </w:r>
      <w:r w:rsidRPr="009867C1">
        <w:fldChar w:fldCharType="begin"/>
      </w:r>
      <w:r w:rsidR="00AC0205">
        <w:instrText xml:space="preserve"> ADDIN ZOTERO_ITEM CSL_CITATION {"citationID":"cz3646Se","properties":{"formattedCitation":"(Moore &amp; Schindler, 2004)","plainCitation":"(Moore &amp; Schindler, 2004)","noteIndex":0},"citationItems":[{"id":2535,"uris":["http://zotero.org/users/2189142/items/MB9SARAL"],"itemData":{"id":2535,"type":"article-journal","abstract":"Anadromous and semelparous salmon transport nutrients from the ocean to fresh waters when they return to spawn and die, a process inspiring a large body of research on the role of salmon-derived nutrients in coastal ecosystems. However, salmon also transport nutrients out of fresh waters when they migrate to the ocean as smolts. Using a total of 76 years of age-specific smolt-migration and adult-escapement data, we calculated the amounts of nitrogen and phosphorus that sockeye salmon (Oncorhynchus nerka) imported and exported from four major systems in Bristol Bay, Alaska. Smolts removed an average of 16% of the phosphorus and 12% of the nitrogen that their parents transported into fresh waters. The percentage of parental nutrients that smolts exported varied through time and among sites, ranging from 1% to 65% of the phosphorus and from less than 1% to 47% of the nitrogen. In systems where smolts were larger, they exported a higher percentage of nutrients. Depending on the strength of density-dependence, smolts could theoretically export more nutrients than their parents import to freshwater ecosystems at low spawning densities. Ignoring nutrient export by outgoing smolts will consistently lead to overestimation of nutrient import by Pacific salmon to freshwater ecosystems. [PUBLICATION ABSTRACT]","container-title":"Canadian Journal of Fisheries and Aquatic Sciences","ISSN":"0706652X","issue":"9","language":"English","note":"number-of-pages: 8\npublisher-place: Ottawa, Canada\npublisher: Canadian Science Publishing NRC Research Press","page":"1582-1589","source":"ProQuest","title":"Nutrient export from freshwater ecosystems by anadromous sockeye salmon (Oncorhynchus nerka)","volume":"61","author":[{"family":"Moore","given":"Jonathan W."},{"family":"Schindler","given":"Daniel E."}],"issued":{"date-parts":[["2004",9]]},"citation-key":"moore_2004"}}],"schema":"https://github.com/citation-style-language/schema/raw/master/csl-citation.json"} </w:instrText>
      </w:r>
      <w:r w:rsidRPr="009867C1">
        <w:fldChar w:fldCharType="separate"/>
      </w:r>
      <w:r w:rsidR="0042141C" w:rsidRPr="009867C1">
        <w:t>(Moore &amp; Schindler, 2004)</w:t>
      </w:r>
      <w:r w:rsidRPr="009867C1">
        <w:fldChar w:fldCharType="end"/>
      </w:r>
      <w:r w:rsidRPr="009867C1">
        <w:t xml:space="preserve">, and the outwashing of carcasses </w:t>
      </w:r>
      <w:r w:rsidRPr="009867C1">
        <w:fldChar w:fldCharType="begin"/>
      </w:r>
      <w:r w:rsidR="00AC0205">
        <w:instrText xml:space="preserve"> ADDIN ZOTERO_ITEM CSL_CITATION {"citationID":"gaorggej","properties":{"formattedCitation":"(Reimchen, 2017)","plainCitation":"(Reimchen, 2017)","noteIndex":0},"citationItems":[{"id":183,"uris":["http://zotero.org/users/2189142/items/5XY9XX4M"],"itemData":{"id":183,"type":"article-journal","abstract":"Based on five years of field studies (1992, 1993, 1994, 1998, 2000), I quantified bi-directional movement of salmon nutrients through an estuary, stream, and old growth forest in a large protected reserve on Haida Gwaii, British Columbia. In 1993, when most data were collected, about 6000 Chum Salmon (Oncorhynchus keta) entered the river of which 22% of the total biomass of senescent carcasses were swept downstream into the estuary and were scavenged by gulls (n = 350) and subtidal invertebrates. Of the 3700 salmon (10 000 kg) transferred by American Black Bear (Ursus americanus) to the riparian zone and partially consumed along the 800 m of stream channel, 5070 kg of salmon tissues abandoned by the bears were scavenged by Northwestern Crows (Corvus caurinus; n = 200) but mostly (4100 kg) by calliphorid blowfly larvae resulting in larval densities averaging 240/m2 throughout the riparian zone. Total nitrogen input to the soils from the combined effects of bear and scavenger activity as well as carcass input was 18 g/m2 within 10 m of the stream channel. δ15N of foliar tissues of Lanky Moss (Rhytidiadelphus loreus), Red Huckleberry (Vaccinium parvifolium), Salal (Gaultheria shallon), and Western Hemlock (Tsuga heterophylla) ranged about 15‰ to 20‰ among adjacent microsites in each species, with higher values occurring in salmon carcass zones. Total nitrogen in foliar tissues ranged from 1% to 2.4% among microsites and was best predicted by positive correlations with foliar 15N values and secondarily by presence/absence of salmon carcasses. This is the first study to integrate estuarine to riparian ecological processes in the cycling of salmonid nutrients and identifies a range of ecological baselines that can inform the multiple restoration programs underway in degraded watersheds in the North Pacific.","container-title":"Canadian Field Naturalist","ISSN":"0008-3550","language":"en","source":"pubag.nal.usda.gov","title":"Diverse Ecological Pathways of Salmon Nutrients Through an Intact Marine-terrestrial Interface","URL":"https://pubag.nal.usda.gov/catalog/6040059","author":[{"family":"Reimchen","given":"T.E."}],"accessed":{"date-parts":[["2019",8,4]]},"issued":{"date-parts":[["2017"]]},"citation-key":"reimchen_2017"}}],"schema":"https://github.com/citation-style-language/schema/raw/master/csl-citation.json"} </w:instrText>
      </w:r>
      <w:r w:rsidRPr="009867C1">
        <w:fldChar w:fldCharType="separate"/>
      </w:r>
      <w:r w:rsidR="0042141C" w:rsidRPr="009867C1">
        <w:t>(Reimchen, 2017)</w:t>
      </w:r>
      <w:r w:rsidRPr="009867C1">
        <w:fldChar w:fldCharType="end"/>
      </w:r>
      <w:r w:rsidRPr="009867C1">
        <w:t xml:space="preserve">. Similar numbers were found in import/export mass-balance calculations in a central Idaho Chinook system </w:t>
      </w:r>
      <w:r w:rsidRPr="009867C1">
        <w:fldChar w:fldCharType="begin"/>
      </w:r>
      <w:r w:rsidR="00AC0205">
        <w:instrText xml:space="preserve"> ADDIN ZOTERO_ITEM CSL_CITATION {"citationID":"g8TsAfMK","properties":{"formattedCitation":"(Kohler et al., 2013)","plainCitation":"(Kohler et al., 2013)","noteIndex":0},"citationItems":[{"id":848,"uris":["http://zotero.org/users/2189142/items/QTTKVWII"],"itemData":{"id":848,"type":"article-journal","abstract":"Salmon provide an important resource subsidy and linkage between marine and land-based ecosystems. This flow of energy and nutrients is not unidirectional (i.e., upstream only); in addition to passive nutrient export via stream flow, juvenile emigrants actively export nutrients from freshwater environments. In some cases, nutrient export can exceed import. We evaluated nutrient fluxes in streams across central Idaho, USA, using Chinook salmon (Oncorhynchus tshawytscha) adult escapement and juvenile production data from 1998 to 2008. We found in the majority of stream-years evaluated, adults imported more nutrients than progeny exported; however, in 3% of the years, juveniles exported more nutrients than their parents imported. On average, juvenile emigrants exported 22% ± 3% of the nitrogen and 30% ± 4% of the phosphorus their parents imported. This relationship was density-dependent and nonlinear; during periods of low adult abundance, juveniles were larger and exported up to 194% and 268% of parental ni..., Les saumons assurent un transfert des ressources et un lien importants entre les écosystèmes marins et terrestres. Ce flux d'énergie et de nutriments n'est pas unidirectionnel (c.-à-d. uniquement vers l'amont); en plus de l'exportation passive de nutriments assurée par l'écoulement de l'eau, les émigrants juvéniles exportent activement des nutriments hors des milieux d'eau douce. Dans certains cas, l'exportation de nutriments peut surpasser leur importation. Nous avons évalué les flux de nutriments dans des cours d'eau du centre de l'Idaho (États-Unis) à partir de données sur l'échappement d'adultes et la production de juvéniles de saumon quinnat (Oncorhynchus tshawytscha) recueillies de 1998 à 2008. Nous avons constaté, pour la majorité des années-cours d'eau évaluées, que les adultes importaient plus de nutriments que leur descendance en exportait. Cela dit, pour 3 % des années, les juvéniles exportaient plus de nutriments que leurs parents en importaient. En moyenne, les émigrants juvéniles exportaient...","container-title":"Canadian Journal of Fisheries and Aquatic Sciences","DOI":"10.1139/cjfas-2012-0347","ISSN":"0706-652X","issue":"3","journalAbbreviation":"Can. J. Fish. Aquat. Sci.","page":"502-512","source":"NRC Research Press","title":"Salmon-mediated nutrient flux in selected streams of the Columbia River basin, USA","volume":"70","author":[{"family":"Kohler","given":"Andre E."},{"family":"Kusnierz","given":"Paul C."},{"family":"Copeland","given":"Timothy"},{"family":"Venditti","given":"David A."},{"family":"Denny","given":"Lytle"},{"family":"Gable","given":"Josh"},{"family":"Lewis","given":"Bert A."},{"family":"Kinzer","given":"Ryan"},{"family":"Barnett","given":"Bruce"},{"family":"Wipfli","given":"Mark S."}],"issued":{"date-parts":[["2013",1,23]]},"citation-key":"kohler_2013"}}],"schema":"https://github.com/citation-style-language/schema/raw/master/csl-citation.json"} </w:instrText>
      </w:r>
      <w:r w:rsidRPr="009867C1">
        <w:fldChar w:fldCharType="separate"/>
      </w:r>
      <w:r w:rsidR="0042141C" w:rsidRPr="009867C1">
        <w:t>(Kohler et al., 2013)</w:t>
      </w:r>
      <w:r w:rsidRPr="009867C1">
        <w:fldChar w:fldCharType="end"/>
      </w:r>
      <w:r w:rsidRPr="009867C1">
        <w:t xml:space="preserve">. </w:t>
      </w:r>
    </w:p>
    <w:p w14:paraId="233328E4" w14:textId="0A9DB686" w:rsidR="008832BF" w:rsidRPr="009867C1" w:rsidRDefault="008832BF" w:rsidP="008832BF">
      <w:pPr>
        <w:ind w:firstLine="720"/>
      </w:pPr>
      <w:r w:rsidRPr="009867C1">
        <w:t xml:space="preserve">Remaining nutrients are either retained in aquatic systems or moved to terrestrial sites via three main pathways: insect emergence, hyporheic flow, and consumption and displacement by terrestrial animals. Emergence of aquatic insects represents a small but measurable vector of MDN movement from streams to terrestrial sites, estimated in Alaska to account for 0.03% of total salmon-imported MDN </w:t>
      </w:r>
      <w:r w:rsidRPr="009867C1">
        <w:fldChar w:fldCharType="begin"/>
      </w:r>
      <w:r w:rsidR="00AC0205">
        <w:instrText xml:space="preserve"> ADDIN ZOTERO_ITEM CSL_CITATION {"citationID":"UEk0bXsJ","properties":{"formattedCitation":"(T. B. Francis et al., 2006)","plainCitation":"(T. B. Francis et al., 2006)","noteIndex":0},"citationItems":[{"id":974,"uris":["http://zotero.org/users/2189142/items/CKT94Z4C"],"itemData":{"id":974,"type":"article-journal","abstract":"Recent research has highlighted the importance of nutrients derived from Pacific salmon (Oncorhynchus spp.) carcasses for coastal freshwater and riparian ecosystems. To investigate the role of emerging aquatic insects in dispersing salmon nutrients from spawning streams to riparian habitats, we quantified the emergence and return rates of mayflies (Ephemeroptera), stoneflies (Plecoptera), and caddisflies (Trichoptera) on Pick Creek in southwestern Alaska and, using stable isotopes, estimated the associated flux of nutrients derived from sockeye salmon (Oncorhynchus nerka) to streamside forests. Between June and September of 2004, 7.6 mg·m–2 of salmon-derived nitrogen emerged from Pick Creek in the form of aquatic invertebrates, 6.7 mg·m–2 of which was transferred to the terrestrial ecosystem. Dispersal patterns on four area streams showed that the majority of stream-borne nutrients are deposited within 25 m of the stream. Aquatic insects represent a minor vector for salmon nutrients to terrestrial systems..., Des recherches récentes soulignent l'importance des nutriments dérivés des carcasses de saumons du Pacifique (Oncorhynchus spp.) pour les écosystèmes côtiers d'eau douce et les écosystèmes des rivages. Afin de déterminer le rôle de l'émergence des insectes aquatiques dans la dispersion des nutriments de saumons depuis les cours d'eau de fraye vers les habitats du rivage, nous avons mesuré les taux d'émergence et de retour des éphémères (Ephemeroptera), des perles (Plecoptera) et des phryganes (Trichoptera) à Pick Creek dans le sud-ouest de l'Alaska; nous avons ensuite estimé le flux correspondant de nutriments dérivés des saumons rouges (Oncorhynchus nerka) vers les forêts riveraines à l'aide d'isotopes stables. Entre juin et septembre 2004, 7,6 mg·m–2 de nutriments provenant des saumons ont émergé de Pick Creek sous forme d'invertébrés aquatiques, dont 6,7 mg·m–2 ont été transmis à l'écosystème terrestre. Les patrons de dispersion dans trois sections du cours d'eau montrent que la majorité des nutriments...","container-title":"Canadian Journal of Fisheries and Aquatic Sciences","DOI":"10.1139/f06-144","ISSN":"0706-652X","issue":"11","journalAbbreviation":"Can. J. Fish. Aquat. Sci.","page":"2543-2552","source":"NRC Research Press","title":"Aquatic insects play a minor role in dispersing salmon-derived nutrients into riparian forests in southwestern Alaska","volume":"63","author":[{"family":"Francis","given":"Tessa B"},{"family":"Schindler","given":"Daniel E"},{"family":"Moore","given":"Jonathan W"}],"issued":{"date-parts":[["2006",11,1]]},"citation-key":"francis_2006a"}}],"schema":"https://github.com/citation-style-language/schema/raw/master/csl-citation.json"} </w:instrText>
      </w:r>
      <w:r w:rsidRPr="009867C1">
        <w:fldChar w:fldCharType="separate"/>
      </w:r>
      <w:r w:rsidR="0042141C" w:rsidRPr="009867C1">
        <w:t>(T. B. Francis et al., 2006)</w:t>
      </w:r>
      <w:r w:rsidRPr="009867C1">
        <w:fldChar w:fldCharType="end"/>
      </w:r>
      <w:r w:rsidRPr="009867C1">
        <w:t>. The hyporheic zone (lit. ‘below flow’) is a saturated zone of rapid fluid exchange between surface</w:t>
      </w:r>
      <w:r w:rsidR="00C31534">
        <w:t xml:space="preserve"> </w:t>
      </w:r>
      <w:r w:rsidRPr="009867C1">
        <w:t xml:space="preserve">water and groundwater </w:t>
      </w:r>
      <w:r w:rsidRPr="009867C1">
        <w:fldChar w:fldCharType="begin"/>
      </w:r>
      <w:r w:rsidR="00AC0205">
        <w:instrText xml:space="preserve"> ADDIN ZOTERO_ITEM CSL_CITATION {"citationID":"aR0wwzH6","properties":{"formattedCitation":"(Boano et al., 2014)","plainCitation":"(Boano et al., 2014)","noteIndex":0},"citationItems":[{"id":2396,"uris":["http://zotero.org/users/2189142/items/DB56D9AV"],"itemData":{"id":2396,"type":"article-journal","abstract":"Fifty years of hyporheic zone research have shown the important role played by the hyporheic zone as an interface between groundwater and surface waters. However, it is only in the last two decades that what began as an empirical science has become a mechanistic science devoted to modeling studies of the complex fluid dynamical and biogeochemical mechanisms occurring in the hyporheic zone. These efforts have led to the picture of surface-subsurface water interactions as regulators of the form and function of fluvial ecosystems. Rather than being isolated systems, surface water bodies continuously interact with the subsurface. Exploration of hyporheic zone processes has led to a new appreciation of their wide reaching consequences for water quality and stream ecology. Modern research aims toward a unified approach, in which processes occurring in the hyporheic zone are key elements for the appreciation, management, and restoration of the whole river environment. In this unifying context, this review summarizes results from modeling studies and field observations about flow and transport processes in the hyporheic zone and describes the theories proposed in hydrology and fluid dynamics developed to quantitatively model and predict the hyporheic transport of water, heat, and dissolved and suspended compounds from sediment grain scale up to the watershed scale. The implications of these processes for stream biogeochemistry and ecology are also discussed.","container-title":"Reviews of Geophysics","DOI":"https://doi.org/10.1002/2012RG000417","ISSN":"1944-9208","issue":"4","language":"en","note":"_eprint: https://onlinelibrary.wiley.com/doi/pdf/10.1002/2012RG000417","page":"603-679","source":"Wiley Online Library","title":"Hyporheic flow and transport processes: Mechanisms, models, and biogeochemical implications","title-short":"Hyporheic flow and transport processes","volume":"52","author":[{"family":"Boano","given":"F."},{"family":"Harvey","given":"J. W."},{"family":"Marion","given":"A."},{"family":"Packman","given":"A. I."},{"family":"Revelli","given":"R."},{"family":"Ridolfi","given":"L."},{"family":"Wörman","given":"A."}],"issued":{"date-parts":[["2014"]]},"citation-key":"boano_2014"}}],"schema":"https://github.com/citation-style-language/schema/raw/master/csl-citation.json"} </w:instrText>
      </w:r>
      <w:r w:rsidRPr="009867C1">
        <w:fldChar w:fldCharType="separate"/>
      </w:r>
      <w:r w:rsidR="0042141C" w:rsidRPr="009867C1">
        <w:t>(Boano et al., 2014)</w:t>
      </w:r>
      <w:r w:rsidRPr="009867C1">
        <w:fldChar w:fldCharType="end"/>
      </w:r>
      <w:r w:rsidRPr="009867C1">
        <w:t xml:space="preserve"> that underlies rivers and riparian landscapes. Hyporheic zones are larger in flatter floodplains, and higher flows are associated with more complex and meandering stream channels </w:t>
      </w:r>
      <w:r w:rsidRPr="009867C1">
        <w:fldChar w:fldCharType="begin"/>
      </w:r>
      <w:r w:rsidR="00AC0205">
        <w:instrText xml:space="preserve"> ADDIN ZOTERO_ITEM CSL_CITATION {"citationID":"6ejuKQpn","properties":{"formattedCitation":"(Schindler &amp; Smits, 2017)","plainCitation":"(Schindler &amp; Smits, 2017)","noteIndex":0},"citationItems":[{"id":247,"uris":["http://zotero.org/users/2189142/items/QMBKVM3X"],"itemData":{"id":247,"type":"article-journal","abstract":"Floods, spatially complex water flows, and organism movements all generate important fluxes of aquatic-derived materials into terrestrial habitats, counteracting the gravity-driven downhill transport of matter from terrestrial-to-aquatic ecosystems. The magnitude of these aquatic subsidies is often smaller than terrestrial subsidies to aquatic ecosystems but higher in nutritional quality, energy density, and nutrient concentration. The lateral extent of biological aquatic subsidies is typically small, extending only a few meters into riparian habitat; however, terrestrial consumers often aggregate on shorelines to capitalize on these high-quality resources. Although the ecological effects of aquatic subsidies remain partially understood, it is clear that ongoing human modification to aquatic ecosystems, riparian habitats and river floodplains affect the magnitude, quality, and spatial and temporal patterning of aquatic subsidies in terrestrial landscapes. These changes will alter the character of aquatic–terrestrial coupling and have consequences for terrestrial organisms that rely on these high-quality and temporally dependable resource subsidies. Homogenization of landscapes and flow regimes, eutrophication, exotic species, and contaminants all represent threats to the vital flows of aquatic-derived resources into terrestrial ecosystems. Research emphasizing that landscapes are integrated terrestrial–aquatic systems, characterized by both biological and hydrological flows among habitats, is needed for understanding the consequences of aquatic subsidies and managing ecological risks of ongoing human development.","container-title":"Ecosystems","DOI":"10.1007/s10021-016-0050-7","ISSN":"1435-0629","issue":"1","journalAbbreviation":"Ecosystems","language":"en","page":"78-93","source":"Springer Link","title":"Subsidies of Aquatic Resources in Terrestrial Ecosystems","volume":"20","author":[{"family":"Schindler","given":"Daniel E."},{"family":"Smits","given":"Adrianne P."}],"issued":{"date-parts":[["2017",1,1]]},"citation-key":"schindler_2017"}}],"schema":"https://github.com/citation-style-language/schema/raw/master/csl-citation.json"} </w:instrText>
      </w:r>
      <w:r w:rsidRPr="009867C1">
        <w:fldChar w:fldCharType="separate"/>
      </w:r>
      <w:r w:rsidR="0042141C" w:rsidRPr="009867C1">
        <w:t>(Schindler &amp; Smits, 2017)</w:t>
      </w:r>
      <w:r w:rsidRPr="009867C1">
        <w:fldChar w:fldCharType="end"/>
      </w:r>
      <w:r w:rsidRPr="009867C1">
        <w:t xml:space="preserve">. Through these subsurface flows, dissolved nutrients can be transferred and stored in riparian soil by adhesion to soil particles, microbial fixation, and direct root access by riparian vegetation and fungi </w:t>
      </w:r>
      <w:r w:rsidRPr="009867C1">
        <w:fldChar w:fldCharType="begin"/>
      </w:r>
      <w:r w:rsidR="00AC0205">
        <w:instrText xml:space="preserve"> ADDIN ZOTERO_ITEM CSL_CITATION {"citationID":"XcJbwN9Z","properties":{"formattedCitation":"(Marmonier et al., 2012)","plainCitation":"(Marmonier et al., 2012)","noteIndex":0},"citationItems":[{"id":2394,"uris":["http://zotero.org/users/2189142/items/8P8YF2LY"],"itemData":{"id":2394,"type":"article-journal","abstract":"Fifty years after the hyporheic zone was first defined (Orghidan, 1959), there are still gaps in the knowledge regarding the role of biodiversity in hyporheic processes. First, some methodological questions remained unanswered regarding the interactions between biodiversity and physical processes, both for the study of habitat characteristics and interactions at different scales. Furthermore, many questions remain to be addressed to help inform our understanding of invertebrate community dynamics, especially regarding the trophic niches of organisms, the functional groups present within sediment, and their temporal changes. Understanding microbial community dynamics would require investigations about their relationship with the physical characteristics of the sediment, their diversity, their relationship with metabolic pathways, their interactions with invertebrates, and their response to environmental stress. Another fundamental research question is that of the importance of the hyporheic zone in the global metabolism of the river, which must be explored in relation to organic matter recycling, the effects of disturbances, and the degradation of contaminants. Finally, the application of this knowledge requires the development of methods for the estimation of hydrological exchanges, especially for the management of sediment clogging, the optimization of self-purification, and the integration of climate change in environmental policies. The development of descriptors of hyporheic zone health and of new metrology is also crucial to include specific targets in water policies for the long-term management of the system and a clear evaluation of restoration strategies.","container-title":"Annales de Limnologie - International Journal of Limnology","DOI":"10.1051/limn/2012009","ISSN":"0003-4088, 2100-000X","issue":"3","language":"en","note":"publisher: EDP Sciences","page":"253-266","source":"Cambridge University Press","title":"The role of organisms in hyporheic processes: gaps in current knowledge, needs for future research and applications","title-short":"The role of organisms in hyporheic processes","volume":"48","author":[{"family":"Marmonier","given":"P."},{"family":"Archambaud","given":"G."},{"family":"Belaidi","given":"N."},{"family":"Bougon","given":"N."},{"family":"Breil","given":"P."},{"family":"Chauvet","given":"E."},{"family":"Claret","given":"C."},{"family":"Cornut","given":"J."},{"family":"Datry","given":"T."},{"family":"Dole-Olivier","given":"M.-J."},{"family":"Dumont","given":"B."},{"family":"Flipo","given":"N."},{"family":"Foulquier","given":"A."},{"family":"Gérino","given":"M."},{"family":"Guilpart","given":"A."},{"family":"Julien","given":"F."},{"family":"Maazouzi","given":"C."},{"family":"Martin","given":"D."},{"family":"Mermillod-Blondin","given":"F."},{"family":"Montuelle","given":"B."},{"family":"Namour","given":"Ph"},{"family":"Navel","given":"S."},{"family":"Ombredane","given":"D."},{"family":"Pelte","given":"T."},{"family":"Piscart","given":"C."},{"family":"Pusch","given":"M."},{"family":"Stroffek","given":"S."},{"family":"Robertson","given":"A."},{"family":"Sanchez-Pérez","given":"J.-M."},{"family":"Sauvage","given":"S."},{"family":"Taleb","given":"A."},{"family":"Wantzen","given":"M."},{"family":"Vervier","given":"Ph"}],"issued":{"date-parts":[["2012"]],"season":"ed"},"citation-key":"marmonier_2012"}}],"schema":"https://github.com/citation-style-language/schema/raw/master/csl-citation.json"} </w:instrText>
      </w:r>
      <w:r w:rsidRPr="009867C1">
        <w:fldChar w:fldCharType="separate"/>
      </w:r>
      <w:r w:rsidR="0042141C" w:rsidRPr="009867C1">
        <w:t>(Marmonier et al., 2012)</w:t>
      </w:r>
      <w:r w:rsidRPr="009867C1">
        <w:fldChar w:fldCharType="end"/>
      </w:r>
      <w:r w:rsidRPr="009867C1">
        <w:t>. Net transfer of MDN to terrestrial sites via hyporheic flow ha</w:t>
      </w:r>
      <w:r w:rsidR="00C31534">
        <w:t>s</w:t>
      </w:r>
      <w:r w:rsidRPr="009867C1">
        <w:t xml:space="preserve"> been shown in a southwestern Alaskan creek, where NH</w:t>
      </w:r>
      <w:r w:rsidRPr="009867C1">
        <w:rPr>
          <w:vertAlign w:val="subscript"/>
        </w:rPr>
        <w:t>4</w:t>
      </w:r>
      <w:r w:rsidRPr="009867C1">
        <w:rPr>
          <w:vertAlign w:val="superscript"/>
        </w:rPr>
        <w:t>+</w:t>
      </w:r>
      <w:r w:rsidRPr="009867C1">
        <w:t xml:space="preserve"> and P were shown to be rapidly immobilized within meters of the stream-soil interface, whereas NO</w:t>
      </w:r>
      <w:r w:rsidRPr="009867C1">
        <w:rPr>
          <w:vertAlign w:val="subscript"/>
        </w:rPr>
        <w:t>3</w:t>
      </w:r>
      <w:r w:rsidRPr="009867C1">
        <w:rPr>
          <w:vertAlign w:val="superscript"/>
        </w:rPr>
        <w:t>-</w:t>
      </w:r>
      <w:r w:rsidRPr="009867C1">
        <w:t xml:space="preserve"> travelled as far as 60 m or more </w:t>
      </w:r>
      <w:r w:rsidRPr="009867C1">
        <w:fldChar w:fldCharType="begin"/>
      </w:r>
      <w:r w:rsidR="00AC0205">
        <w:instrText xml:space="preserve"> ADDIN ZOTERO_ITEM CSL_CITATION {"citationID":"uej18cgz","properties":{"formattedCitation":"(O Keefe &amp; Edwards, 2003)","plainCitation":"(O Keefe &amp; Edwards, 2003)","noteIndex":0},"citationItems":[{"id":978,"uris":["http://zotero.org/users/2189142/items/GAHD5DZW"],"itemData":{"id":978,"type":"paper-conference","container-title":"American Fisheries Society Symposium","page":"99–110","publisher":"American Fisheries Society","source":"Google Scholar","title":"Evidence for hyporheic transfer and removal of marine-derived nutrients in a sockeye stream in southwest Alaska","URL":"http://riversandcreeks.com/research/publications/okeefe_edwards_2002.pdf","author":[{"family":"O Keefe","given":"THOMAS C."},{"family":"Edwards","given":"RICK T."}],"accessed":{"date-parts":[["2015",6,24]]},"issued":{"date-parts":[["2003"]]},"citation-key":"okeefe_2003"}}],"schema":"https://github.com/citation-style-language/schema/raw/master/csl-citation.json"} </w:instrText>
      </w:r>
      <w:r w:rsidRPr="009867C1">
        <w:fldChar w:fldCharType="separate"/>
      </w:r>
      <w:r w:rsidR="0042141C" w:rsidRPr="009867C1">
        <w:t>(O Keefe &amp; Edwards, 2003)</w:t>
      </w:r>
      <w:r w:rsidRPr="009867C1">
        <w:fldChar w:fldCharType="end"/>
      </w:r>
      <w:r w:rsidRPr="009867C1">
        <w:t>. Another study at the same site using a tracer-addition approach demonstrated that NO</w:t>
      </w:r>
      <w:r w:rsidRPr="009867C1">
        <w:rPr>
          <w:vertAlign w:val="subscript"/>
        </w:rPr>
        <w:t>3</w:t>
      </w:r>
      <w:r w:rsidRPr="009867C1">
        <w:t xml:space="preserve">-N was taken up over a period of 1-2 hours, and that this uptake was primarily mediated by plant and microbial communities </w:t>
      </w:r>
      <w:r w:rsidRPr="009867C1">
        <w:fldChar w:fldCharType="begin"/>
      </w:r>
      <w:r w:rsidR="00AC0205">
        <w:instrText xml:space="preserve"> ADDIN ZOTERO_ITEM CSL_CITATION {"citationID":"GGMjJXTR","properties":{"formattedCitation":"(Pinay et al., 2009)","plainCitation":"(Pinay et al., 2009)","noteIndex":0},"citationItems":[{"id":469,"uris":["http://zotero.org/users/2189142/items/6NCAE73A"],"itemData":{"id":469,"type":"article-journal","abstract":"Pacific boreal streams and riparian zones are believed to receive significant N loads that are derived from the ocean in the form of decaying sockeye salmon (Oncorhynchus nerka). Using a small stream in south-central Alaska we examined whether the associated riparian forest could take up the pulse of marine-derived nitrogen (MDN) entering the hyporheic zone from spawning and dying sockeye salmon. We evaluate the relative importance of riparian uptake and denitrification in nitrate-N removal in hyporheic sediment. We found that maximum biological removal of nitrate peaked within 1 h of water entering the hyporheic zone, decreasing exponentially with subsurface flow duration. Plant and microbial uptake reached 14 µg NO 3−-N L−1 min−1 and denitrification reached 4 µg NO 3−-N L−1 min−1 during the initial 2 h of transit time. Our results reinforce the hypothesis that MDN from Pacific salmon can be transferred to riparian zone via hyporheic flow. Most nitrate-N removal along hyporheic flow paths is by plant and microbial uptake (the respective contributions could not be determined). Denitrifying bacteria are present and active in the hyporheic zones of this well-oxygenated Alaskan stream but their contribution to the nitrate-N removal is small compared to plant and microbial uptake in such nitrate-N poor environment. Copyright © 2008 John Wiley &amp; Sons, Ltd.","container-title":"River Research and Applications","DOI":"10.1002/rra.1164","ISSN":"1535-1467","issue":"4","journalAbbreviation":"River Res. Applic.","language":"en","page":"367-375","source":"Wiley Online Library","title":"Nitrate removal in the hyporheic zone of a salmon river in Alaska","volume":"25","author":[{"family":"Pinay","given":"Gilles"},{"family":"O'Keefe","given":"Thomas C."},{"family":"Edwards","given":"Richard T."},{"family":"Naiman","given":"Robert J."}],"issued":{"date-parts":[["2009",5,1]]},"citation-key":"pinay_2009"}}],"schema":"https://github.com/citation-style-language/schema/raw/master/csl-citation.json"} </w:instrText>
      </w:r>
      <w:r w:rsidRPr="009867C1">
        <w:fldChar w:fldCharType="separate"/>
      </w:r>
      <w:r w:rsidR="0042141C" w:rsidRPr="009867C1">
        <w:t>(Pinay et al., 2009)</w:t>
      </w:r>
      <w:r w:rsidRPr="009867C1">
        <w:fldChar w:fldCharType="end"/>
      </w:r>
      <w:r w:rsidRPr="009867C1">
        <w:t>. The net importance of these exchanges are hard to measure, but they could be quite high given the topography of most salmon spawning streams and the propensity for salmon to choose high-hyporheic flow sites for spawning</w:t>
      </w:r>
      <w:r w:rsidR="001658D4">
        <w:t xml:space="preserve"> (here gas exchange conditions are more amenable to egg survival)</w:t>
      </w:r>
      <w:r w:rsidRPr="009867C1">
        <w:t xml:space="preserve"> </w:t>
      </w:r>
      <w:r w:rsidRPr="009867C1">
        <w:fldChar w:fldCharType="begin"/>
      </w:r>
      <w:r w:rsidR="00AC0205">
        <w:instrText xml:space="preserve"> ADDIN ZOTERO_ITEM CSL_CITATION {"citationID":"I8jNk114","properties":{"formattedCitation":"(Harrison et al., 2019)","plainCitation":"(Harrison et al., 2019)","noteIndex":0},"citationItems":[{"id":2393,"uris":["http://zotero.org/users/2189142/items/Z5I9HL2D"],"itemData":{"id":2393,"type":"article-journal","abstract":"Large-scale river restoration programs have emerged recently as a tool for improving spawning habitat for native salmonids in highly altered river ecosystems. Few studies have quantified the extent to which restored habitat is utilized by salmonids, which habitat features influence redd site selection, or the persistence of restored habitat over time. We investigated fall-run Chinook salmon spawning site utilization and measured and modeled corresponding habitat characteristics in two restored reaches: a reach of channel and floodplain enhancement completed in 2013 and a reconfigured channel and floodplain constructed in 2002. Redd surveys demonstrated that both restoration projects supported a high density of salmon redds, 3 and 14 years following restoration. Salmon redds were constructed in coarse gravel substrates located in areas of high sediment mobility, as determined by measurements of gravel friction angles and a grain entrainment model. Salmon redds were located near transitions between pool-riffle bedforms in regions of high predicted hyporheic flows. Habitat quality (quantified as a function of stream hydraulics) and hyporheic flow were both strong predictors of redd occurrence, though the relative roles of these variables differed between sites. Our findings indicate that physical controls on redd site selection in restored channels were similar to those reported for natural channels elsewhere. Our results further highlight that in addition to traditional habitat criteria (e.g., water depth, velocity, and substrate size), quantifying sediment texture and mobility, as well as intragravel flow, provides a more complete understanding of the ecological benefits provided by river restoration projects.","container-title":"Water Resources Research","DOI":"https://doi.org/10.1029/2018WR024428","ISSN":"1944-7973","issue":"11","language":"en","note":"_eprint: https://onlinelibrary.wiley.com/doi/pdf/10.1029/2018WR024428","page":"8942-8966","source":"Wiley Online Library","title":"Physical Controls on Salmon Redd Site Selection in Restored Reaches of a Regulated, Gravel-Bed River","volume":"55","author":[{"family":"Harrison","given":"Lee R."},{"family":"Bray","given":"Erin"},{"family":"Overstreet","given":"Brandon"},{"family":"Legleiter","given":"Carl J."},{"family":"Brown","given":"Rocko A."},{"family":"Merz","given":"Joseph E."},{"family":"Bond","given":"Rosealea M."},{"family":"Nicol","given":"Colin L."},{"family":"Dunne","given":"Thomas"}],"issued":{"date-parts":[["2019"]]},"citation-key":"harrison_2019"}}],"schema":"https://github.com/citation-style-language/schema/raw/master/csl-citation.json"} </w:instrText>
      </w:r>
      <w:r w:rsidRPr="009867C1">
        <w:fldChar w:fldCharType="separate"/>
      </w:r>
      <w:r w:rsidR="0042141C" w:rsidRPr="009867C1">
        <w:t>(Harrison et al., 2019)</w:t>
      </w:r>
      <w:r w:rsidRPr="009867C1">
        <w:fldChar w:fldCharType="end"/>
      </w:r>
      <w:r w:rsidRPr="009867C1">
        <w:t>.</w:t>
      </w:r>
    </w:p>
    <w:p w14:paraId="7CB46D58" w14:textId="77777777" w:rsidR="008832BF" w:rsidRPr="009867C1" w:rsidRDefault="008832BF" w:rsidP="008832BF">
      <w:pPr>
        <w:pStyle w:val="Heading4"/>
      </w:pPr>
      <w:bookmarkStart w:id="31" w:name="_Toc99385407"/>
      <w:r w:rsidRPr="009867C1">
        <w:t>Effects on animals</w:t>
      </w:r>
      <w:bookmarkEnd w:id="31"/>
    </w:p>
    <w:p w14:paraId="30D3C3DA" w14:textId="737AD7C7" w:rsidR="008832BF" w:rsidRPr="009867C1" w:rsidRDefault="008832BF" w:rsidP="008832BF">
      <w:pPr>
        <w:ind w:firstLine="720"/>
      </w:pPr>
      <w:r w:rsidRPr="00C31534">
        <w:t>The third and most significant vector for MDN movement to terrestrial sites is consumption by terrestrial animals, which</w:t>
      </w:r>
      <w:r w:rsidR="008B04E2">
        <w:t xml:space="preserve"> in turn</w:t>
      </w:r>
      <w:r w:rsidRPr="00C31534">
        <w:t xml:space="preserve"> transfer MDN via urine, feces, and carcass displacement </w:t>
      </w:r>
      <w:r w:rsidRPr="00C31534">
        <w:fldChar w:fldCharType="begin"/>
      </w:r>
      <w:r w:rsidR="00AC0205">
        <w:instrText xml:space="preserve"> ADDIN ZOTERO_ITEM CSL_CITATION {"citationID":"xj6KCqR6","properties":{"formattedCitation":"(Gende et al., 2002; Reimchen, 2017)","plainCitation":"(Gende et al., 2002; Reimchen, 2017)","noteIndex":0},"citationItems":[{"id":1186,"uris":["http://zotero.org/users/2189142/items/VIQND458"],"itemData":{"id":1186,"type":"article-journal","container-title":"BioScience","DOI":"10.1641/0006-3568(2002)052[0917:PSIAAT]2.0.CO;2","ISSN":"0006-3568, 1525-3244","issue":"10","journalAbbreviation":"BioScience","language":"en","page":"917-928","source":"bioscience.oxfordjournals.org.ezproxy.library.ubc.ca","title":"Pacific Salmon in Aquatic and Terrestrial Ecosystems","volume":"52","author":[{"family":"Gende","given":"Scott M."},{"family":"Edwards","given":"Richard T."},{"family":"Willson","given":"Mary F."},{"family":"Wipfli","given":"Mark S."}],"issued":{"date-parts":[["2002",10,1]]},"citation-key":"gende_2002"}},{"id":183,"uris":["http://zotero.org/users/2189142/items/5XY9XX4M"],"itemData":{"id":183,"type":"article-journal","abstract":"Based on five years of field studies (1992, 1993, 1994, 1998, 2000), I quantified bi-directional movement of salmon nutrients through an estuary, stream, and old growth forest in a large protected reserve on Haida Gwaii, British Columbia. In 1993, when most data were collected, about 6000 Chum Salmon (Oncorhynchus keta) entered the river of which 22% of the total biomass of senescent carcasses were swept downstream into the estuary and were scavenged by gulls (n = 350) and subtidal invertebrates. Of the 3700 salmon (10 000 kg) transferred by American Black Bear (Ursus americanus) to the riparian zone and partially consumed along the 800 m of stream channel, 5070 kg of salmon tissues abandoned by the bears were scavenged by Northwestern Crows (Corvus caurinus; n = 200) but mostly (4100 kg) by calliphorid blowfly larvae resulting in larval densities averaging 240/m2 throughout the riparian zone. Total nitrogen input to the soils from the combined effects of bear and scavenger activity as well as carcass input was 18 g/m2 within 10 m of the stream channel. δ15N of foliar tissues of Lanky Moss (Rhytidiadelphus loreus), Red Huckleberry (Vaccinium parvifolium), Salal (Gaultheria shallon), and Western Hemlock (Tsuga heterophylla) ranged about 15‰ to 20‰ among adjacent microsites in each species, with higher values occurring in salmon carcass zones. Total nitrogen in foliar tissues ranged from 1% to 2.4% among microsites and was best predicted by positive correlations with foliar 15N values and secondarily by presence/absence of salmon carcasses. This is the first study to integrate estuarine to riparian ecological processes in the cycling of salmonid nutrients and identifies a range of ecological baselines that can inform the multiple restoration programs underway in degraded watersheds in the North Pacific.","container-title":"Canadian Field Naturalist","ISSN":"0008-3550","language":"en","source":"pubag.nal.usda.gov","title":"Diverse Ecological Pathways of Salmon Nutrients Through an Intact Marine-terrestrial Interface","URL":"https://pubag.nal.usda.gov/catalog/6040059","author":[{"family":"Reimchen","given":"T.E."}],"accessed":{"date-parts":[["2019",8,4]]},"issued":{"date-parts":[["2017"]]},"citation-key":"reimchen_2017"}}],"schema":"https://github.com/citation-style-language/schema/raw/master/csl-citation.json"} </w:instrText>
      </w:r>
      <w:r w:rsidRPr="00C31534">
        <w:fldChar w:fldCharType="separate"/>
      </w:r>
      <w:r w:rsidR="0042141C" w:rsidRPr="00C31534">
        <w:t>(Gende et al., 2002; Reimchen, 2017)</w:t>
      </w:r>
      <w:r w:rsidRPr="00C31534">
        <w:fldChar w:fldCharType="end"/>
      </w:r>
      <w:r w:rsidRPr="00C31534">
        <w:t xml:space="preserve">. Observations of animal behaviour </w:t>
      </w:r>
      <w:r w:rsidRPr="00C31534">
        <w:fldChar w:fldCharType="begin"/>
      </w:r>
      <w:r w:rsidR="00AC0205">
        <w:instrText xml:space="preserve"> ADDIN ZOTERO_ITEM CSL_CITATION {"citationID":"y2BwYkgg","properties":{"formattedCitation":"(Cederholm et al., 1989; Reimchen, 1994, 2017; Willson &amp; Halupka, 1995)","plainCitation":"(Cederholm et al., 1989; Reimchen, 1994, 2017; Willson &amp; Halupka, 1995)","noteIndex":0},"citationItems":[{"id":640,"uris":["http://zotero.org/users/2189142/items/443ZIQ5Z"],"itemData":{"id":640,"type":"article-journal","abstract":"We examined the levels of retention and utilization of 945 coho salmon (Oncorhynchus kisutch) carcasses released experimentally into seven spawning streams on the Olympic Peninsula, Washington. Most carcasses were retained in the streams and in adjacent forests, few were flushed beyond 600 m. Organic debris caught and held many carcasses. Much of the fish mass was consumed by 22 species of mammals and birds. The distances that carcasses drifted appeared to be related directly to the occurrence of freshets and inversely to debris load and carnivore scavenging. The capacity of many streams and rivers to retain carcasses has probably been reduced by human activities. The importance of coho carcasses to populations of carnivores and to the dynamics of lotic food webs merits additional study., Les auteurs ont examinés les taux de rétention et d'utilisation de 945 carcasses de saumon quinnat (Oncorhynchus kisutch) placées pour l'expérience dans sept frayères naturelles de la péninsule Olympic dans l'état du Washington. La majorité des carcasses ont été retenues dans les cours d'eau et dans les forêts adjacentes, peu ont été transportées à plus de 600 m du point où elles ont été placées. Les débris organiques ont retenu de nombreuses carcasses. La majeure partie de la chair des poissons a été consommée par 22 espèces de mamnifères et d'oiseaux. La distance de transport des carcasses semble être directement liée à la présence de crues nivales et inversement liée à la charge de débris et à la consommation par les carnivores. La capacité de rétention des carcasses de beaucoup des cours d'eau a probablement été réduite sous l'effet des activités humaines. L'importance des carcasses de quinnats pour les populations de carnivores et pour la dynamique de la chaîne alimentaire lotique devrait être étudié...","container-title":"Canadian Journal of Fisheries and Aquatic Sciences","DOI":"10.1139/f89-173","ISSN":"0706-652X","issue":"8","journalAbbreviation":"Can. J. Fish. Aquat. Sci.","page":"1347-1355","source":"NRC Research Press","title":"Fate of Coho Salmon (Oncorhynchus kisutch) Carcasses in Spawning Streams","volume":"46","author":[{"family":"Cederholm","given":"C. J."},{"family":"Houston","given":"D. B."},{"family":"Cole","given":"D. L."},{"family":"Scarlett","given":"W. J."}],"issued":{"date-parts":[["1989",8,1]]},"citation-key":"cederholm_1989"}},{"id":2469,"uris":["http://zotero.org/users/2189142/items/J438WHN4"],"itemData":{"id":2469,"type":"book","publisher":"Islands Ecological Research Queen Charlotte City","source":"Google Scholar","title":"Further studies of predator and scavenger use of chum salmon in stream and estuarine habitats at Bag Harbour, Gwaii Haanas","author":[{"family":"Reimchen","given":"T. E."}],"issued":{"date-parts":[["1994"]]},"citation-key":"reimchen_1994"}},{"id":183,"uris":["http://zotero.org/users/2189142/items/5XY9XX4M"],"itemData":{"id":183,"type":"article-journal","abstract":"Based on five years of field studies (1992, 1993, 1994, 1998, 2000), I quantified bi-directional movement of salmon nutrients through an estuary, stream, and old growth forest in a large protected reserve on Haida Gwaii, British Columbia. In 1993, when most data were collected, about 6000 Chum Salmon (Oncorhynchus keta) entered the river of which 22% of the total biomass of senescent carcasses were swept downstream into the estuary and were scavenged by gulls (n = 350) and subtidal invertebrates. Of the 3700 salmon (10 000 kg) transferred by American Black Bear (Ursus americanus) to the riparian zone and partially consumed along the 800 m of stream channel, 5070 kg of salmon tissues abandoned by the bears were scavenged by Northwestern Crows (Corvus caurinus; n = 200) but mostly (4100 kg) by calliphorid blowfly larvae resulting in larval densities averaging 240/m2 throughout the riparian zone. Total nitrogen input to the soils from the combined effects of bear and scavenger activity as well as carcass input was 18 g/m2 within 10 m of the stream channel. δ15N of foliar tissues of Lanky Moss (Rhytidiadelphus loreus), Red Huckleberry (Vaccinium parvifolium), Salal (Gaultheria shallon), and Western Hemlock (Tsuga heterophylla) ranged about 15‰ to 20‰ among adjacent microsites in each species, with higher values occurring in salmon carcass zones. Total nitrogen in foliar tissues ranged from 1% to 2.4% among microsites and was best predicted by positive correlations with foliar 15N values and secondarily by presence/absence of salmon carcasses. This is the first study to integrate estuarine to riparian ecological processes in the cycling of salmonid nutrients and identifies a range of ecological baselines that can inform the multiple restoration programs underway in degraded watersheds in the North Pacific.","container-title":"Canadian Field Naturalist","ISSN":"0008-3550","language":"en","source":"pubag.nal.usda.gov","title":"Diverse Ecological Pathways of Salmon Nutrients Through an Intact Marine-terrestrial Interface","URL":"https://pubag.nal.usda.gov/catalog/6040059","author":[{"family":"Reimchen","given":"T.E."}],"accessed":{"date-parts":[["2019",8,4]]},"issued":{"date-parts":[["2017"]]},"citation-key":"reimchen_2017"}},{"id":651,"uris":["http://zotero.org/users/2189142/items/DK4DDAX3"],"itemData":{"id":651,"type":"article-journal","abstract":"Many wildlife species feed on anadromous fishes of several life-history stages. There is evidence for some wildlife species that the availability of anadromous fish is critically important for survival or reproduction. In some regions anadromous fishes in fresh water appear to be keystone food resources for vertebrate prediators and scavengers, forging an ecologically significant link between aquatic and terrestrial ecosystems. The spatial distribution of anadromous fish in fresh water, including the occurrence of runs in very small streams, has important consequences for wildlife biology (social interactions, distribution, activity patterns, possibly survivorship) and conservation of biodiversity.","container-title":"Conservation Biology","DOI":"10.1046/j.1523-1739.1995.09030489.x","ISSN":"1523-1739","issue":"3","language":"en","page":"489-497","source":"Wiley Online Library","title":"Anadromous Fish as Keystone Species in Vertebrate Communities","volume":"9","author":[{"family":"Willson","given":"Mary F."},{"family":"Halupka","given":"Karl C."}],"issued":{"date-parts":[["1995",6,1]]},"citation-key":"willson_1995a"}}],"schema":"https://github.com/citation-style-language/schema/raw/master/csl-citation.json"} </w:instrText>
      </w:r>
      <w:r w:rsidRPr="00C31534">
        <w:fldChar w:fldCharType="separate"/>
      </w:r>
      <w:r w:rsidR="0042141C" w:rsidRPr="00C31534">
        <w:t>(Cederholm et al., 1989; Reimchen, 1994, 2017; Willson &amp; Halupka, 1995)</w:t>
      </w:r>
      <w:r w:rsidRPr="00C31534">
        <w:fldChar w:fldCharType="end"/>
      </w:r>
      <w:r w:rsidRPr="00C31534">
        <w:t xml:space="preserve"> found over 80 vertebrate species interacting with salmon remains </w:t>
      </w:r>
      <w:r w:rsidRPr="00C31534">
        <w:fldChar w:fldCharType="begin"/>
      </w:r>
      <w:r w:rsidR="00AC0205">
        <w:instrText xml:space="preserve"> ADDIN ZOTERO_ITEM CSL_CITATION {"citationID":"xv9utmhh","properties":{"formattedCitation":"(Cederholm et al., 1999b)","plainCitation":"(Cederholm et al., 1999b)","noteIndex":0},"citationItems":[{"id":1985,"uris":["http://zotero.org/users/2189142/items/AZ2VKS4G"],"itemData":{"id":1985,"type":"article-journal","abstract":"Pacific salmon and other anadromous salmonids represent a major vector for transporting marine nutrients across ecosystem boundaries (i.e., from marine to freshwater and terrestrial ecosystems). Salmon carcasses provide nutrients and energy to biota within aquatic and terrestrial ecosystems through various pathways. In this paper we review and synthesize the growing number of studies documenting this process in different localities. We also discuss the implications for maintaining the nutrient feedback system. Our findings show that future management will need to view spawning salmon and their carcasses as important habitat components for sustaining the production of fish as well as other salmon-dependent species within watersheds.","container-title":"Fisheries","DOI":"10.1577/1548-8446(1999)024&lt;0006:PSC&gt;2.0.CO;2","ISSN":"0363-2415","issue":"10","page":"6-15","source":"Taylor and Francis+NEJM","title":"Pacific Salmon Carcasses: Essential Contributions of Nutrients and Energy for Aquatic and Terrestrial Ecosystems","title-short":"Pacific Salmon Carcasses","volume":"24","author":[{"family":"Cederholm","given":"C. J."},{"family":"Kunze","given":"Matt D."},{"family":"Murota","given":"Takeshi"},{"family":"Sibatani","given":"Atuhiro"}],"issued":{"date-parts":[["1999",10,1]]},"citation-key":"cederholm_1999"}}],"schema":"https://github.com/citation-style-language/schema/raw/master/csl-citation.json"} </w:instrText>
      </w:r>
      <w:r w:rsidRPr="00C31534">
        <w:fldChar w:fldCharType="separate"/>
      </w:r>
      <w:r w:rsidR="0042141C" w:rsidRPr="00C31534">
        <w:t>(Cederholm et al., 1999b)</w:t>
      </w:r>
      <w:r w:rsidRPr="00C31534">
        <w:fldChar w:fldCharType="end"/>
      </w:r>
      <w:r w:rsidRPr="00C31534">
        <w:t xml:space="preserve">. These included wolves </w:t>
      </w:r>
      <w:r w:rsidRPr="00C31534">
        <w:fldChar w:fldCharType="begin"/>
      </w:r>
      <w:r w:rsidR="00AC0205">
        <w:instrText xml:space="preserve"> ADDIN ZOTERO_ITEM CSL_CITATION {"citationID":"dfx2lkhy","properties":{"formattedCitation":"(Darimont et al., 2003, 2008)","plainCitation":"(Darimont et al., 2003, 2008)","noteIndex":0},"citationItems":[{"id":2448,"uris":["http://zotero.org/users/2189142/items/6S6QKFJ2"],"itemData":{"id":2448,"type":"article-journal","abstract":"Spawning salmon (Oncorhynchus spp.) are important resources for terrestrial ecosystems and often shape the ecological strategies of organisms with which they co-evolve. Gray wolves (Canis lupus), primarily predators of ungulates, are sympatric with salmon over large areas, but the relationship between the two remains poorly understood. We report here observations of direct and indirect evidence of salmon predation by wolves in several watersheds of coastal British Columbia and in detail report on the foraging behaviour of four wolves at one river during September and October 2001. Wolves oriented themselves upstream during detection and pursuit of salmon. The pooled mean capture rate was 21.5 salmon/h and mean efficiency (successes/attempt) was 39.4%. In most cases, wolves consumed only heads of salmon, perhaps for nutritional reasons or parasite avoidance. Preying on salmon may be adaptive, as this nutritious and spatially constrained resource imposes lower risks of injury compared with hunting large mam..., Les saumons (Oncorhynchus spp.) en période de fraye constituent d'importantes ressources pour l'écosystème terrestre et influencent souvent les stratégies écologiques des organismes avec lesquels ils sont en coévolution. Les loups gris (Canis lupus), avant tout des prédateurs d'ongulés, vivent en sympatrie avec les saumons sur de grandes étendues, mais la relation entre les deux reste mal comprise. Nous avons fait des observations directes et indirectes de prédation de saumons par les loups dans plusieurs bassins hydrographiques de la région côtière de la Colombie-Britannique et nous décrivons ici en détails le comportement de quête de nourriture de quatre loups à une rivière, en septembre et en octobre 2001. Les loups s'orientaient vers l'amont durant la détection et la poursuite des saumons. Le taux moyen de capture, calculé sur l'ensemble des résultats, était de 21,5 saumons/h et l'efficacité moyenne (nombre de tentatives réussies/total), de 39,4 %. Dans la plupart des cas, les loups ne consommaient qu...","container-title":"Canadian Journal of Zoology","DOI":"10.1139/z02-246","ISSN":"0008-4301","issue":"2","journalAbbreviation":"Can. J. Zool.","page":"349-353","source":"NRC Research Press","title":"Foraging behaviour by gray wolves on salmon streams in coastal British Columbia","volume":"81","author":[{"family":"Darimont","given":"Chris T."},{"family":"Reimchen","given":"T.E."},{"family":"Paquet","given":"P C"}],"issued":{"date-parts":[["2003",2,1]]},"citation-key":"darimont_2003"}},{"id":2453,"uris":["http://zotero.org/users/2189142/items/PWT69CI8"],"itemData":{"id":2453,"type":"article-journal","abstract":"As a cross-boundary resource subsidy, spawning salmon can strongly affect consumer and ecosystem ecology. Here we examine whether this marine resource can influence a terrestrial wolf-deer (Canis lupus-Odocoileus hemionus) predator-prey system in coastal British Columbia, Canada. Data on resource availability and resource use among eight wolf groups for three seasons over four years allow us to evaluate competing hypotheses that describe salmon as either an alternate resource, consumed in areas where deer are scarce, or as a targeted resource, consumed as a positive function of its availability. Faecal (n = 2203 wolf scats) and isotopic analyses (n = 60 wolf hair samples) provide independent data sets, also allowing us to examine how consistent these common techniques are in estimating foraging behaviour.","container-title":"BMC Ecology","DOI":"10.1186/1472-6785-8-14","ISSN":"1472-6785","issue":"1","journalAbbreviation":"BMC Ecol","language":"en","page":"14","source":"Springer Link","title":"Spawning salmon disrupt trophic coupling between wolves and ungulate prey in coastal British Columbia","volume":"8","author":[{"family":"Darimont","given":"Chris T."},{"family":"Paquet","given":"Paul C."},{"family":"Reimchen","given":"Thomas E."}],"issued":{"date-parts":[["2008",9,2]]},"citation-key":"darimont_2008"}}],"schema":"https://github.com/citation-style-language/schema/raw/master/csl-citation.json"} </w:instrText>
      </w:r>
      <w:r w:rsidRPr="00C31534">
        <w:fldChar w:fldCharType="separate"/>
      </w:r>
      <w:r w:rsidR="0042141C" w:rsidRPr="00C31534">
        <w:t>(Darimont et al., 2003, 2008)</w:t>
      </w:r>
      <w:r w:rsidRPr="00C31534">
        <w:fldChar w:fldCharType="end"/>
      </w:r>
      <w:r w:rsidRPr="00C31534">
        <w:t xml:space="preserve">, mink </w:t>
      </w:r>
      <w:r w:rsidRPr="00C31534">
        <w:fldChar w:fldCharType="begin"/>
      </w:r>
      <w:r w:rsidR="00AC0205">
        <w:instrText xml:space="preserve"> ADDIN ZOTERO_ITEM CSL_CITATION {"citationID":"m5IiGu29","properties":{"formattedCitation":"(Ben-David et al., 1997)","plainCitation":"(Ben-David et al., 1997)","noteIndex":0},"citationItems":[{"id":635,"uris":["http://zotero.org/users/2189142/items/4RTERIFH"],"itemData":{"id":635,"type":"article-journal","abstract":"Feeding niches of riverine and coastal mink (Mustela vison) in southeast Alaska differ in prey composition and abundance and diving medium during spring and summer. In autumn, however, the upstream migration of spawning Pacific salmon (Oncorhynchus sp.) creates a pulse of food for mink. We hypothesized that diets of coastal and riverine mink, and therefore their stable isotope ratios (δ13C, δ15N), would differ significantly during periods when salmon were absent, but that salmon carcasses would constitute a large portion of the diet of both groups during the salmon spawning season. Stable isotope analyses of clotted blood cells from 24 live-captured mink and muscle tissue from 25 mink carcasses were used to indicate the composition of diets of individual mink in 1992 and 1993. These isotope values were then compared with stable isotope ratios of prey, using a multiple-source mixing model. Our results indicate that riverine mink depended on salmon (carcasses and fry), with little seasonal or individual var..., Les niches alimentaires respectives des Visons d'Amérique (Mustela vison) des rivières et de la côte, dans le sud-est de l'Alaska, diffèrent par la composition et l'abondance des proies et par le milieu de plongée au printemps et en été. En automne, cependant, la migration anadrome des saumons du Pacifique (Oncorhynchus sp.) vers les frayères donne lieu à une période de profusion de nourriture pour les visons. Nous avons posé en hypothèse que les régimes alimentaires des visons des deux milieux, et par conséquent leurs rapports d'isotopes stables (δ13C, δ15N), doivent différer significativement au cours des périodes où les saumons sont absents, mais que les carcasses de saumons risquent de constituer une grande proportion du régime alimentaire chez les deux groupes pendant la fraye du saumon. Des analyses des isotopes stables dans des cellules sanguines coagulées de 24 visons capturés vivants et dans les tissus musculaires de 25 carcasses de visons ont servi à déterminer le régime alimentaire d'individus ...","container-title":"Canadian Journal of Zoology","DOI":"10.1139/z97-102","ISSN":"0008-4301","issue":"5","journalAbbreviation":"Can. J. Zool.","page":"803-811","source":"NRC Research Press","title":"Seasonal changes in diets of coastal and riverine mink: the role of spawning Pacific salmon","title-short":"Seasonal changes in diets of coastal and riverine mink","volume":"75","author":[{"family":"Ben-David","given":"M."},{"family":"Hanley","given":"T. A."},{"family":"Klein","given":"D. R."},{"family":"Schell","given":"D. M."}],"issued":{"date-parts":[["1997",5,1]]},"citation-key":"ben-david_1997"}}],"schema":"https://github.com/citation-style-language/schema/raw/master/csl-citation.json"} </w:instrText>
      </w:r>
      <w:r w:rsidRPr="00C31534">
        <w:fldChar w:fldCharType="separate"/>
      </w:r>
      <w:r w:rsidR="0042141C" w:rsidRPr="00C31534">
        <w:t>(Ben-David et al., 1997)</w:t>
      </w:r>
      <w:r w:rsidRPr="00C31534">
        <w:fldChar w:fldCharType="end"/>
      </w:r>
      <w:r w:rsidRPr="00C31534">
        <w:t xml:space="preserve">, otters </w:t>
      </w:r>
      <w:r w:rsidRPr="00C31534">
        <w:fldChar w:fldCharType="begin"/>
      </w:r>
      <w:r w:rsidR="00AC0205">
        <w:instrText xml:space="preserve"> ADDIN ZOTERO_ITEM CSL_CITATION {"citationID":"YiU2ZndZ","properties":{"formattedCitation":"(Ben-David et al., 1998; Dolloff, 1993)","plainCitation":"(Ben-David et al., 1998; Dolloff, 1993)","noteIndex":0},"citationItems":[{"id":2391,"uris":["http://zotero.org/users/2189142/items/CAGK8EJ5"],"itemData":{"id":2391,"type":"article-journal","container-title":"Ecology","issue":"7","note":"publisher: Wiley Online Library","page":"2567–2571","source":"Google Scholar","title":"Social behavior and ecosystem processes: river otter latrines and nutrient dynamics of terrestrial vegetation","title-short":"Social behavior and ecosystem processes","volume":"79","author":[{"family":"Ben-David","given":"M."},{"family":"Bowyer","given":"R. T."},{"family":"Duffy","given":"L. K."},{"family":"Roby","given":"D. D."},{"family":"Schell","given":"D. M."}],"issued":{"date-parts":[["1998"]]},"citation-key":"ben-david_1998"}},{"id":2388,"uris":["http://zotero.org/users/2189142/items/AQDZQZ86"],"itemData":{"id":2388,"type":"article-journal","container-title":"Canadian Journal of Fisheries and Aquatic Sciences","issue":"2","note":"publisher: NRC Research Press Ottawa, Canada","page":"312–315","source":"Google Scholar","title":"Predation by river otters (Lutra canadensis) on juvenile coho salmon (Oncorhynchus kisutch) and Dolly Varden (Salvelinus malma) in southeast Alaska","volume":"50","author":[{"family":"Dolloff","given":"C. Andrew"}],"issued":{"date-parts":[["1993"]]},"citation-key":"dolloff_1993"}}],"schema":"https://github.com/citation-style-language/schema/raw/master/csl-citation.json"} </w:instrText>
      </w:r>
      <w:r w:rsidRPr="00C31534">
        <w:fldChar w:fldCharType="separate"/>
      </w:r>
      <w:r w:rsidR="0042141C" w:rsidRPr="00C31534">
        <w:t>(Ben-David et al., 1998; Dolloff, 1993)</w:t>
      </w:r>
      <w:r w:rsidRPr="00C31534">
        <w:fldChar w:fldCharType="end"/>
      </w:r>
      <w:r w:rsidRPr="00C31534">
        <w:t xml:space="preserve"> and various small rodents </w:t>
      </w:r>
      <w:r w:rsidRPr="00C31534">
        <w:fldChar w:fldCharType="begin"/>
      </w:r>
      <w:r w:rsidR="00AC0205">
        <w:instrText xml:space="preserve"> ADDIN ZOTERO_ITEM CSL_CITATION {"citationID":"c5OQU8DR","properties":{"formattedCitation":"(T. Levi et al., 2020; Shakeri et al., 2018)","plainCitation":"(T. Levi et al., 2020; Shakeri et al., 2018)","noteIndex":0},"citationItems":[{"id":2451,"uris":["http://zotero.org/users/2189142/items/4NXG8HXU"],"itemData":{"id":2451,"type":"article-journal","abstract":"Apex predators play keystone roles in ecosystems through top-down control, but the effects of apex omnivores on ecosystems could be more varied because changes in the resource base alter their densities and reverberate through ecosystems in complex ways. In coastal temperate ecosystems throughout much of the Northern Hemisphere, anadromous salmon once supported abundant bear populations, but both taxa have declined or been extirpated from large parts of their former ranges with limited research on the consequences of diminished or absent interactions among species. Here we review the biogeography of bear-salmon interactions and the role of salmon-subsidized bears in (1) resource provisioning to plants and scavengers through the distribution of salmon carcasses, (2) competition among bears and other large carnivores, (3) predation of ungulate neonates, (4) seed dispersal, and (5) resource subsidies to rodents with seed-filled scats. In addition to our review of the literature, we present original data to demonstrate two community-level patterns that are currently unexplained. First, deer densities appear to be consistently higher on islands with abundant brown bears than adjacent islands with black bears and wolves, and moose calf survival is higher at low bear densities (&amp;lt;~25 bears per 100 km2) but is constant across the vast majority of bear densities found in the wild (i.e., ~&amp;gt;25 bears per 100 km2). Our review and empirical data highlight key knowledge gaps and research opportunities to understand the complex ecosystem effects related to bear-salmon interactions.","container-title":"Frontiers in Ecology and Evolution","DOI":"10.3389/fevo.2020.513304","ISSN":"2296-701X","journalAbbreviation":"Front. Ecol. Evol.","language":"English","note":"publisher: Frontiers","source":"Frontiers","title":"Community Ecology and Conservation of Bear-Salmon Ecosystems","URL":"https://www.frontiersin.org/articles/10.3389/fevo.2020.513304/full?&amp;utm_source=Email_to_authors_&amp;utm_medium=Email&amp;utm_content=T1_11.5e1_author&amp;utm_campaign=Email_publication&amp;field=&amp;journalName=Frontiers_in_Ecology_and_Evolution&amp;id=513304","volume":"8","author":[{"family":"Levi","given":"Taal"},{"family":"Hilderbrand","given":"Grant V."},{"family":"Hocking","given":"Morgan D."},{"family":"Quinn","given":"Thomas P."},{"family":"White","given":"Kevin S."},{"family":"Adams","given":"Megan S."},{"family":"Armstrong","given":"Jonathan B."},{"family":"Crupi","given":"Anthony P."},{"family":"Darimont","given":"Chris T."},{"family":"Deacy","given":"William"},{"family":"Gilbert","given":"Sophie L."},{"family":"Ripple","given":"William J."},{"family":"Shakeri","given":"Yasaman N."},{"family":"Wheat","given":"Rachel E."},{"family":"Wilmers","given":"Christopher C."}],"accessed":{"date-parts":[["2021",1,28]]},"issued":{"date-parts":[["2020"]]},"citation-key":"levi_2020"}},{"id":2258,"uris":["http://zotero.org/users/2189142/items/IQN3Q4LQ"],"itemData":{"id":2258,"type":"article-journal","abstract":"In salmon-rich environments, which once spanned much of the Northern Hemisphere, bears occur at exceptionally high densities. Salmon, by growing bear populations, have the potential to exert wide-ranging effects on ecosystem processes. Salmon-supported bears provide seed dispersal services to plants, and bear scats containing thousands of seeds may then be efficient nutritional resources for granivorous small mammals that also function as secondary seed dispersers while hoarding seeds for winter. We taxonomically identified and enumerated seeds in individual bear scats to characterize patterns of bear frugivory. We then combined estimates of seed abundance and digestible energy content to quantify the energy available to granivorous small mammals, and we quantified the proportion of the mouse population that could be supported by locally abundant bear populations in lowland salmon systems. We additionally monitored seed-filled bear scats with remote cameras to quantify small mammal visitation rates, and live-trapped small mammals seasonally to determine whether rodents visited bear scats proportional to their densities or whether some species preferentially selected for bear scats, and to assess whether seasonal variation in scat visitation was driven by density or selection. Bears were an important initial dispersal agent for 12 species of fruit, particularly devil's club (Oplopanax horridus) and blueberry (Vaccinium spp.), which occurred in 80% (5839 seeds/scat) and 50% (10,719 seeds/scat) of scats, respectively. Seeds in bear scats were intensively utilized and dispersed by small mammals, primarily scatter-hoarding northwestern deer mice (Peromyscus keeni; 8.5 visits per day/4295 total visits) and larder-hoarding northern red-backed voles (Myodes rutilus; 2.2 visits per day/1099 total visits), with visitation rates proportional to the seasonal density of each species. Small mammals likely incurred significant nutritional benefits from seeds deposited in bear scats (kcal/scat, mean = 114, n = 71). In coastal Alaska riparian areas, bears are potentially capable of indirectly subsidizing the energy needs of 45–65% of local deer mouse populations. Thus, this work helps elucidate the role that salmon, by supporting abundant bears, plays in ecological communities via influencing seed dispersal and resource subsidies to the small mammals that compose the base of the food web.","container-title":"Ecosphere","DOI":"https://doi.org/10.1002/ecs2.2297","ISSN":"2150-8925","issue":"6","language":"en","note":"_eprint: https://onlinelibrary.wiley.com/doi/pdf/10.1002/ecs2.2297","page":"e02297","source":"Wiley Online Library","title":"Salmon-supported bears, seed dispersal, and extensive resource subsidies to granivores","volume":"9","author":[{"family":"Shakeri","given":"Yasaman N."},{"family":"White","given":"Kevin S."},{"family":"Levi","given":"Taal"}],"issued":{"date-parts":[["2018"]]},"citation-key":"shakeri_2018"}}],"schema":"https://github.com/citation-style-language/schema/raw/master/csl-citation.json"} </w:instrText>
      </w:r>
      <w:r w:rsidRPr="00C31534">
        <w:fldChar w:fldCharType="separate"/>
      </w:r>
      <w:r w:rsidR="0042141C" w:rsidRPr="00C31534">
        <w:t>(T. Levi et al., 2020; Shakeri et al., 2018)</w:t>
      </w:r>
      <w:r w:rsidRPr="00C31534">
        <w:fldChar w:fldCharType="end"/>
      </w:r>
      <w:r w:rsidRPr="00C31534">
        <w:t xml:space="preserve">. Birds included ravens, gulls, eagles, and diverse passerines </w:t>
      </w:r>
      <w:r w:rsidRPr="00C31534">
        <w:fldChar w:fldCharType="begin"/>
      </w:r>
      <w:r w:rsidR="00AC0205">
        <w:instrText xml:space="preserve"> ADDIN ZOTERO_ITEM CSL_CITATION {"citationID":"pHmO4G4U","properties":{"formattedCitation":"(Christie &amp; Reimchen, 2005, 2008; Wagner &amp; Reynolds, 2019)","plainCitation":"(Christie &amp; Reimchen, 2005, 2008; Wagner &amp; Reynolds, 2019)","noteIndex":0},"citationItems":[{"id":1024,"uris":["http://zotero.org/users/2189142/items/CXUTJA26"],"itemData":{"id":1024,"type":"article-journal","abstract":"Post-Reproductive Pacific Salmon, Oncorhynchus spp., as a Major Nutrient Source for Large Aggregations of Gulls, Larus spp.","container-title":"The Canadian Field-Naturalist","ISSN":"0008-3550","issue":"2","language":"en","page":"202-207","source":"journals.sfu.ca.ezproxy.library.ubc.ca","title":"Post-Reproductive Pacific Salmon, Oncorhynchus spp., as a Major Nutrient Source for Large Aggregations of Gulls, Larus spp.","volume":"119","author":[{"family":"Christie","given":"K. S."},{"family":"Reimchen","given":"T. E."}],"issued":{"date-parts":[["2005"]]},"citation-key":"christie_2005"}},{"id":188,"uris":["http://zotero.org/users/2189142/items/FWP68853"],"itemData":{"id":188,"type":"article-journal","container-title":"The Auk","issue":"1","page":"51–59","source":"Google Scholar","title":"Presence of salmon increases passerine density on Pacific Northwest streams","volume":"125","author":[{"family":"Christie","given":"Katie S."},{"family":"Reimchen","given":"T.E."}],"issued":{"date-parts":[["2008"]]},"citation-key":"christie_2008"}},{"id":1850,"uris":["http://zotero.org/users/2189142/items/AHUMBHEI"],"itemData":{"id":1850,"type":"article-journal","abstract":"Resource subsidies across ecosystems can have strong and unforeseen ecological impacts. Marine-derived nutrients from Pacific salmon (Onchorhycus spp.) can be transferred to streams and riparian forests through diverse food web pathways, fertilizing forests and increasing invertebrate abundance, which may in turn affect breeding birds. We quantified the influence of salmon on the abundance and composition of songbird communities across a wide range of salmon-spawning biomass on 14 streams along a remote coastal region of British Columbia, Canada. Point-count data spanning two years were combined with salmon biomass and 13 environmental covariates in riparian forests to test for correlates with bird abundance, foraging guilds, individual species, and avian diversity. We show that bird abundance and diversity increase with salmon biomass and that watershed size and forest composition are less important predictors. This work provides new evidence for the importance of salmon to terrestrial ecosystems and information that can inform ecosystem-based management.","container-title":"PLOS ONE","DOI":"10.1371/journal.pone.0210031","ISSN":"1932-6203","issue":"2","journalAbbreviation":"PLOS ONE","language":"en","page":"e0210031","source":"PLoS Journals","title":"Salmon increase forest bird abundance and diversity","volume":"14","author":[{"family":"Wagner","given":"Marlene A."},{"family":"Reynolds","given":"John D."}],"issued":{"date-parts":[["2019",2,6]]},"citation-key":"wagner_2019"}}],"schema":"https://github.com/citation-style-language/schema/raw/master/csl-citation.json"} </w:instrText>
      </w:r>
      <w:r w:rsidRPr="00C31534">
        <w:fldChar w:fldCharType="separate"/>
      </w:r>
      <w:r w:rsidR="0042141C" w:rsidRPr="00C31534">
        <w:t>(Christie &amp; Reimchen, 2005, 2008; Wagner &amp; Reynolds, 2019)</w:t>
      </w:r>
      <w:r w:rsidRPr="00C31534">
        <w:fldChar w:fldCharType="end"/>
      </w:r>
      <w:r w:rsidRPr="009867C1">
        <w:t xml:space="preserve">. A recent study used camera traps, bait stations, and genetic analysis of hair samples to quantify these interactions </w:t>
      </w:r>
      <w:r w:rsidRPr="009867C1">
        <w:fldChar w:fldCharType="begin"/>
      </w:r>
      <w:r w:rsidR="00AC0205">
        <w:instrText xml:space="preserve"> ADDIN ZOTERO_ITEM CSL_CITATION {"citationID":"XfXC9nsj","properties":{"formattedCitation":"(Shardlow &amp; Hyatt, 2013)","plainCitation":"(Shardlow &amp; Hyatt, 2013)","noteIndex":0},"citationItems":[{"id":2478,"uris":["http://zotero.org/users/2189142/items/4AE5Q2H7"],"itemData":{"id":2478,"type":"article-journal","container-title":"Ecological indicators","page":"97–107","source":"Google Scholar","title":"Quantifying associations of large vertebrates with salmon in riparian areas of British Columbia streams by means of camera-traps, bait stations, and hair samples","volume":"27","author":[{"family":"Shardlow","given":"Thomas F."},{"family":"Hyatt","given":"K.D."}],"issued":{"date-parts":[["2013"]]},"citation-key":"shardlow_2013"}}],"schema":"https://github.com/citation-style-language/schema/raw/master/csl-citation.json"} </w:instrText>
      </w:r>
      <w:r w:rsidRPr="009867C1">
        <w:fldChar w:fldCharType="separate"/>
      </w:r>
      <w:r w:rsidR="0042141C" w:rsidRPr="009867C1">
        <w:t>(Shardlow &amp; Hyatt, 2013)</w:t>
      </w:r>
      <w:r w:rsidRPr="009867C1">
        <w:fldChar w:fldCharType="end"/>
      </w:r>
      <w:r w:rsidRPr="009867C1">
        <w:t xml:space="preserve">, </w:t>
      </w:r>
      <w:r w:rsidR="008B04E2">
        <w:t>and this</w:t>
      </w:r>
      <w:r w:rsidRPr="009867C1">
        <w:t xml:space="preserve"> affirmed previous </w:t>
      </w:r>
      <w:r w:rsidR="008B04E2">
        <w:t>conclusions</w:t>
      </w:r>
      <w:r w:rsidRPr="009867C1">
        <w:t xml:space="preserve"> that bears (</w:t>
      </w:r>
      <w:r w:rsidRPr="009867C1">
        <w:rPr>
          <w:i/>
        </w:rPr>
        <w:t>Ursus americanus</w:t>
      </w:r>
      <w:r w:rsidRPr="009867C1">
        <w:t xml:space="preserve"> and </w:t>
      </w:r>
      <w:r w:rsidRPr="009867C1">
        <w:rPr>
          <w:i/>
        </w:rPr>
        <w:t>U. arctos</w:t>
      </w:r>
      <w:r w:rsidRPr="009867C1">
        <w:t>) are by far the dominant salmon predator</w:t>
      </w:r>
      <w:r w:rsidR="001D24C2">
        <w:t>s</w:t>
      </w:r>
      <w:r w:rsidRPr="009867C1">
        <w:t xml:space="preserve"> at these sites </w:t>
      </w:r>
      <w:r w:rsidRPr="009867C1">
        <w:fldChar w:fldCharType="begin"/>
      </w:r>
      <w:r w:rsidR="00AC0205">
        <w:instrText xml:space="preserve"> ADDIN ZOTERO_ITEM CSL_CITATION {"citationID":"1D4LGw3L","properties":{"formattedCitation":"(Reimchen, 2000; Shuman, 1950)","plainCitation":"(Reimchen, 2000; Shuman, 1950)","noteIndex":0},"citationItems":[{"id":193,"uris":["http://zotero.org/users/2189142/items/P7DZVIRG"],"itemData":{"id":193,"type":"article-journal","abstract":"I examine here quantity and characteristics of chum salmon (Oncorhynchus keta) captured by black bears (Ursus americanus) during autumn spawning migration in an old-growth watershed on Moresby Island (Haida Gwaii), western Canada. Spawning-salmon numbers ranged from 2300 to 6300 over 3 years of investigation (1992-1994) and there were a maximum of eight bears in the watershed. Following capture of a salmon, bears ate an average of 1.6 kg from each salmon carcass, including the brain, ovaries, and dorsal musculature, and generally tended to abandon viscera, testes, and bony remnants such as jaws. Complete counts of these jaws throughout the watershed in autumn 1993 demonstrated a total capture of 4281 salmon, for an average consumption rate of 13 salmon per day per bear over the 45-day spawning period. This comprised 74% of the salmon entering the stream (range among years 58-92%). Most salmon (70-80%) taken by bears were partially or completely spawned-out at the time of capture. Marginally but significan..., J'ai déterminé le nombre et les caractéristiques des Saumons keta (Oncorhynchus keta) capturés par des Ours noirs (Ursus americanus) au cours de la migration de fraye de l'automne dans un bassin hydrographique, dans une forêt ancienne de l'île Moresby (Haida Gwaii), dans l'ouest du Canada. Le nombre de saumons en fraye au cours des 3 ans qu'ont duré notre étude (1992-1994) allait de 2300 à 6300 et il y avait au maximum huit ours dans le bassin. Après la capture, les ours mangeaient en moyenne 1,6 kg de chaque carcasse, cerveau, ovaires et musculature dorsale, et avaient généralement tendance à laisser les viscères, les testicules et les restes osseux, notamment les mâchoires. Le nombre total de ces mâchoires dans le bassin à l'automne de 1993 a été de 4281, ce qui se traduit par un taux moyen de consommation de 13 saumons par jour pendant une fraye de 45 jours, soit 74 % des saumons qui sont entrés dans le ruisseau (étendue durant les 3 années, 58 à 92 %). La plupart (70-80 %) des saumons capturés par les...","container-title":"Canadian Journal of Zoology","DOI":"10.1139/z99-232","ISSN":"0008-4301","issue":"3","journalAbbreviation":"Can. J. Zool.","page":"448-457","source":"NRC Research Press","title":"Some ecological and evolutionary aspects of bear-salmon interactions in coastal British Columbia","volume":"78","author":[{"family":"Reimchen","given":"T.E."}],"issued":{"date-parts":[["2000",4,1]]},"citation-key":"reimchen_2000"}},{"id":2465,"uris":["http://zotero.org/users/2189142/items/Q5M5BCT7"],"itemData":{"id":2465,"type":"article-journal","container-title":"The Journal of Wildlife Management","issue":"1","note":"publisher: JSTOR","page":"1–9","source":"Google Scholar","title":"Bear depredations on red salmon spawning populations in the Karluk River system, 1947","volume":"14","author":[{"family":"Shuman","given":"Richard F."}],"issued":{"date-parts":[["1950"]]},"citation-key":"shuman_1950"}}],"schema":"https://github.com/citation-style-language/schema/raw/master/csl-citation.json"} </w:instrText>
      </w:r>
      <w:r w:rsidRPr="009867C1">
        <w:fldChar w:fldCharType="separate"/>
      </w:r>
      <w:r w:rsidR="0042141C" w:rsidRPr="009867C1">
        <w:t>(Reimchen, 2000; Shuman, 1950)</w:t>
      </w:r>
      <w:r w:rsidRPr="009867C1">
        <w:fldChar w:fldCharType="end"/>
      </w:r>
      <w:r w:rsidRPr="009867C1">
        <w:t xml:space="preserve">. Salmon can constitute an important component of bear annual caloric intake, and the timing of runs </w:t>
      </w:r>
      <w:r w:rsidR="008B04E2">
        <w:t>are</w:t>
      </w:r>
      <w:r w:rsidRPr="009867C1">
        <w:t xml:space="preserve"> frequently at the same time bears are putting on weight for their winter hibernation </w:t>
      </w:r>
      <w:r w:rsidRPr="009867C1">
        <w:fldChar w:fldCharType="begin"/>
      </w:r>
      <w:r w:rsidR="00AC0205">
        <w:instrText xml:space="preserve"> ADDIN ZOTERO_ITEM CSL_CITATION {"citationID":"Iqvl9jDS","properties":{"formattedCitation":"(Hilderbrand et al., 1996; Willson &amp; Halupka, 1995)","plainCitation":"(Hilderbrand et al., 1996; Willson &amp; Halupka, 1995)","noteIndex":0},"citationItems":[{"id":2500,"uris":["http://zotero.org/users/2189142/items/KIPNEV2B"],"itemData":{"id":2500,"type":"article-journal","abstract":"The potential use of stable-isotope analyses (6I3C and 6I5N) to estimate bear diets was assessed in 40-day feeding trials using American black bears (Ursus americanus). Bear plasma and red blood cells have half-lives of -4 days and -28 days, respectively. The isotopic signature of bear plasma is linearly related to that of the diet, and with the exception of adipose tissue, there is no isotopic fractionation across bear tissues. Isotopic analyses were used to estimate the diets of three bear populations: Pleistocene cave bears (U. speleaus) in Europe, grizzly bears (Ursus arctos horribilis) inhabiting the Columbia River drainage prior to 1931, and brown bears (U. arctos) of Chichagof and Admiralty islands, Alaska. Cave bears were omnivores with terrestrially produced meat contributing from 4.1 to 78% (58 f 14%) of their metabolized carbon and nitrogen. Salmon contributed from 33 to 90% (58 f 23%) of the metabolized carbon and nitrogen in grizzly bears from the Columbia River drainage. Finally, most brown bears on Chichagof and Admiralty islands feed upon salmon during the late summer and fall; however, a subpopulation of bears exists that does not utilize salmon.","container-title":"Canadian Journal of Zoology","DOI":"10.1139/z96-236","ISSN":"0008-4301, 1480-3283","issue":"11","journalAbbreviation":"Can. J. Zool.","language":"en","page":"2080-2088","source":"DOI.org (Crossref)","title":"Use of stable isotopes to determine diets of living and extinct bears","volume":"74","author":[{"family":"Hilderbrand","given":"G. V."},{"family":"Farley","given":"S. D."},{"family":"Robbins","given":"C. T."},{"family":"Hanley","given":"T. A."},{"family":"Titus","given":"K."},{"family":"Servheen","given":"C."}],"issued":{"date-parts":[["1996",11,1]]},"citation-key":"hilderbrand_1996"}},{"id":651,"uris":["http://zotero.org/users/2189142/items/DK4DDAX3"],"itemData":{"id":651,"type":"article-journal","abstract":"Many wildlife species feed on anadromous fishes of several life-history stages. There is evidence for some wildlife species that the availability of anadromous fish is critically important for survival or reproduction. In some regions anadromous fishes in fresh water appear to be keystone food resources for vertebrate prediators and scavengers, forging an ecologically significant link between aquatic and terrestrial ecosystems. The spatial distribution of anadromous fish in fresh water, including the occurrence of runs in very small streams, has important consequences for wildlife biology (social interactions, distribution, activity patterns, possibly survivorship) and conservation of biodiversity.","container-title":"Conservation Biology","DOI":"10.1046/j.1523-1739.1995.09030489.x","ISSN":"1523-1739","issue":"3","language":"en","page":"489-497","source":"Wiley Online Library","title":"Anadromous Fish as Keystone Species in Vertebrate Communities","volume":"9","author":[{"family":"Willson","given":"Mary F."},{"family":"Halupka","given":"Karl C."}],"issued":{"date-parts":[["1995",6,1]]},"citation-key":"willson_1995a"}}],"schema":"https://github.com/citation-style-language/schema/raw/master/csl-citation.json"} </w:instrText>
      </w:r>
      <w:r w:rsidRPr="009867C1">
        <w:fldChar w:fldCharType="separate"/>
      </w:r>
      <w:r w:rsidR="0042141C" w:rsidRPr="009867C1">
        <w:t>(Hilderbrand et al., 1996; Willson &amp; Halupka, 1995)</w:t>
      </w:r>
      <w:r w:rsidRPr="009867C1">
        <w:fldChar w:fldCharType="end"/>
      </w:r>
      <w:r w:rsidRPr="009867C1">
        <w:t xml:space="preserve">. </w:t>
      </w:r>
      <w:r w:rsidR="008B04E2">
        <w:t>Bear</w:t>
      </w:r>
      <w:r w:rsidRPr="009867C1">
        <w:t xml:space="preserve"> predation can account for significant amounts of the salmon run: for example, at two central coast sites, 16-48% of the total salmon run was predated upon by bears </w:t>
      </w:r>
      <w:r w:rsidRPr="009867C1">
        <w:fldChar w:fldCharType="begin"/>
      </w:r>
      <w:r w:rsidR="00AC0205">
        <w:instrText xml:space="preserve"> ADDIN ZOTERO_ITEM CSL_CITATION {"citationID":"judXR6d6","properties":{"formattedCitation":"(Hocking &amp; Reimchen, 2006)","plainCitation":"(Hocking &amp; Reimchen, 2006)","noteIndex":0},"citationItems":[{"id":190,"uris":["http://zotero.org/users/2189142/items/7ZS6NZ37"],"itemData":{"id":190,"type":"article-journal","abstract":"Anadromous Pacific salmon (Oncorhynchus spp.) subsidize terrestrial food webs with their nutrients and carcasses, a process driven largely by selective foraging by bears (Ursus spp.). We quantify wildlife transfer of salmon carcasses to riparian zones on two watersheds in coastal British Columbia and estimate total terrestrial fly production from remnant carcasses. Large-bodied chum salmon (Oncorhynchus keta) were transferred into the forest at a greater rate than were pink salmon (Oncorhynchus gorbuscha) (chum salmon mass = 6089–11 031 kg, 16%–48% of salmon run; pink salmon mass = 2266–2808 kg, 4%–6% of salmon run). Blow flies (genus Calliphora) and other Diptera dominated colonization (&gt;90% of salmon carcasses). Between the two watersheds, 196 and 265 g of Calliphora larvae per metre of spawning length (4 and 7 million larvae for whole watersheds) were generated from salmon carcass transfer. Stable isotope analysis of δ15N and δ13C of spring-emerging adult Calliphora revealed that &gt;80% of individuals ha..., Les saumons du Pacifique (Oncorhynchus spp.) anadromes enrichissent les réseaux alimentaires terrestres avec leurs nutriments et leurs carcasses, un processus grandement contrôlé par l'alimentation sélective des ours (Ursus spp.). Nous mesurons le transfert par l'intermédiaire de la faune sauvage des carcasses de saumons aux zones de rivage dans deux bassins versants de la côte de la Colombie-Britannique et nous estimons la production totale de mouches terrestres dans les carcasses abandonnées. Le transfert des saumons kéta (Oncorhynchus keta) plus corpulents se fait à un rythme plus élevé que celui des saumons roses (Oncorhynchus gorbuscha) (masse des saumons kéta = 6089–11 031 kg: 16–48 % de la montaison; masse des saumons roses = 2226–2808 kg: 4–6 % de la montaison). Les mouches de la viande (le genre Calliphora) et les autres diptères sont les principaux colonisateurs des carcasses (&gt;90 %) de saumons. Dans les deux bassins, respectivement 196 et 265 g de larves de Calliphora sont produits par mètre de...","container-title":"Canadian Journal of Fisheries and Aquatic Sciences","DOI":"10.1139/f06-110","ISSN":"0706-652X","issue":"9","journalAbbreviation":"Can. J. Fish. Aquat. Sci.","page":"2076-2086","source":"NRC Research Press","title":"Consumption and distribution of salmon (Oncorhynchus spp.) nutrients and energy by terrestrial flies","volume":"63","author":[{"family":"Hocking","given":"Morgan D"},{"family":"Reimchen","given":"T.E."}],"issued":{"date-parts":[["2006",9,1]]},"citation-key":"hocking_2006"}}],"schema":"https://github.com/citation-style-language/schema/raw/master/csl-citation.json"} </w:instrText>
      </w:r>
      <w:r w:rsidRPr="009867C1">
        <w:fldChar w:fldCharType="separate"/>
      </w:r>
      <w:r w:rsidR="0042141C" w:rsidRPr="009867C1">
        <w:t>(Hocking &amp; Reimchen, 2006)</w:t>
      </w:r>
      <w:r w:rsidRPr="009867C1">
        <w:fldChar w:fldCharType="end"/>
      </w:r>
      <w:r w:rsidRPr="009867C1">
        <w:t xml:space="preserve">. Direct observation on Haida Gwaii found total capture rates by bears to range between 58-92% </w:t>
      </w:r>
      <w:r w:rsidRPr="009867C1">
        <w:fldChar w:fldCharType="begin"/>
      </w:r>
      <w:r w:rsidR="00AC0205">
        <w:instrText xml:space="preserve"> ADDIN ZOTERO_ITEM CSL_CITATION {"citationID":"Goja9MLq","properties":{"formattedCitation":"(Reimchen, 1994, 2000, 2017)","plainCitation":"(Reimchen, 1994, 2000, 2017)","noteIndex":0},"citationItems":[{"id":2469,"uris":["http://zotero.org/users/2189142/items/J438WHN4"],"itemData":{"id":2469,"type":"book","publisher":"Islands Ecological Research Queen Charlotte City","source":"Google Scholar","title":"Further studies of predator and scavenger use of chum salmon in stream and estuarine habitats at Bag Harbour, Gwaii Haanas","author":[{"family":"Reimchen","given":"T. E."}],"issued":{"date-parts":[["1994"]]},"citation-key":"reimchen_1994"}},{"id":193,"uris":["http://zotero.org/users/2189142/items/P7DZVIRG"],"itemData":{"id":193,"type":"article-journal","abstract":"I examine here quantity and characteristics of chum salmon (Oncorhynchus keta) captured by black bears (Ursus americanus) during autumn spawning migration in an old-growth watershed on Moresby Island (Haida Gwaii), western Canada. Spawning-salmon numbers ranged from 2300 to 6300 over 3 years of investigation (1992-1994) and there were a maximum of eight bears in the watershed. Following capture of a salmon, bears ate an average of 1.6 kg from each salmon carcass, including the brain, ovaries, and dorsal musculature, and generally tended to abandon viscera, testes, and bony remnants such as jaws. Complete counts of these jaws throughout the watershed in autumn 1993 demonstrated a total capture of 4281 salmon, for an average consumption rate of 13 salmon per day per bear over the 45-day spawning period. This comprised 74% of the salmon entering the stream (range among years 58-92%). Most salmon (70-80%) taken by bears were partially or completely spawned-out at the time of capture. Marginally but significan..., J'ai déterminé le nombre et les caractéristiques des Saumons keta (Oncorhynchus keta) capturés par des Ours noirs (Ursus americanus) au cours de la migration de fraye de l'automne dans un bassin hydrographique, dans une forêt ancienne de l'île Moresby (Haida Gwaii), dans l'ouest du Canada. Le nombre de saumons en fraye au cours des 3 ans qu'ont duré notre étude (1992-1994) allait de 2300 à 6300 et il y avait au maximum huit ours dans le bassin. Après la capture, les ours mangeaient en moyenne 1,6 kg de chaque carcasse, cerveau, ovaires et musculature dorsale, et avaient généralement tendance à laisser les viscères, les testicules et les restes osseux, notamment les mâchoires. Le nombre total de ces mâchoires dans le bassin à l'automne de 1993 a été de 4281, ce qui se traduit par un taux moyen de consommation de 13 saumons par jour pendant une fraye de 45 jours, soit 74 % des saumons qui sont entrés dans le ruisseau (étendue durant les 3 années, 58 à 92 %). La plupart (70-80 %) des saumons capturés par les...","container-title":"Canadian Journal of Zoology","DOI":"10.1139/z99-232","ISSN":"0008-4301","issue":"3","journalAbbreviation":"Can. J. Zool.","page":"448-457","source":"NRC Research Press","title":"Some ecological and evolutionary aspects of bear-salmon interactions in coastal British Columbia","volume":"78","author":[{"family":"Reimchen","given":"T.E."}],"issued":{"date-parts":[["2000",4,1]]},"citation-key":"reimchen_2000"}},{"id":183,"uris":["http://zotero.org/users/2189142/items/5XY9XX4M"],"itemData":{"id":183,"type":"article-journal","abstract":"Based on five years of field studies (1992, 1993, 1994, 1998, 2000), I quantified bi-directional movement of salmon nutrients through an estuary, stream, and old growth forest in a large protected reserve on Haida Gwaii, British Columbia. In 1993, when most data were collected, about 6000 Chum Salmon (Oncorhynchus keta) entered the river of which 22% of the total biomass of senescent carcasses were swept downstream into the estuary and were scavenged by gulls (n = 350) and subtidal invertebrates. Of the 3700 salmon (10 000 kg) transferred by American Black Bear (Ursus americanus) to the riparian zone and partially consumed along the 800 m of stream channel, 5070 kg of salmon tissues abandoned by the bears were scavenged by Northwestern Crows (Corvus caurinus; n = 200) but mostly (4100 kg) by calliphorid blowfly larvae resulting in larval densities averaging 240/m2 throughout the riparian zone. Total nitrogen input to the soils from the combined effects of bear and scavenger activity as well as carcass input was 18 g/m2 within 10 m of the stream channel. δ15N of foliar tissues of Lanky Moss (Rhytidiadelphus loreus), Red Huckleberry (Vaccinium parvifolium), Salal (Gaultheria shallon), and Western Hemlock (Tsuga heterophylla) ranged about 15‰ to 20‰ among adjacent microsites in each species, with higher values occurring in salmon carcass zones. Total nitrogen in foliar tissues ranged from 1% to 2.4% among microsites and was best predicted by positive correlations with foliar 15N values and secondarily by presence/absence of salmon carcasses. This is the first study to integrate estuarine to riparian ecological processes in the cycling of salmonid nutrients and identifies a range of ecological baselines that can inform the multiple restoration programs underway in degraded watersheds in the North Pacific.","container-title":"Canadian Field Naturalist","ISSN":"0008-3550","language":"en","source":"pubag.nal.usda.gov","title":"Diverse Ecological Pathways of Salmon Nutrients Through an Intact Marine-terrestrial Interface","URL":"https://pubag.nal.usda.gov/catalog/6040059","author":[{"family":"Reimchen","given":"T.E."}],"accessed":{"date-parts":[["2019",8,4]]},"issued":{"date-parts":[["2017"]]},"citation-key":"reimchen_2017"}}],"schema":"https://github.com/citation-style-language/schema/raw/master/csl-citation.json"} </w:instrText>
      </w:r>
      <w:r w:rsidRPr="009867C1">
        <w:fldChar w:fldCharType="separate"/>
      </w:r>
      <w:r w:rsidR="0042141C" w:rsidRPr="009867C1">
        <w:t>(Reimchen, 1994, 2000, 2017)</w:t>
      </w:r>
      <w:r w:rsidRPr="009867C1">
        <w:fldChar w:fldCharType="end"/>
      </w:r>
      <w:r w:rsidRPr="009867C1">
        <w:t xml:space="preserve">, and similar numbers were found at Alaskan sites </w:t>
      </w:r>
      <w:r w:rsidRPr="009867C1">
        <w:fldChar w:fldCharType="begin"/>
      </w:r>
      <w:r w:rsidR="00AC0205">
        <w:instrText xml:space="preserve"> ADDIN ZOTERO_ITEM CSL_CITATION {"citationID":"GlhvcsUL","properties":{"formattedCitation":"(Quinn et al., 2009)","plainCitation":"(Quinn et al., 2009)","noteIndex":0},"citationItems":[{"id":514,"uris":["http://zotero.org/users/2189142/items/KDS3K7EH"],"itemData":{"id":514,"type":"article-journal","abstract":"Predation on Pacific salmon by bears (genus Ursus L., 1758) can be an important ecosystem process because the spatial distribution of carcasses largely determines whether marine-derived nutrients cycle through aquatic or terrestrial pathways. Direct observations on three streams in southeastern Alaska indicated that 49% of the pink (Oncorhynchus gorbuscha (Walbaum, 1792)) and chum (Oncorhynchus keta (Walbaum in Artedi, 1792)) salmon killed by bears were carried into the forest. The tendency of bears to transport carcasses was independent of the sex and species of salmon, but unspawned fish were more often transported than fish that had completed spawning. Data on tagged sockeye salmon (Oncorhynchus nerka (Walbaum in Artedi, 1792)) in one southwestern Alaska stream indicated that 42.6% of the killed salmon were transported, and that higher percentages were transported in years when salmon densities were greater. At six other streams, on average, 68.1% of the sockeye salmon killed were apparently transporte..., La prédation des ours (le genre Ursus L., 1758) sur les carcasses de saumons du Pacifique peut être un processus écosystémique important parce que la répartition spatiale des carcasses détermine en grande partie si les nutriments d’origine marine sont recyclés par la voie aquatique ou la voie terrestre. Des observations directes sur trois cours d’eau du sud-est de l’Alaska indiquent que 49 % des saumons roses (Oncorhynchus gorbuscha (Walbaum, 1792)) et kéta (Oncorhynchus keta (Walbaum in Artedi, 1792)) tués par les ours sont transportés dans la forêt. La tendance qu’ont les ours à transporter les carcasses est indépendante du sexe et de l’espèce de saumon, mais les poissons qui n’ont pas frayé sont transportés plus fréquemment que les poissons qui ont terminé leur reproduction. Des données de marquage de saumons rouges (Oncorhynchus nerka (Walbaum in Artedi, 1792)) dans un cours d’eau du sud-ouest de l’Alaska indiquent que 42,6 % des saumons tués ont été transportés et que des pourcentages plus élevés son...","container-title":"Canadian Journal of Zoology","DOI":"10.1139/Z09-004","ISSN":"0008-4301","issue":"3","journalAbbreviation":"Can. J. Zool.","page":"195-203","source":"NRC Research Press","title":"Transportation of Pacific salmon carcasses from streams to riparian forests by bears","volume":"87","author":[{"family":"Quinn","given":"Thomas P."},{"family":"Carlson","given":"Stephanie M."},{"family":"Gende","given":"Scott M."},{"family":"Rich","given":"Jr.","suffix":"Harry B."}],"issued":{"date-parts":[["2009",2,13]]},"citation-key":"quinn_2009"}}],"schema":"https://github.com/citation-style-language/schema/raw/master/csl-citation.json"} </w:instrText>
      </w:r>
      <w:r w:rsidRPr="009867C1">
        <w:fldChar w:fldCharType="separate"/>
      </w:r>
      <w:r w:rsidR="0042141C" w:rsidRPr="009867C1">
        <w:t>(Quinn et al., 2009)</w:t>
      </w:r>
      <w:r w:rsidRPr="009867C1">
        <w:fldChar w:fldCharType="end"/>
      </w:r>
      <w:r w:rsidRPr="009867C1">
        <w:t xml:space="preserve">. Of flesh consumed by bears, approximately 96% of salmon-N is excreted as urine, with the remainder assimilated or expelled as feces </w:t>
      </w:r>
      <w:r w:rsidRPr="009867C1">
        <w:fldChar w:fldCharType="begin"/>
      </w:r>
      <w:r w:rsidR="00AC0205">
        <w:instrText xml:space="preserve"> ADDIN ZOTERO_ITEM CSL_CITATION {"citationID":"zcIe2sGC","properties":{"formattedCitation":"(Hilderbrand et al., 1999)","plainCitation":"(Hilderbrand et al., 1999)","noteIndex":0},"citationItems":[{"id":609,"uris":["http://zotero.org/users/2189142/items/N3KW8IHA"],"itemData":{"id":609,"type":"article-journal","abstract":"We quantified the amount, spatial distribution, and importance of salmon (Oncorhynchus spp.)-derived nitrogen (N) by brown bears (Ursus arctos) on the Kenai Peninsula, Alaska. We tested and confirmed the hypothesis that the stable isotope signature (δ15N) of N in foliage of white spruce (Picea glauca) was inversely proportional to the distance from salmon-spawning streams (r=–0.99 and P&lt;0.05 in two separate watersheds). Locations of radio-collared brown bears, relative to their distance from a stream, were highly correlated with δ15N depletion of foliage across the same gradient (r=–0.98 and –0.96 and P&lt;0.05 in the same two separate watersheds). Mean rates of redistribution of salmon-derived N by adult female brown bears were 37.2±2.9 kg/year per bear (range 23.1–56.3), of which 96% (35.7±2.7 kg/year per bear) was excreted in urine, 3% (1.1±0.1 kg/year per bear) was excreted in feces, and &lt;1% (0.3± 0.1 kg/year per bear) was retained in the body. On an area basis, salmon-N redistribution rates were as high as 5.1±0.7 mg/m2 per year per bear within 500 m of the stream but dropped off greatly with increasing distance. We estimated that 15.5–17.8% of the total N in spruce foliage within 500 m of the stream was derived from salmon. Of that, bears had distributed 83–84%. Thus, brown bears can be an important vector of salmon-derived N into riparian ecosystems, but their effects are highly variable spatially and a function of bear density.","container-title":"Oecologia","DOI":"10.1007/s004420050961","ISSN":"0029-8549, 1432-1939","issue":"4","journalAbbreviation":"Oecologia","language":"en","page":"546-550","source":"link.springer.com.ezproxy.library.ubc.ca","title":"Role of brown bears (Ursus arctos) in the flow of marine nitrogen into a terrestrial ecosystem","volume":"121","author":[{"family":"Hilderbrand","given":"G. V."},{"family":"Hanley","given":"Thomas A."},{"family":"Robbins","given":"Charles T."},{"family":"Schwartz","given":"C. C."}],"issued":{"date-parts":[["1999",12,1]]},"citation-key":"hilderbrand_1999"}}],"schema":"https://github.com/citation-style-language/schema/raw/master/csl-citation.json"} </w:instrText>
      </w:r>
      <w:r w:rsidRPr="009867C1">
        <w:fldChar w:fldCharType="separate"/>
      </w:r>
      <w:r w:rsidR="0042141C" w:rsidRPr="009867C1">
        <w:t>(Hilderbrand et al., 1999)</w:t>
      </w:r>
      <w:r w:rsidRPr="009867C1">
        <w:fldChar w:fldCharType="end"/>
      </w:r>
      <w:r w:rsidRPr="009867C1">
        <w:t xml:space="preserve">. </w:t>
      </w:r>
    </w:p>
    <w:p w14:paraId="470D57D7" w14:textId="0EE0A343" w:rsidR="008832BF" w:rsidRPr="009867C1" w:rsidRDefault="008832BF" w:rsidP="008832BF">
      <w:pPr>
        <w:ind w:firstLine="720"/>
      </w:pPr>
      <w:r w:rsidRPr="009867C1">
        <w:t>Bears often leave large proportions of their kills behind</w:t>
      </w:r>
      <w:r w:rsidR="00256512">
        <w:t>;</w:t>
      </w:r>
      <w:r w:rsidRPr="009867C1">
        <w:t xml:space="preserve"> when salmon are in excess bears preferentially consume only high-energy body parts such as ovaries and eggs </w:t>
      </w:r>
      <w:r w:rsidRPr="009867C1">
        <w:fldChar w:fldCharType="begin"/>
      </w:r>
      <w:r w:rsidR="00AC0205">
        <w:instrText xml:space="preserve"> ADDIN ZOTERO_ITEM CSL_CITATION {"citationID":"0jHQJm84","properties":{"formattedCitation":"(Gende et al., 2001; Lincoln &amp; Quinn, 2019)","plainCitation":"(Gende et al., 2001; Lincoln &amp; Quinn, 2019)","noteIndex":0},"citationItems":[{"id":1169,"uris":["http://zotero.org/users/2189142/items/DUJWHAV2"],"itemData":{"id":1169,"type":"article-journal","abstract":"Consumption choice by brown (Ursus arctos) and black bears (U. americanus) feeding on salmon was recorded for over 20,000 bear-killed fish from 1994 to 1999 in Bristol Bay (sockeye salmon, Oncorhynchu","container-title":"Oecologia","DOI":"10.1007/s004420000590","ISSN":"0029-8549, 1432-1939","issue":"3","journalAbbreviation":"Oecologia","language":"en","page":"372-382","source":"link-springer-com.ezproxy.library.ubc.ca","title":"Consumption choice by bears feeding on salmon","volume":"127","author":[{"family":"Gende","given":"Scott M."},{"family":"Quinn","given":"Thomas P."},{"family":"Wilson","given":"M.F"}],"issued":{"date-parts":[["2001",5,1]]},"citation-key":"gende_2001"}},{"id":2455,"uris":["http://zotero.org/users/2189142/items/EHN8LLET"],"itemData":{"id":2455,"type":"article-journal","abstract":"Predators do not always eat what they kill. Eating only the most energy-rich tissues may be most efficient for predators with limited stomach space, but why pre","container-title":"Behavioral Ecology","DOI":"10.1093/beheco/ary139","ISSN":"1045-2249","issue":"1","journalAbbreviation":"Behav Ecol","language":"en","note":"publisher: Oxford Academic","page":"202-212","source":"academic-oup-com.ezproxy.library.ubc.ca","title":"Optimal foraging or surplus killing: selective consumption and discarding of salmon by brown bears","title-short":"Optimal foraging or surplus killing","volume":"30","author":[{"family":"Lincoln","given":"Alexandra E."},{"family":"Quinn","given":"Thomas P."}],"issued":{"date-parts":[["2019",3,4]]},"citation-key":"lincoln_2019"}}],"schema":"https://github.com/citation-style-language/schema/raw/master/csl-citation.json"} </w:instrText>
      </w:r>
      <w:r w:rsidRPr="009867C1">
        <w:fldChar w:fldCharType="separate"/>
      </w:r>
      <w:r w:rsidR="0042141C" w:rsidRPr="009867C1">
        <w:t>(Gende et al., 2001; Lincoln &amp; Quinn, 2019)</w:t>
      </w:r>
      <w:r w:rsidRPr="009867C1">
        <w:fldChar w:fldCharType="end"/>
      </w:r>
      <w:r w:rsidRPr="009867C1">
        <w:t xml:space="preserve">. Leftover carcasses can then be distributed throughout the riparian zone, sometimes </w:t>
      </w:r>
      <w:r w:rsidR="00256512">
        <w:t xml:space="preserve">across </w:t>
      </w:r>
      <w:r w:rsidRPr="009867C1">
        <w:t xml:space="preserve">hundreds of meters </w:t>
      </w:r>
      <w:r w:rsidRPr="009867C1">
        <w:fldChar w:fldCharType="begin"/>
      </w:r>
      <w:r w:rsidR="00AC0205">
        <w:instrText xml:space="preserve"> ADDIN ZOTERO_ITEM CSL_CITATION {"citationID":"k0yxEIke","properties":{"formattedCitation":"(Hocking et al., 2009; Quinn et al., 2009; Reimchen, 2000, 2017)","plainCitation":"(Hocking et al., 2009; Quinn et al., 2009; Reimchen, 2000, 2017)","noteIndex":0},"citationItems":[{"id":187,"uris":["http://zotero.org/users/2189142/items/5EMDVPKE"],"itemData":{"id":187,"type":"article-journal","abstract":"In coastal streams throughout the north Pacific region, spawning salmon (Oncorhynchus spp.) subsidize terrestrial communities with their nutrients and carcasses. We document the previously unreported composition and ecology of terrestrial invertebrates using salmon carcasses in forest habitats from two high salmon density watersheds in coastal British Columbia. From experimental placement of 186 carcasses, terrestrial Diptera-dominated salmon carcass decay (85.5% of carcasses). Overall, we recorded over 60 species from salmon carcasses, including saprophagous Diptera and Coleoptera (15 spp.), dipteran predators (eight spp.) and parasitoids (four spp.), and opportunistic predators, scavengers, and detritivores (24 spp.). Using stable isotopes of nitrogen and carbon, we reconstruct the dietary niches of select species relative to salmon muscle tissue and previously sampled non-salmon feeding invertebrate species. From comparisons across seasons, sampling locations and larval and adult life stages, we find evidence for a diet of salmon tissue in flies (Calliphora terraenovae and Dryomyza anilis), and beetles (Nicrophorus investigator and Anthobium fimetarium). The parasitic wasps Alysia alticola and Atractodes sp. had the highest levels of enrichment of all species, representing their larval diet of fly larvae that have fed on salmon carcasses 1 year prior to adult wasp sampling. Temporal and spatial isotopic variation in insect indicator species varies by species mobility and the pathway of salmon nutrient uptake. Cataloguing these associations may be useful for developing indices of intact salmon runs, bear foraging, and subsequent nutrient transfer in coastal watersheds.","container-title":"Ecological Research","DOI":"10.1007/s11284-009-0586-5","ISSN":"0912-3814, 1440-1703","issue":"5","journalAbbreviation":"Ecol Res","language":"en","page":"1091-1100","source":"link.springer.com.ezproxy.library.ubc.ca","title":"The ecology of terrestrial invertebrates on Pacific salmon carcasses","volume":"24","author":[{"family":"Hocking","given":"Morgan D."},{"family":"Ring","given":"Richard A."},{"family":"Reimchen","given":"T.E."}],"issued":{"date-parts":[["2009",2,25]]},"citation-key":"hocking_2009a"}},{"id":514,"uris":["http://zotero.org/users/2189142/items/KDS3K7EH"],"itemData":{"id":514,"type":"article-journal","abstract":"Predation on Pacific salmon by bears (genus Ursus L., 1758) can be an important ecosystem process because the spatial distribution of carcasses largely determines whether marine-derived nutrients cycle through aquatic or terrestrial pathways. Direct observations on three streams in southeastern Alaska indicated that 49% of the pink (Oncorhynchus gorbuscha (Walbaum, 1792)) and chum (Oncorhynchus keta (Walbaum in Artedi, 1792)) salmon killed by bears were carried into the forest. The tendency of bears to transport carcasses was independent of the sex and species of salmon, but unspawned fish were more often transported than fish that had completed spawning. Data on tagged sockeye salmon (Oncorhynchus nerka (Walbaum in Artedi, 1792)) in one southwestern Alaska stream indicated that 42.6% of the killed salmon were transported, and that higher percentages were transported in years when salmon densities were greater. At six other streams, on average, 68.1% of the sockeye salmon killed were apparently transporte..., La prédation des ours (le genre Ursus L., 1758) sur les carcasses de saumons du Pacifique peut être un processus écosystémique important parce que la répartition spatiale des carcasses détermine en grande partie si les nutriments d’origine marine sont recyclés par la voie aquatique ou la voie terrestre. Des observations directes sur trois cours d’eau du sud-est de l’Alaska indiquent que 49 % des saumons roses (Oncorhynchus gorbuscha (Walbaum, 1792)) et kéta (Oncorhynchus keta (Walbaum in Artedi, 1792)) tués par les ours sont transportés dans la forêt. La tendance qu’ont les ours à transporter les carcasses est indépendante du sexe et de l’espèce de saumon, mais les poissons qui n’ont pas frayé sont transportés plus fréquemment que les poissons qui ont terminé leur reproduction. Des données de marquage de saumons rouges (Oncorhynchus nerka (Walbaum in Artedi, 1792)) dans un cours d’eau du sud-ouest de l’Alaska indiquent que 42,6 % des saumons tués ont été transportés et que des pourcentages plus élevés son...","container-title":"Canadian Journal of Zoology","DOI":"10.1139/Z09-004","ISSN":"0008-4301","issue":"3","journalAbbreviation":"Can. J. Zool.","page":"195-203","source":"NRC Research Press","title":"Transportation of Pacific salmon carcasses from streams to riparian forests by bears","volume":"87","author":[{"family":"Quinn","given":"Thomas P."},{"family":"Carlson","given":"Stephanie M."},{"family":"Gende","given":"Scott M."},{"family":"Rich","given":"Jr.","suffix":"Harry B."}],"issued":{"date-parts":[["2009",2,13]]},"citation-key":"quinn_2009"}},{"id":193,"uris":["http://zotero.org/users/2189142/items/P7DZVIRG"],"itemData":{"id":193,"type":"article-journal","abstract":"I examine here quantity and characteristics of chum salmon (Oncorhynchus keta) captured by black bears (Ursus americanus) during autumn spawning migration in an old-growth watershed on Moresby Island (Haida Gwaii), western Canada. Spawning-salmon numbers ranged from 2300 to 6300 over 3 years of investigation (1992-1994) and there were a maximum of eight bears in the watershed. Following capture of a salmon, bears ate an average of 1.6 kg from each salmon carcass, including the brain, ovaries, and dorsal musculature, and generally tended to abandon viscera, testes, and bony remnants such as jaws. Complete counts of these jaws throughout the watershed in autumn 1993 demonstrated a total capture of 4281 salmon, for an average consumption rate of 13 salmon per day per bear over the 45-day spawning period. This comprised 74% of the salmon entering the stream (range among years 58-92%). Most salmon (70-80%) taken by bears were partially or completely spawned-out at the time of capture. Marginally but significan..., J'ai déterminé le nombre et les caractéristiques des Saumons keta (Oncorhynchus keta) capturés par des Ours noirs (Ursus americanus) au cours de la migration de fraye de l'automne dans un bassin hydrographique, dans une forêt ancienne de l'île Moresby (Haida Gwaii), dans l'ouest du Canada. Le nombre de saumons en fraye au cours des 3 ans qu'ont duré notre étude (1992-1994) allait de 2300 à 6300 et il y avait au maximum huit ours dans le bassin. Après la capture, les ours mangeaient en moyenne 1,6 kg de chaque carcasse, cerveau, ovaires et musculature dorsale, et avaient généralement tendance à laisser les viscères, les testicules et les restes osseux, notamment les mâchoires. Le nombre total de ces mâchoires dans le bassin à l'automne de 1993 a été de 4281, ce qui se traduit par un taux moyen de consommation de 13 saumons par jour pendant une fraye de 45 jours, soit 74 % des saumons qui sont entrés dans le ruisseau (étendue durant les 3 années, 58 à 92 %). La plupart (70-80 %) des saumons capturés par les...","container-title":"Canadian Journal of Zoology","DOI":"10.1139/z99-232","ISSN":"0008-4301","issue":"3","journalAbbreviation":"Can. J. Zool.","page":"448-457","source":"NRC Research Press","title":"Some ecological and evolutionary aspects of bear-salmon interactions in coastal British Columbia","volume":"78","author":[{"family":"Reimchen","given":"T.E."}],"issued":{"date-parts":[["2000",4,1]]},"citation-key":"reimchen_2000"}},{"id":183,"uris":["http://zotero.org/users/2189142/items/5XY9XX4M"],"itemData":{"id":183,"type":"article-journal","abstract":"Based on five years of field studies (1992, 1993, 1994, 1998, 2000), I quantified bi-directional movement of salmon nutrients through an estuary, stream, and old growth forest in a large protected reserve on Haida Gwaii, British Columbia. In 1993, when most data were collected, about 6000 Chum Salmon (Oncorhynchus keta) entered the river of which 22% of the total biomass of senescent carcasses were swept downstream into the estuary and were scavenged by gulls (n = 350) and subtidal invertebrates. Of the 3700 salmon (10 000 kg) transferred by American Black Bear (Ursus americanus) to the riparian zone and partially consumed along the 800 m of stream channel, 5070 kg of salmon tissues abandoned by the bears were scavenged by Northwestern Crows (Corvus caurinus; n = 200) but mostly (4100 kg) by calliphorid blowfly larvae resulting in larval densities averaging 240/m2 throughout the riparian zone. Total nitrogen input to the soils from the combined effects of bear and scavenger activity as well as carcass input was 18 g/m2 within 10 m of the stream channel. δ15N of foliar tissues of Lanky Moss (Rhytidiadelphus loreus), Red Huckleberry (Vaccinium parvifolium), Salal (Gaultheria shallon), and Western Hemlock (Tsuga heterophylla) ranged about 15‰ to 20‰ among adjacent microsites in each species, with higher values occurring in salmon carcass zones. Total nitrogen in foliar tissues ranged from 1% to 2.4% among microsites and was best predicted by positive correlations with foliar 15N values and secondarily by presence/absence of salmon carcasses. This is the first study to integrate estuarine to riparian ecological processes in the cycling of salmonid nutrients and identifies a range of ecological baselines that can inform the multiple restoration programs underway in degraded watersheds in the North Pacific.","container-title":"Canadian Field Naturalist","ISSN":"0008-3550","language":"en","source":"pubag.nal.usda.gov","title":"Diverse Ecological Pathways of Salmon Nutrients Through an Intact Marine-terrestrial Interface","URL":"https://pubag.nal.usda.gov/catalog/6040059","author":[{"family":"Reimchen","given":"T.E."}],"accessed":{"date-parts":[["2019",8,4]]},"issued":{"date-parts":[["2017"]]},"citation-key":"reimchen_2017"}}],"schema":"https://github.com/citation-style-language/schema/raw/master/csl-citation.json"} </w:instrText>
      </w:r>
      <w:r w:rsidRPr="009867C1">
        <w:fldChar w:fldCharType="separate"/>
      </w:r>
      <w:r w:rsidR="0042141C" w:rsidRPr="009867C1">
        <w:t>(Hocking et al., 2009; Quinn et al., 2009; Reimchen, 2000, 2017)</w:t>
      </w:r>
      <w:r w:rsidRPr="009867C1">
        <w:fldChar w:fldCharType="end"/>
      </w:r>
      <w:r w:rsidRPr="009867C1">
        <w:t>. On the Central Coast</w:t>
      </w:r>
      <w:r w:rsidR="00256512">
        <w:t xml:space="preserve"> of British Columbia</w:t>
      </w:r>
      <w:r w:rsidRPr="009867C1">
        <w:t xml:space="preserve">, this movement has been shown to be affected by bear species identity, salmon spawning behaviour and species identity, and year-to-year variation in salmon density </w:t>
      </w:r>
      <w:r w:rsidRPr="009867C1">
        <w:fldChar w:fldCharType="begin"/>
      </w:r>
      <w:r w:rsidR="00AC0205">
        <w:instrText xml:space="preserve"> ADDIN ZOTERO_ITEM CSL_CITATION {"citationID":"MyMOfApt","properties":{"formattedCitation":"(J. M. S. Harding et al., 2019)","plainCitation":"(J. M. S. Harding et al., 2019)","noteIndex":0},"citationItems":[{"id":201,"uris":["http://zotero.org/users/2189142/items/V58Q77S8"],"itemData":{"id":201,"type":"article-journal","abstract":"The disproportionate effects of some species can drive ecosystem processes and shape communities. This study investigates how distributions of spawning Pacific salmon within streams, salmon consumers, and the surrounding landscape mediate the distribution of salmon carcasses to riparian forests and estuaries. This work demonstrates how carcass transfer can vary spatially, within and among watersheds, through differences in pink (Oncorhynchus gorbuscha) and chum (O. keta) salmon distributions within 16 streams on the central coast of British Columbia over a five-year period. Spawning pink salmon concentrated in lower reaches of all streams, whereas chum salmon shifted from lower to upper stream reaches as the area of spawning habitat increased. Salmon carcasses transferred to riparian areas by grey wolves (Canis lupus) were concentrated in estuaries and lower stream reaches; particularly shallow reaches of larger streams surrounded by large meadow expanses. Black and grizzly bears (Ursus americanus and U. arctos) transferred higher numbers and proportions of salmon carcasses to riparian areas compared to wolves, transferred more carcasses in areas of higher spawning density, and tended to focus more on chum salmon. Riparian subsides were increasingly driven by bear-chum salmon associations in upper stream reaches. In addition, lower proportions of salmon carcasses were exported into estuaries when densities of spawning salmon were lower and spawning reaches of streams were longer. This study demonstrates how salmon subsidies vary between and within watersheds as a result of species associations and landscape traits, and provides a nuanced species-specific and spatially explicit understanding of salmon-subsidy dynamics.","container-title":"Frontiers in Ecology and Evolution","DOI":"10.3389/fevo.2019.00192","ISSN":"2296-701X","journalAbbreviation":"Front. Ecol. Evol.","language":"English","source":"Frontiers","title":"Landscape Structure and Species Interactions Drive the Distribution of Salmon Carcasses in Coastal Watersheds","URL":"https://www.frontiersin.org/articles/10.3389/fevo.2019.00192/full","volume":"7","author":[{"family":"Harding","given":"Joel M. S."},{"family":"Harding","given":"Jennifer N."},{"family":"Field","given":"Rachel D."},{"family":"Pendray","given":"Jane E."},{"family":"Swain","given":"Noel R."},{"family":"Wagner","given":"Marlene A."},{"family":"Reynolds","given":"John D."}],"accessed":{"date-parts":[["2019",8,4]]},"issued":{"date-parts":[["2019"]]},"citation-key":"harding_2019"}}],"schema":"https://github.com/citation-style-language/schema/raw/master/csl-citation.json"} </w:instrText>
      </w:r>
      <w:r w:rsidRPr="009867C1">
        <w:fldChar w:fldCharType="separate"/>
      </w:r>
      <w:r w:rsidR="0042141C" w:rsidRPr="009867C1">
        <w:t>(J. M. S. Harding et al., 2019)</w:t>
      </w:r>
      <w:r w:rsidRPr="009867C1">
        <w:fldChar w:fldCharType="end"/>
      </w:r>
      <w:r w:rsidRPr="009867C1">
        <w:t xml:space="preserve">, with </w:t>
      </w:r>
      <w:r w:rsidR="00256512">
        <w:t>bear-</w:t>
      </w:r>
      <w:r w:rsidRPr="009867C1">
        <w:t xml:space="preserve">chum interactions dominating in the forest, and wolf-pink and bear-pink interactions dominating in estuaries and lower reaches. In years with lower salmon runs, fewer salmon are transferred to the forest. This results in a patchy distribution of salmon carcasses in time, with variance both between and within years (i.e., seasons). They are also patchily distributed in space: </w:t>
      </w:r>
      <w:r w:rsidR="001D24C2">
        <w:t xml:space="preserve">on a regional scale, </w:t>
      </w:r>
      <w:r w:rsidRPr="009867C1">
        <w:t xml:space="preserve">carcasses are concentrated around streams </w:t>
      </w:r>
      <w:r w:rsidR="001D24C2">
        <w:t xml:space="preserve">with </w:t>
      </w:r>
      <w:r w:rsidRPr="009867C1">
        <w:t xml:space="preserve">high salmon runs </w:t>
      </w:r>
      <w:r w:rsidRPr="009867C1">
        <w:fldChar w:fldCharType="begin"/>
      </w:r>
      <w:r w:rsidR="00AC0205">
        <w:instrText xml:space="preserve"> ADDIN ZOTERO_ITEM CSL_CITATION {"citationID":"ohNuQ2l4","properties":{"formattedCitation":"(Adams et al., 2017)","plainCitation":"(Adams et al., 2017)","noteIndex":0},"citationItems":[{"id":2241,"uris":["http://zotero.org/users/2189142/items/BUKNTUBT"],"itemData":{"id":2241,"type":"article-journal","abstract":"Intrapopulation variability in resource acquisition (i.e., niche variation) influences population dynamics, with important implications for conservation planning. Spatial analyses of niche variation within and among populations can provide relevant information about ecological associations and their subsequent management. We used stable isotope analysis and kernel-weighted regression to examine spatial patterns in a keystone consumer–resource interaction: salmon (Oncorhynchus spp.) consumption by grizzly and black bears (Ursus arctos horribilis, n = 886; and Ursus americanus, n = 557) from 1995 to 2014 in British Columbia (BC), Canada. In a region on the central coast of BC (22,000 km2), grizzly bears consumed far more salmon than black bears (median proportion of salmon in assimilated diet of 0.62 and 0.06, respectively). Males of both species consumed more salmon than females (median proportions of 0.63 and 0.57 for grizzly bears and 0.06 and 0.03 for black bears, respectively). Black bears showed considerably more spatial variation in salmon consumption than grizzlies. Protected areas on the coast captured no more habitat for bears with high-salmon diets (i.e., proportions &gt;0.5 of total diet) than did unprotected areas. In a continental region ( 692,000 km2), which included the entire contemporary range of grizzlies in BC, males had higher salmon diets than females (median proportions of 0.41 and 0.04, respectively). High-salmon diets were concentrated in coastal areas for female grizzly bears, whereas males with high-salmon diets in interior areas were restricted to areas near major salmon watersheds. To safeguard this predator–prey association that spans coastal and interior regions, conservation planners and practitioners can consider managing across ecological and jurisdictional boundaries. More broadly, our approach highlights the importance of visualizing spatial patterns of dietary niche variation within populations to characterize ecological associations and inform management.","container-title":"Ecosphere","DOI":"https://doi.org/10.1002/ecs2.1843","ISSN":"2150-8925","issue":"6","language":"en","note":"_eprint: https://onlinelibrary.wiley.com/doi/pdf/10.1002/ecs2.1843","page":"e01843","source":"Wiley Online Library","title":"Intrapopulation diversity in isotopic niche over landscapes: Spatial patterns inform conservation of bear–salmon systems","title-short":"Intrapopulation diversity in isotopic niche over landscapes","volume":"8","author":[{"family":"Adams","given":"Megan S."},{"family":"Service","given":"Christina N."},{"family":"Bateman","given":"Andrew"},{"family":"Bourbonnais","given":"Mathieu"},{"family":"Artelle","given":"Kyle A."},{"family":"Nelson","given":"Trisalyn"},{"family":"Paquet","given":"Paul C."},{"family":"Levi","given":"Taal"},{"family":"Darimont","given":"Chris T."}],"issued":{"date-parts":[["2017"]]},"citation-key":"adams_2017"}}],"schema":"https://github.com/citation-style-language/schema/raw/master/csl-citation.json"} </w:instrText>
      </w:r>
      <w:r w:rsidRPr="009867C1">
        <w:fldChar w:fldCharType="separate"/>
      </w:r>
      <w:r w:rsidR="0042141C" w:rsidRPr="009867C1">
        <w:t>(Adams et al., 2017)</w:t>
      </w:r>
      <w:r w:rsidRPr="009867C1">
        <w:fldChar w:fldCharType="end"/>
      </w:r>
      <w:r w:rsidRPr="009867C1">
        <w:t xml:space="preserve">, and within-stream variation is both systematic (higher closer to the stream, behind large trees) and idiosyncratic (simply the favoured spot of individual bears) </w:t>
      </w:r>
      <w:r w:rsidRPr="009867C1">
        <w:fldChar w:fldCharType="begin"/>
      </w:r>
      <w:r w:rsidR="00AC0205">
        <w:instrText xml:space="preserve"> ADDIN ZOTERO_ITEM CSL_CITATION {"citationID":"MGNlcohK","properties":{"formattedCitation":"(J. M. S. Harding et al., 2019; Reimchen, 2000)","plainCitation":"(J. M. S. Harding et al., 2019; Reimchen, 2000)","noteIndex":0},"citationItems":[{"id":201,"uris":["http://zotero.org/users/2189142/items/V58Q77S8"],"itemData":{"id":201,"type":"article-journal","abstract":"The disproportionate effects of some species can drive ecosystem processes and shape communities. This study investigates how distributions of spawning Pacific salmon within streams, salmon consumers, and the surrounding landscape mediate the distribution of salmon carcasses to riparian forests and estuaries. This work demonstrates how carcass transfer can vary spatially, within and among watersheds, through differences in pink (Oncorhynchus gorbuscha) and chum (O. keta) salmon distributions within 16 streams on the central coast of British Columbia over a five-year period. Spawning pink salmon concentrated in lower reaches of all streams, whereas chum salmon shifted from lower to upper stream reaches as the area of spawning habitat increased. Salmon carcasses transferred to riparian areas by grey wolves (Canis lupus) were concentrated in estuaries and lower stream reaches; particularly shallow reaches of larger streams surrounded by large meadow expanses. Black and grizzly bears (Ursus americanus and U. arctos) transferred higher numbers and proportions of salmon carcasses to riparian areas compared to wolves, transferred more carcasses in areas of higher spawning density, and tended to focus more on chum salmon. Riparian subsides were increasingly driven by bear-chum salmon associations in upper stream reaches. In addition, lower proportions of salmon carcasses were exported into estuaries when densities of spawning salmon were lower and spawning reaches of streams were longer. This study demonstrates how salmon subsidies vary between and within watersheds as a result of species associations and landscape traits, and provides a nuanced species-specific and spatially explicit understanding of salmon-subsidy dynamics.","container-title":"Frontiers in Ecology and Evolution","DOI":"10.3389/fevo.2019.00192","ISSN":"2296-701X","journalAbbreviation":"Front. Ecol. Evol.","language":"English","source":"Frontiers","title":"Landscape Structure and Species Interactions Drive the Distribution of Salmon Carcasses in Coastal Watersheds","URL":"https://www.frontiersin.org/articles/10.3389/fevo.2019.00192/full","volume":"7","author":[{"family":"Harding","given":"Joel M. S."},{"family":"Harding","given":"Jennifer N."},{"family":"Field","given":"Rachel D."},{"family":"Pendray","given":"Jane E."},{"family":"Swain","given":"Noel R."},{"family":"Wagner","given":"Marlene A."},{"family":"Reynolds","given":"John D."}],"accessed":{"date-parts":[["2019",8,4]]},"issued":{"date-parts":[["2019"]]},"citation-key":"harding_2019"}},{"id":193,"uris":["http://zotero.org/users/2189142/items/P7DZVIRG"],"itemData":{"id":193,"type":"article-journal","abstract":"I examine here quantity and characteristics of chum salmon (Oncorhynchus keta) captured by black bears (Ursus americanus) during autumn spawning migration in an old-growth watershed on Moresby Island (Haida Gwaii), western Canada. Spawning-salmon numbers ranged from 2300 to 6300 over 3 years of investigation (1992-1994) and there were a maximum of eight bears in the watershed. Following capture of a salmon, bears ate an average of 1.6 kg from each salmon carcass, including the brain, ovaries, and dorsal musculature, and generally tended to abandon viscera, testes, and bony remnants such as jaws. Complete counts of these jaws throughout the watershed in autumn 1993 demonstrated a total capture of 4281 salmon, for an average consumption rate of 13 salmon per day per bear over the 45-day spawning period. This comprised 74% of the salmon entering the stream (range among years 58-92%). Most salmon (70-80%) taken by bears were partially or completely spawned-out at the time of capture. Marginally but significan..., J'ai déterminé le nombre et les caractéristiques des Saumons keta (Oncorhynchus keta) capturés par des Ours noirs (Ursus americanus) au cours de la migration de fraye de l'automne dans un bassin hydrographique, dans une forêt ancienne de l'île Moresby (Haida Gwaii), dans l'ouest du Canada. Le nombre de saumons en fraye au cours des 3 ans qu'ont duré notre étude (1992-1994) allait de 2300 à 6300 et il y avait au maximum huit ours dans le bassin. Après la capture, les ours mangeaient en moyenne 1,6 kg de chaque carcasse, cerveau, ovaires et musculature dorsale, et avaient généralement tendance à laisser les viscères, les testicules et les restes osseux, notamment les mâchoires. Le nombre total de ces mâchoires dans le bassin à l'automne de 1993 a été de 4281, ce qui se traduit par un taux moyen de consommation de 13 saumons par jour pendant une fraye de 45 jours, soit 74 % des saumons qui sont entrés dans le ruisseau (étendue durant les 3 années, 58 à 92 %). La plupart (70-80 %) des saumons capturés par les...","container-title":"Canadian Journal of Zoology","DOI":"10.1139/z99-232","ISSN":"0008-4301","issue":"3","journalAbbreviation":"Can. J. Zool.","page":"448-457","source":"NRC Research Press","title":"Some ecological and evolutionary aspects of bear-salmon interactions in coastal British Columbia","volume":"78","author":[{"family":"Reimchen","given":"T.E."}],"issued":{"date-parts":[["2000",4,1]]},"citation-key":"reimchen_2000"}}],"schema":"https://github.com/citation-style-language/schema/raw/master/csl-citation.json"} </w:instrText>
      </w:r>
      <w:r w:rsidRPr="009867C1">
        <w:fldChar w:fldCharType="separate"/>
      </w:r>
      <w:r w:rsidR="0042141C" w:rsidRPr="009867C1">
        <w:t>(J. M. S. Harding et al., 2019; Reimchen, 2000)</w:t>
      </w:r>
      <w:r w:rsidRPr="009867C1">
        <w:fldChar w:fldCharType="end"/>
      </w:r>
      <w:r w:rsidRPr="009867C1">
        <w:t xml:space="preserve">.   </w:t>
      </w:r>
    </w:p>
    <w:p w14:paraId="65EF9E2E" w14:textId="39E2C977" w:rsidR="008832BF" w:rsidRPr="009867C1" w:rsidRDefault="008832BF" w:rsidP="008832BF">
      <w:pPr>
        <w:ind w:firstLine="720"/>
      </w:pPr>
      <w:r w:rsidRPr="009867C1">
        <w:t xml:space="preserve">Once abandoned by bears, carcasses are rapidly exploited by insects and other invertebrates. Over 60 species of insects have been found feeding on salmon </w:t>
      </w:r>
      <w:r w:rsidRPr="009867C1">
        <w:fldChar w:fldCharType="begin"/>
      </w:r>
      <w:r w:rsidR="00AC0205">
        <w:instrText xml:space="preserve"> ADDIN ZOTERO_ITEM CSL_CITATION {"citationID":"wS5suWux","properties":{"formattedCitation":"(Hocking et al., 2009)","plainCitation":"(Hocking et al., 2009)","noteIndex":0},"citationItems":[{"id":187,"uris":["http://zotero.org/users/2189142/items/5EMDVPKE"],"itemData":{"id":187,"type":"article-journal","abstract":"In coastal streams throughout the north Pacific region, spawning salmon (Oncorhynchus spp.) subsidize terrestrial communities with their nutrients and carcasses. We document the previously unreported composition and ecology of terrestrial invertebrates using salmon carcasses in forest habitats from two high salmon density watersheds in coastal British Columbia. From experimental placement of 186 carcasses, terrestrial Diptera-dominated salmon carcass decay (85.5% of carcasses). Overall, we recorded over 60 species from salmon carcasses, including saprophagous Diptera and Coleoptera (15 spp.), dipteran predators (eight spp.) and parasitoids (four spp.), and opportunistic predators, scavengers, and detritivores (24 spp.). Using stable isotopes of nitrogen and carbon, we reconstruct the dietary niches of select species relative to salmon muscle tissue and previously sampled non-salmon feeding invertebrate species. From comparisons across seasons, sampling locations and larval and adult life stages, we find evidence for a diet of salmon tissue in flies (Calliphora terraenovae and Dryomyza anilis), and beetles (Nicrophorus investigator and Anthobium fimetarium). The parasitic wasps Alysia alticola and Atractodes sp. had the highest levels of enrichment of all species, representing their larval diet of fly larvae that have fed on salmon carcasses 1 year prior to adult wasp sampling. Temporal and spatial isotopic variation in insect indicator species varies by species mobility and the pathway of salmon nutrient uptake. Cataloguing these associations may be useful for developing indices of intact salmon runs, bear foraging, and subsequent nutrient transfer in coastal watersheds.","container-title":"Ecological Research","DOI":"10.1007/s11284-009-0586-5","ISSN":"0912-3814, 1440-1703","issue":"5","journalAbbreviation":"Ecol Res","language":"en","page":"1091-1100","source":"link.springer.com.ezproxy.library.ubc.ca","title":"The ecology of terrestrial invertebrates on Pacific salmon carcasses","volume":"24","author":[{"family":"Hocking","given":"Morgan D."},{"family":"Ring","given":"Richard A."},{"family":"Reimchen","given":"T.E."}],"issued":{"date-parts":[["2009",2,25]]},"citation-key":"hocking_2009a"}}],"schema":"https://github.com/citation-style-language/schema/raw/master/csl-citation.json"} </w:instrText>
      </w:r>
      <w:r w:rsidRPr="009867C1">
        <w:fldChar w:fldCharType="separate"/>
      </w:r>
      <w:r w:rsidR="0042141C" w:rsidRPr="009867C1">
        <w:t>(Hocking et al., 2009)</w:t>
      </w:r>
      <w:r w:rsidRPr="009867C1">
        <w:fldChar w:fldCharType="end"/>
      </w:r>
      <w:r w:rsidRPr="009867C1">
        <w:t xml:space="preserve">, with biomass dominated by larval blowflies </w:t>
      </w:r>
      <w:r w:rsidRPr="009867C1">
        <w:fldChar w:fldCharType="begin"/>
      </w:r>
      <w:r w:rsidR="00AC0205">
        <w:instrText xml:space="preserve"> ADDIN ZOTERO_ITEM CSL_CITATION {"citationID":"a6umeady","properties":{"formattedCitation":"(Hocking &amp; Reimchen, 2006; Meehan et al., 2005)","plainCitation":"(Hocking &amp; Reimchen, 2006; Meehan et al., 2005)","noteIndex":0},"citationItems":[{"id":190,"uris":["http://zotero.org/users/2189142/items/7ZS6NZ37"],"itemData":{"id":190,"type":"article-journal","abstract":"Anadromous Pacific salmon (Oncorhynchus spp.) subsidize terrestrial food webs with their nutrients and carcasses, a process driven largely by selective foraging by bears (Ursus spp.). We quantify wildlife transfer of salmon carcasses to riparian zones on two watersheds in coastal British Columbia and estimate total terrestrial fly production from remnant carcasses. Large-bodied chum salmon (Oncorhynchus keta) were transferred into the forest at a greater rate than were pink salmon (Oncorhynchus gorbuscha) (chum salmon mass = 6089–11 031 kg, 16%–48% of salmon run; pink salmon mass = 2266–2808 kg, 4%–6% of salmon run). Blow flies (genus Calliphora) and other Diptera dominated colonization (&gt;90% of salmon carcasses). Between the two watersheds, 196 and 265 g of Calliphora larvae per metre of spawning length (4 and 7 million larvae for whole watersheds) were generated from salmon carcass transfer. Stable isotope analysis of δ15N and δ13C of spring-emerging adult Calliphora revealed that &gt;80% of individuals ha..., Les saumons du Pacifique (Oncorhynchus spp.) anadromes enrichissent les réseaux alimentaires terrestres avec leurs nutriments et leurs carcasses, un processus grandement contrôlé par l'alimentation sélective des ours (Ursus spp.). Nous mesurons le transfert par l'intermédiaire de la faune sauvage des carcasses de saumons aux zones de rivage dans deux bassins versants de la côte de la Colombie-Britannique et nous estimons la production totale de mouches terrestres dans les carcasses abandonnées. Le transfert des saumons kéta (Oncorhynchus keta) plus corpulents se fait à un rythme plus élevé que celui des saumons roses (Oncorhynchus gorbuscha) (masse des saumons kéta = 6089–11 031 kg: 16–48 % de la montaison; masse des saumons roses = 2226–2808 kg: 4–6 % de la montaison). Les mouches de la viande (le genre Calliphora) et les autres diptères sont les principaux colonisateurs des carcasses (&gt;90 %) de saumons. Dans les deux bassins, respectivement 196 et 265 g de larves de Calliphora sont produits par mètre de...","container-title":"Canadian Journal of Fisheries and Aquatic Sciences","DOI":"10.1139/f06-110","ISSN":"0706-652X","issue":"9","journalAbbreviation":"Can. J. Fish. Aquat. Sci.","page":"2076-2086","source":"NRC Research Press","title":"Consumption and distribution of salmon (Oncorhynchus spp.) nutrients and energy by terrestrial flies","volume":"63","author":[{"family":"Hocking","given":"Morgan D"},{"family":"Reimchen","given":"T.E."}],"issued":{"date-parts":[["2006",9,1]]},"citation-key":"hocking_2006"}},{"id":1591,"uris":["http://zotero.org/users/2189142/items/YQI9URLU"],"itemData":{"id":1591,"type":"article-journal","container-title":"The American midland naturalist","issue":"1","note":"publisher: BioOne","page":"142–151","source":"Google Scholar","title":"Bear predation on Pacific salmon facilitates colonization of carcasses by fly maggots","volume":"153","author":[{"family":"Meehan","given":"Erin P."},{"family":"Seminet-Reneau","given":"Elizabeth E."},{"family":"Quinn","given":"Thomas P."}],"issued":{"date-parts":[["2005"]]},"citation-key":"meehan_2005a"}}],"schema":"https://github.com/citation-style-language/schema/raw/master/csl-citation.json"} </w:instrText>
      </w:r>
      <w:r w:rsidRPr="009867C1">
        <w:fldChar w:fldCharType="separate"/>
      </w:r>
      <w:r w:rsidR="0042141C" w:rsidRPr="009867C1">
        <w:t>(Hocking &amp; Reimchen, 2006; Meehan et al., 2005)</w:t>
      </w:r>
      <w:r w:rsidRPr="009867C1">
        <w:fldChar w:fldCharType="end"/>
      </w:r>
      <w:r w:rsidRPr="009867C1">
        <w:t xml:space="preserve">. Stable isotope analysis of these taxa reveal high proportions of MDN in their diets, with some parasitoid wasps having equivalent </w:t>
      </w:r>
      <w:r w:rsidR="0062036B">
        <w:t xml:space="preserve">isotopic </w:t>
      </w:r>
      <w:r w:rsidRPr="009867C1">
        <w:t>signatures to killer whales</w:t>
      </w:r>
      <w:r w:rsidR="0062036B">
        <w:t xml:space="preserve"> </w:t>
      </w:r>
      <w:r w:rsidR="0062036B" w:rsidRPr="009867C1">
        <w:fldChar w:fldCharType="begin"/>
      </w:r>
      <w:r w:rsidR="00AC0205">
        <w:instrText xml:space="preserve"> ADDIN ZOTERO_ITEM CSL_CITATION {"citationID":"r9BgECWI","properties":{"formattedCitation":"(Hocking et al., 2013)","plainCitation":"(Hocking et al., 2013)","noteIndex":0},"citationItems":[{"id":185,"uris":["http://zotero.org/users/2189142/items/6N2GEE95"],"itemData":{"id":185,"type":"article-journal","abstract":"A general rule in ecology is that the abundance of species or individuals in communities sharing a common energy source decreases with increasing body size. However, external energy inputs in the form of resource subsidies can modify this size spectrum relationship. Here, we provide the first test of how a marine resource subsidy can affect size spectra of terrestrial communities, based on energy derived from Pacific salmon carcasses affecting a forest soil community beside streams in western Canada. Using both species-based and individual approaches, we found size structuring in this forest soil community, and transient community-wide doubling of standing biomass in response to energy pulses from Pacific salmon carcasses. One group of species were clear outliers in the middle of the size spectrum relationship: larval calliphorid and dryomyzid flies, which specialize on salmon carcasses, and which showed a tenfold increase in biomass in their size class when salmon were available. Thus, salmon subsidize their escape from the size spectrum. These results suggest that using a size-based perspective of resource subsidies can provide new insights into the structure and functioning of food webs.","container-title":"Proceedings of the Royal Society of London B: Biological Sciences","DOI":"10.1098/rspb.2012.2433","ISSN":"0962-8452, 1471-2954","issue":"1753","language":"en","note":"A general rule in ecology is that the abundance of species or individuals in communities sharing a common energy source decreases with increasing body size. However, external energy inputs in the form of resource subsidies can modify this size spectrum relationship. Here, we provide the first test of how a marine resource subsidy can affect size spectra of terrestrial communities, based on energy derived from Pacific salmon carcasses affecting a forest soil community beside streams in western Canada. Using both species-based and individual approaches, we found size structuring in this forest soil community, and transient community-wide doubling of standing biomass in response to energy pulses from Pacific salmon carcasses. One group of species were clear outliers in the middle of the size spectrum relationship: larval calliphorid and dryomyzid flies, which specialize on salmon carcasses, and which showed a tenfold increase in biomass in their size class when salmon were available. Thus, salmon subsidize their escape from the size spectrum. These results suggest that using a size-based perspective of resource subsidies can provide new insights into the structure and functioning of food webs.\nPMID: 23282994","page":"20122433","source":"rspb.royalsocietypublishing.org.ezproxy.library.ubc.ca","title":"Salmon subsidize an escape from a size spectrum","volume":"280","author":[{"family":"Hocking","given":"Morgan D."},{"family":"Dulvy","given":"Nicholas K."},{"family":"Reynolds","given":"John D."},{"family":"Ring","given":"Richard A."},{"family":"Reimchen","given":"T.E."}],"issued":{"date-parts":[["2013",2,22]]},"citation-key":"hocking_2013a"}}],"schema":"https://github.com/citation-style-language/schema/raw/master/csl-citation.json"} </w:instrText>
      </w:r>
      <w:r w:rsidR="0062036B" w:rsidRPr="009867C1">
        <w:fldChar w:fldCharType="separate"/>
      </w:r>
      <w:r w:rsidR="0062036B" w:rsidRPr="009867C1">
        <w:t>(Hocking et al., 2013)</w:t>
      </w:r>
      <w:r w:rsidR="0062036B" w:rsidRPr="009867C1">
        <w:fldChar w:fldCharType="end"/>
      </w:r>
      <w:r w:rsidRPr="009867C1">
        <w:t xml:space="preserve">. Consumption of carcasses by colonizing maggots can be very rapid: in Alaskan streams, entire carcasses are consumed in ~5 days </w:t>
      </w:r>
      <w:r w:rsidRPr="009867C1">
        <w:fldChar w:fldCharType="begin"/>
      </w:r>
      <w:r w:rsidR="00AC0205">
        <w:instrText xml:space="preserve"> ADDIN ZOTERO_ITEM CSL_CITATION {"citationID":"ezMiVPZY","properties":{"formattedCitation":"(Meehan et al., 2005)","plainCitation":"(Meehan et al., 2005)","noteIndex":0},"citationItems":[{"id":1591,"uris":["http://zotero.org/users/2189142/items/YQI9URLU"],"itemData":{"id":1591,"type":"article-journal","container-title":"The American midland naturalist","issue":"1","note":"publisher: BioOne","page":"142–151","source":"Google Scholar","title":"Bear predation on Pacific salmon facilitates colonization of carcasses by fly maggots","volume":"153","author":[{"family":"Meehan","given":"Erin P."},{"family":"Seminet-Reneau","given":"Elizabeth E."},{"family":"Quinn","given":"Thomas P."}],"issued":{"date-parts":[["2005"]]},"citation-key":"meehan_2005a"}}],"schema":"https://github.com/citation-style-language/schema/raw/master/csl-citation.json"} </w:instrText>
      </w:r>
      <w:r w:rsidRPr="009867C1">
        <w:fldChar w:fldCharType="separate"/>
      </w:r>
      <w:r w:rsidR="0042141C" w:rsidRPr="009867C1">
        <w:t>(Meehan et al., 2005)</w:t>
      </w:r>
      <w:r w:rsidRPr="009867C1">
        <w:fldChar w:fldCharType="end"/>
      </w:r>
      <w:r w:rsidRPr="009867C1">
        <w:t xml:space="preserve">. This consumption results in pronounced ecological effects on insect populations </w:t>
      </w:r>
      <w:r w:rsidRPr="009867C1">
        <w:fldChar w:fldCharType="begin"/>
      </w:r>
      <w:r w:rsidR="00AC0205">
        <w:instrText xml:space="preserve"> ADDIN ZOTERO_ITEM CSL_CITATION {"citationID":"UXqLbSu6","properties":{"formattedCitation":"(Hocking et al., 2013)","plainCitation":"(Hocking et al., 2013)","noteIndex":0},"citationItems":[{"id":185,"uris":["http://zotero.org/users/2189142/items/6N2GEE95"],"itemData":{"id":185,"type":"article-journal","abstract":"A general rule in ecology is that the abundance of species or individuals in communities sharing a common energy source decreases with increasing body size. However, external energy inputs in the form of resource subsidies can modify this size spectrum relationship. Here, we provide the first test of how a marine resource subsidy can affect size spectra of terrestrial communities, based on energy derived from Pacific salmon carcasses affecting a forest soil community beside streams in western Canada. Using both species-based and individual approaches, we found size structuring in this forest soil community, and transient community-wide doubling of standing biomass in response to energy pulses from Pacific salmon carcasses. One group of species were clear outliers in the middle of the size spectrum relationship: larval calliphorid and dryomyzid flies, which specialize on salmon carcasses, and which showed a tenfold increase in biomass in their size class when salmon were available. Thus, salmon subsidize their escape from the size spectrum. These results suggest that using a size-based perspective of resource subsidies can provide new insights into the structure and functioning of food webs.","container-title":"Proceedings of the Royal Society of London B: Biological Sciences","DOI":"10.1098/rspb.2012.2433","ISSN":"0962-8452, 1471-2954","issue":"1753","language":"en","note":"A general rule in ecology is that the abundance of species or individuals in communities sharing a common energy source decreases with increasing body size. However, external energy inputs in the form of resource subsidies can modify this size spectrum relationship. Here, we provide the first test of how a marine resource subsidy can affect size spectra of terrestrial communities, based on energy derived from Pacific salmon carcasses affecting a forest soil community beside streams in western Canada. Using both species-based and individual approaches, we found size structuring in this forest soil community, and transient community-wide doubling of standing biomass in response to energy pulses from Pacific salmon carcasses. One group of species were clear outliers in the middle of the size spectrum relationship: larval calliphorid and dryomyzid flies, which specialize on salmon carcasses, and which showed a tenfold increase in biomass in their size class when salmon were available. Thus, salmon subsidize their escape from the size spectrum. These results suggest that using a size-based perspective of resource subsidies can provide new insights into the structure and functioning of food webs.\nPMID: 23282994","page":"20122433","source":"rspb.royalsocietypublishing.org.ezproxy.library.ubc.ca","title":"Salmon subsidize an escape from a size spectrum","volume":"280","author":[{"family":"Hocking","given":"Morgan D."},{"family":"Dulvy","given":"Nicholas K."},{"family":"Reynolds","given":"John D."},{"family":"Ring","given":"Richard A."},{"family":"Reimchen","given":"T.E."}],"issued":{"date-parts":[["2013",2,22]]},"citation-key":"hocking_2013a"}}],"schema":"https://github.com/citation-style-language/schema/raw/master/csl-citation.json"} </w:instrText>
      </w:r>
      <w:r w:rsidRPr="009867C1">
        <w:fldChar w:fldCharType="separate"/>
      </w:r>
      <w:r w:rsidR="0042141C" w:rsidRPr="009867C1">
        <w:t>(Hocking et al., 2013)</w:t>
      </w:r>
      <w:r w:rsidRPr="009867C1">
        <w:fldChar w:fldCharType="end"/>
      </w:r>
      <w:r w:rsidRPr="009867C1">
        <w:t xml:space="preserve">, with downstream trophic effects on avian insectivores </w:t>
      </w:r>
      <w:r w:rsidRPr="009867C1">
        <w:fldChar w:fldCharType="begin"/>
      </w:r>
      <w:r w:rsidR="00AC0205">
        <w:instrText xml:space="preserve"> ADDIN ZOTERO_ITEM CSL_CITATION {"citationID":"FISmD8rF","properties":{"formattedCitation":"(Wagner &amp; Reynolds, 2019)","plainCitation":"(Wagner &amp; Reynolds, 2019)","noteIndex":0},"citationItems":[{"id":1850,"uris":["http://zotero.org/users/2189142/items/AHUMBHEI"],"itemData":{"id":1850,"type":"article-journal","abstract":"Resource subsidies across ecosystems can have strong and unforeseen ecological impacts. Marine-derived nutrients from Pacific salmon (Onchorhycus spp.) can be transferred to streams and riparian forests through diverse food web pathways, fertilizing forests and increasing invertebrate abundance, which may in turn affect breeding birds. We quantified the influence of salmon on the abundance and composition of songbird communities across a wide range of salmon-spawning biomass on 14 streams along a remote coastal region of British Columbia, Canada. Point-count data spanning two years were combined with salmon biomass and 13 environmental covariates in riparian forests to test for correlates with bird abundance, foraging guilds, individual species, and avian diversity. We show that bird abundance and diversity increase with salmon biomass and that watershed size and forest composition are less important predictors. This work provides new evidence for the importance of salmon to terrestrial ecosystems and information that can inform ecosystem-based management.","container-title":"PLOS ONE","DOI":"10.1371/journal.pone.0210031","ISSN":"1932-6203","issue":"2","journalAbbreviation":"PLOS ONE","language":"en","page":"e0210031","source":"PLoS Journals","title":"Salmon increase forest bird abundance and diversity","volume":"14","author":[{"family":"Wagner","given":"Marlene A."},{"family":"Reynolds","given":"John D."}],"issued":{"date-parts":[["2019",2,6]]},"citation-key":"wagner_2019"}}],"schema":"https://github.com/citation-style-language/schema/raw/master/csl-citation.json"} </w:instrText>
      </w:r>
      <w:r w:rsidRPr="009867C1">
        <w:fldChar w:fldCharType="separate"/>
      </w:r>
      <w:r w:rsidR="0042141C" w:rsidRPr="009867C1">
        <w:t>(Wagner &amp; Reynolds, 2019)</w:t>
      </w:r>
      <w:r w:rsidRPr="009867C1">
        <w:fldChar w:fldCharType="end"/>
      </w:r>
      <w:r w:rsidRPr="009867C1">
        <w:t>. Finally, the flesh of decaying carcasses support</w:t>
      </w:r>
      <w:r w:rsidR="001D24C2">
        <w:t>s</w:t>
      </w:r>
      <w:r w:rsidRPr="009867C1">
        <w:t xml:space="preserve"> unique bacterial communities, which are likely spread via insect intermediaries </w:t>
      </w:r>
      <w:r w:rsidRPr="009867C1">
        <w:fldChar w:fldCharType="begin"/>
      </w:r>
      <w:r w:rsidR="00AC0205">
        <w:instrText xml:space="preserve"> ADDIN ZOTERO_ITEM CSL_CITATION {"citationID":"56XXDfYp","properties":{"formattedCitation":"(Pechal et al., 2019; Pechal &amp; Benbow, 2016)","plainCitation":"(Pechal et al., 2019; Pechal &amp; Benbow, 2016)","noteIndex":0},"citationItems":[{"id":1597,"uris":["http://zotero.org/users/2189142/items/JHUQH57P"],"itemData":{"id":1597,"type":"article-journal","abstract":"Ephemeral resource subsidies affect ecosystems at both short- and long-term temporal scales. One such resource is carrion, which varies in size and nutrient composition. Salmon of the Pacific Northwest have an anadromous life cycle resulting in immatures feeding and developing in vast oceanic expanses and adults returning to freshwater streams for spawning and eventual death, leaving large numbers of carcasses to decompose. Nutrients from these carcasses act as subsidies for both aquatic and terrestrial communities. However, what is less understood is the fate of microbial communities of the salmon upon death and then decomposition in watershed ecosystems. We evaluated the microbiomes of salmon carcasses and how they changed in conjunction with associated necrophagous larval blow fly consumers (Diptera: Calliphoridae). We determined microbes were shared among the carcass resource, internal communities of blow fly larvae, and excretions and secretions from blow fly larval aggregates. Larval feeding also represented a possible filtering effect on some microbial taxa from the collective community due to the observed decrease in microbial richness and diversity during larval growth and development. These results suggest some carcass resource microbes are not detected in the primary insect consumers during feeding, assimilation, and egestion. Ultimately, taxa remaining with larvae can potentially be dispersed into an ecosystem by adult flies. Our findings support a more general hypothesis of the potential of microbial transfer among ecosystems via salmon necrobiome food webs. Additional controlled field studies are needed to test and identify the ubiquity and mechanism of these potential bottom-up trophic dynamics.","container-title":"Food Webs","DOI":"10.1016/j.fooweb.2019.e00114","ISSN":"2352-2496","journalAbbreviation":"Food Webs","language":"en","page":"e00114","source":"ScienceDirect","title":"Microbial communities of salmon resource subsidies and associated necrophagous consumers during decomposition: Potential of cross-ecosystem microbial dispersal","title-short":"Microbial communities of salmon resource subsidies and associated necrophagous consumers during decomposition","volume":"19","author":[{"family":"Pechal","given":"Jennifer L."},{"family":"Crippen","given":"Tawni L."},{"family":"Cammack","given":"Jonathan A."},{"family":"Tomberlin","given":"Jeffery K."},{"family":"Benbow","given":"M. Eric"}],"issued":{"date-parts":[["2019",6,1]]},"citation-key":"pechal_2019"}},{"id":2533,"uris":["http://zotero.org/users/2189142/items/NSNW6MYV"],"itemData":{"id":2533,"type":"article-journal","abstract":"Carrion decomposition is driven by complex relationships that affect necrobiome community (i.e. all organisms and their genes associated with a dead animal) interactions, such as insect species arrival time to carrion and microbial succession. Little is understood about how microbial communities interact with invertebrates at the aquatic–terrestrial habitat interface. The first objective of the study was to characterize internal microbial communities using high-throughput sequencing of 16S rRNA gene amplicons for aquatic insects (three mayfly species) in streams with salmon carcasses compared with those in streams without salmon carcasses. The second objective was to assess the epinecrotic microbial communities of decomposing salmon carcasses (Oncorhynchus keta) compared with those of terrestrial necrophagous insects (Calliphora terraenovae larvae and adults) associated with the carcasses. There was a significant difference in the internal microbiomes of mayflies collected in salmon carcass-bearing streams and in non-carcass streams, while the developmental stage of blow flies was the governing factor in structuring necrophagous insect internal microbiota. Furthermore, the necrophagous internal microbiome was influenced by the resource on which the larvae developed, and changes in the adult microbiome varied temporally. Overall, these carrion subsidy-driven networks respond to resource pulses with bottom-up effects on consumer microbial structure, as revealed by shifting communities over space and time.","container-title":"Environmental Microbiology","DOI":"https://doi.org/10.1111/1462-2920.13187","ISSN":"1462-2920","issue":"5","language":"en","note":"_eprint: https://onlinelibrary.wiley.com/doi/pdf/10.1111/1462-2920.13187","page":"1511-1522","source":"Wiley Online Library","title":"Microbial ecology of the salmon necrobiome: evidence salmon carrion decomposition influences aquatic and terrestrial insect microbiomes","title-short":"Microbial ecology of the salmon necrobiome","volume":"18","author":[{"family":"Pechal","given":"Jennifer L."},{"family":"Benbow","given":"M. Eric"}],"issued":{"date-parts":[["2016"]]},"citation-key":"pechal_2016"}}],"schema":"https://github.com/citation-style-language/schema/raw/master/csl-citation.json"} </w:instrText>
      </w:r>
      <w:r w:rsidRPr="009867C1">
        <w:fldChar w:fldCharType="separate"/>
      </w:r>
      <w:r w:rsidR="0042141C" w:rsidRPr="009867C1">
        <w:t>(Pechal et al., 2019; Pechal &amp; Benbow, 2016)</w:t>
      </w:r>
      <w:r w:rsidRPr="009867C1">
        <w:fldChar w:fldCharType="end"/>
      </w:r>
      <w:r w:rsidRPr="009867C1">
        <w:t>.</w:t>
      </w:r>
    </w:p>
    <w:p w14:paraId="34944B10" w14:textId="13670A17" w:rsidR="008832BF" w:rsidRPr="009867C1" w:rsidRDefault="008832BF" w:rsidP="008832BF">
      <w:pPr>
        <w:pStyle w:val="Heading4"/>
      </w:pPr>
      <w:bookmarkStart w:id="32" w:name="_Toc99385408"/>
      <w:r w:rsidRPr="009867C1">
        <w:t xml:space="preserve">Effects on </w:t>
      </w:r>
      <w:r w:rsidR="00D93A56">
        <w:t xml:space="preserve">terrestrial </w:t>
      </w:r>
      <w:r w:rsidRPr="009867C1">
        <w:t>plants</w:t>
      </w:r>
      <w:bookmarkEnd w:id="32"/>
    </w:p>
    <w:p w14:paraId="3810846C" w14:textId="6BC8A7D7" w:rsidR="008832BF" w:rsidRPr="009867C1" w:rsidRDefault="008832BF" w:rsidP="008832BF">
      <w:pPr>
        <w:ind w:firstLine="720"/>
      </w:pPr>
      <w:r w:rsidRPr="009867C1">
        <w:t xml:space="preserve">Evidence has also accumulated showing pervasive evidence of MDN uptake by riparian plants. N-isotopes of marine origin were noted in foliage by Bilby </w:t>
      </w:r>
      <w:r w:rsidRPr="009867C1">
        <w:fldChar w:fldCharType="begin"/>
      </w:r>
      <w:r w:rsidR="00AC0205">
        <w:instrText xml:space="preserve"> ADDIN ZOTERO_ITEM CSL_CITATION {"citationID":"SrnE8lTE","properties":{"formattedCitation":"(Bilby et al., 1996)","plainCitation":"(Bilby et al., 1996)","noteIndex":0},"citationItems":[{"id":840,"uris":["http://zotero.org/users/2189142/items/P6T53SH2"],"itemData":{"id":840,"type":"article-journal","container-title":"Canadian Journal of Fisheries and Aquatic Sciences","issue":"1","page":"164–173","source":"Google Scholar","title":"Incorporation of nitrogen and carbon from spawning coho salmon into the trophic system of small streams: evidence from stable isotopes","title-short":"Incorporation of nitrogen and carbon from spawning coho salmon into the trophic system of small streams","volume":"53","author":[{"family":"Bilby","given":"Robert E."},{"family":"Fransen","given":"Brian R."},{"family":"Bisson","given":"Peter A."}],"issued":{"date-parts":[["1996"]]},"citation-key":"bilby_1996"}}],"schema":"https://github.com/citation-style-language/schema/raw/master/csl-citation.json"} </w:instrText>
      </w:r>
      <w:r w:rsidRPr="009867C1">
        <w:fldChar w:fldCharType="separate"/>
      </w:r>
      <w:r w:rsidR="0042141C" w:rsidRPr="009867C1">
        <w:t>(Bilby et al., 1996)</w:t>
      </w:r>
      <w:r w:rsidRPr="009867C1">
        <w:fldChar w:fldCharType="end"/>
      </w:r>
      <w:r w:rsidRPr="009867C1">
        <w:t xml:space="preserve"> and Piorkowski </w:t>
      </w:r>
      <w:r w:rsidRPr="009867C1">
        <w:fldChar w:fldCharType="begin"/>
      </w:r>
      <w:r w:rsidR="00AC0205">
        <w:instrText xml:space="preserve"> ADDIN ZOTERO_ITEM CSL_CITATION {"citationID":"BBbIO8Z1","properties":{"formattedCitation":"(Piorkowski, 1995)","plainCitation":"(Piorkowski, 1995)","noteIndex":0},"citationItems":[{"id":2466,"uris":["http://zotero.org/users/2189142/items/MH8VAVUH"],"itemData":{"id":2466,"type":"thesis","genre":"PhD Thesis","source":"Google Scholar","title":"Ecological effects of spawning salmon on several southcentral Alaskan streams","author":[{"family":"Piorkowski","given":"Robert Joseph"}],"issued":{"date-parts":[["1995"]]},"citation-key":"piorkowski_1995"}}],"schema":"https://github.com/citation-style-language/schema/raw/master/csl-citation.json"} </w:instrText>
      </w:r>
      <w:r w:rsidRPr="009867C1">
        <w:fldChar w:fldCharType="separate"/>
      </w:r>
      <w:r w:rsidR="0042141C" w:rsidRPr="009867C1">
        <w:t>(Piorkowski, 1995)</w:t>
      </w:r>
      <w:r w:rsidRPr="009867C1">
        <w:fldChar w:fldCharType="end"/>
      </w:r>
      <w:r w:rsidRPr="009867C1">
        <w:t xml:space="preserve"> in Alaskan riparian vegetation. </w:t>
      </w:r>
      <w:r w:rsidR="0062036B">
        <w:t>In later studies, t</w:t>
      </w:r>
      <w:r w:rsidRPr="009867C1">
        <w:t xml:space="preserve">hese were found in shrubs and both white and Sitka spruce </w:t>
      </w:r>
      <w:r w:rsidRPr="009867C1">
        <w:fldChar w:fldCharType="begin"/>
      </w:r>
      <w:r w:rsidR="00AC0205">
        <w:instrText xml:space="preserve"> ADDIN ZOTERO_ITEM CSL_CITATION {"citationID":"rIP6QDYT","properties":{"formattedCitation":"(Helfield &amp; Naiman, 2001; Hilderbrand et al., 1999)","plainCitation":"(Helfield &amp; Naiman, 2001; Hilderbrand et al., 1999)","noteIndex":0},"citationItems":[{"id":472,"uris":["http://zotero.org/users/2189142/items/NMVPCV8A"],"itemData":{"id":472,"type":"article-journal","abstract":"Anadromous Pacific salmon (Oncorhynchus spp.) transport marine-derived nitrogen (MDN) to the rivers in which they reproduce. Isotopic analyses indicate that trees and shrubs near spawning streams derive </w:instrText>
      </w:r>
      <w:r w:rsidR="00AC0205">
        <w:rPr>
          <w:rFonts w:ascii="Cambria Math" w:hAnsi="Cambria Math" w:cs="Cambria Math"/>
        </w:rPr>
        <w:instrText>∼</w:instrText>
      </w:r>
      <w:r w:rsidR="00AC0205">
        <w:instrText xml:space="preserve">22–24% of their foliar nitrogen (N) from spawning salmon. As a consequence of this nutrient subsidy, growth rates are significantly increased in Sitka spruce (Picea sitchensis) near spawning streams. As riparian forests affect the quality of instream habitat through shading, sediment and nutrient filtration, and production of large woody debris (LWD), this fertilization process serves not only to enhance riparian production, but may also act as a positive feedback mechanism by which salmon-borne nutrients improve spawning and rearing habitat for subsequent salmon generations and maintain the long-term productivity of river corridors along the Pacific coast of North America.","container-title":"Ecology","DOI":"10.1890/0012-9658(2001)082[2403:EOSDNO]2.0.CO;2","ISSN":"0012-9658","issue":"9","journalAbbreviation":"Ecology","page":"2403-2409","source":"esajournals.org.ezproxy.library.ubc.ca (Atypon)","title":"Effects of salmon-derived nitrogen on riparian forest growth and implications for stream productivity","volume":"82","author":[{"family":"Helfield","given":"James M."},{"family":"Naiman","given":"Robert J."}],"issued":{"date-parts":[["2001",9,1]]},"citation-key":"helfield_2001a"}},{"id":609,"uris":["http://zotero.org/users/2189142/items/N3KW8IHA"],"itemData":{"id":609,"type":"article-journal","abstract":"We quantified the amount, spatial distribution, and importance of salmon (Oncorhynchus spp.)-derived nitrogen (N) by brown bears (Ursus arctos) on the Kenai Peninsula, Alaska. We tested and confirmed the hypothesis that the stable isotope signature (δ15N) of N in foliage of white spruce (Picea glauca) was inversely proportional to the distance from salmon-spawning streams (r=–0.99 and P&lt;0.05 in two separate watersheds). Locations of radio-collared brown bears, relative to their distance from a stream, were highly correlated with δ15N depletion of foliage across the same gradient (r=–0.98 and –0.96 and P&lt;0.05 in the same two separate watersheds). Mean rates of redistribution of salmon-derived N by adult female brown bears were 37.2±2.9 kg/year per bear (range 23.1–56.3), of which 96% (35.7±2.7 kg/year per bear) was excreted in urine, 3% (1.1±0.1 kg/year per bear) was excreted in feces, and &lt;1% (0.3± 0.1 kg/year per bear) was retained in the body. On an area basis, salmon-N redistribution rates were as high as 5.1±0.7 mg/m2 per year per bear within 500 m of the stream but dropped off greatly with increasing distance. We estimated that 15.5–17.8% of the total N in spruce foliage within 500 m of the stream was derived from salmon. Of that, bears had distributed 83–84%. Thus, brown bears can be an important vector of salmon-derived N into riparian ecosystems, but their effects are highly variable spatially and a function of bear density.","container-title":"Oecologia","DOI":"10.1007/s004420050961","ISSN":"0029-8549, 1432-1939","issue":"4","journalAbbreviation":"Oecologia","language":"en","page":"546-550","source":"link.springer.com.ezproxy.library.ubc.ca","title":"Role of brown bears (Ursus arctos) in the flow of marine nitrogen into a terrestrial ecosystem","volume":"121","author":[{"family":"Hilderbrand","given":"G. V."},{"family":"Hanley","given":"Thomas A."},{"family":"Robbins","given":"Charles T."},{"family":"Schwartz","given":"C. C."}],"issued":{"date-parts":[["1999",12,1]]},"citation-key":"hilderbrand_1999"}}],"schema":"https://github.com/citation-style-language/schema/raw/master/csl-citation.json"} </w:instrText>
      </w:r>
      <w:r w:rsidRPr="009867C1">
        <w:fldChar w:fldCharType="separate"/>
      </w:r>
      <w:r w:rsidR="0042141C" w:rsidRPr="009867C1">
        <w:t>(Helfield &amp; Naiman, 2001; Hilderbrand et al., 1999)</w:t>
      </w:r>
      <w:r w:rsidRPr="009867C1">
        <w:fldChar w:fldCharType="end"/>
      </w:r>
      <w:r w:rsidRPr="009867C1">
        <w:t xml:space="preserve">, riparian herbs, shrubs, and trees </w:t>
      </w:r>
      <w:r w:rsidRPr="009867C1">
        <w:fldChar w:fldCharType="begin"/>
      </w:r>
      <w:r w:rsidR="00AC0205">
        <w:instrText xml:space="preserve"> ADDIN ZOTERO_ITEM CSL_CITATION {"citationID":"D8HOQE6V","properties":{"formattedCitation":"(Feddern et al., 2019; Hocking &amp; Reynolds, 2011; Reimchen et al., 2003)","plainCitation":"(Feddern et al., 2019; Hocking &amp; Reynolds, 2011; Reimchen et al., 2003)","noteIndex":0},"citationItems":[{"id":1688,"uris":["http://zotero.org/users/2189142/items/YIC4UT3V"],"itemData":{"id":1688,"type":"article-journal","abstract":"Pacific salmon acquire most of their biomass in the ocean before returning to spawn and die in coastal streams and lakes, thus providing subsidies of marine-derived nitrogen (MDN) to freshwater and terrestrial ecosystems. Recent declines in salmon abundance have raised questions of whether managers should mitigate for losses of salmon MDN subsidies. To test the long-term importance of salmon subsidies to riparian ecosystems, we measured soil nitrogen cycling in response to a 20-yr manipulation where salmon carcasses were systematically removed from one bank and deposited on the opposite bank along a 2-km stream in southwestern Alaska. Soil samples were taken at different distances from the stream bank along nine paired transects and measured for organic and inorganic nitrogen concentrations, and nitrogen transformation rates. Marine-derived nitrogen was measured using 15N/14N for bulk soils, and NH4+ and NO3− soil pools. Stable isotope analyses confirmed 15N/14N was elevated on the salmon-enhanced bank compared to the salmon-depleted bank. However, 15N/14N values of plant-available inorganic nitrogen exceeded the 15N/14N of salmon inputs, highlighting nitrogen isotope fractionation in soils that raises significant methodological issues with standard MDN assessments in riparian systems. Surprisingly, despite 20 yr of salmon supplementation, the presence of MDN did not cause a long-term increase in soil nitrogen availability. This finding indicates the importance of MDN to ecosystem nitrogen biogeochemistry, and riparian vegetation may be overestimated for some systems. Given that essential nutrients can also be pollutants, we urge more critical analyses of the role of MDN to inform compensatory mitigation programs targeting salmon nutrient enhancement.","container-title":"Ecosphere","DOI":"10.1002/ecs2.2958","ISSN":"2150-8925","issue":"11","language":"en","page":"e02958","source":"Wiley Online Library","title":"Riparian soil nitrogen cycling and isotopic enrichment in response to a long-term salmon carcass manipulation experiment","volume":"10","author":[{"family":"Feddern","given":"Megan L."},{"family":"Holtgrieve","given":"Gordon W."},{"family":"Perakis","given":"Steven S."},{"family":"Hart","given":"Julia"},{"family":"Ro","given":"Hyejoo"},{"family":"Quinn","given":"Thomas P."}],"issued":{"date-parts":[["2019"]]},"citation-key":"feddern_2019"}},{"id":550,"uris":["http://zotero.org/users/2189142/items/JR362H46"],"itemData":{"id":550,"type":"article-journal","abstract":"The study of natural gradients in nutrient subsidies between ecosystems allows for predictions of how changes in one system can affect biodiversity in another. We performed a large-scale empirical test of the role of Pacific salmon (Oncorhynchus spp.) in structuring riparian plant communities. A comparison of 50 watersheds in the remote Great Bear Rainforest of British Columbia’s central coast in Canada shows that salmon influence nutrient loading to plants, shifting plant communities toward nutrient-rich species, which in turn decreases plant diversity. These effects are mediated by interactions between salmon density and the physical characteristics of watersheds. Predicting how salmon affect terrestrial ecosystems is central to conservation plans that aim to better integrate ecosystem values into resource management.","container-title":"Science","DOI":"10.1126/science.1201079","ISSN":"0036-8075, 1095-9203","issue":"6024","journalAbbreviation":"Science","language":"en","note":"PMID: 21442794","page":"1609-1612","source":"www.sciencemag.org.ezproxy.library.ubc.ca","title":"Impacts of Salmon on Riparian Plant Diversity","volume":"331","author":[{"family":"Hocking","given":"Morgan D."},{"family":"Reynolds","given":"John D."}],"issued":{"date-parts":[["2011",3,25]]},"citation-key":"hocking_2011"}},{"id":224,"uris":["http://zotero.org/users/2189142/items/JAJXMVKC"],"itemData":{"id":224,"type":"paper-conference","container-title":"American Fisheries Society Symposium","page":"59–70","publisher":"American Fisheries Society","source":"Google Scholar","title":"Isotopic evidence for enrichment of salmon-derived nutrients in vegetation, soil, and insects in riparian zones in coastal British Columbia","author":[{"family":"Reimchen","given":"T. E."},{"family":"Mathewson","given":"D. D."},{"family":"Hocking","given":"M. D."},{"family":"Moran","given":"J."},{"family":"Harris","given":"D."}],"issued":{"date-parts":[["2003"]]},"citation-key":"reimchen_2003"}}],"schema":"https://github.com/citation-style-language/schema/raw/master/csl-citation.json"} </w:instrText>
      </w:r>
      <w:r w:rsidRPr="009867C1">
        <w:fldChar w:fldCharType="separate"/>
      </w:r>
      <w:r w:rsidR="0042141C" w:rsidRPr="009867C1">
        <w:t>(Feddern et al., 2019; Hocking &amp; Reynolds, 2011; Reimchen et al., 2003)</w:t>
      </w:r>
      <w:r w:rsidRPr="009867C1">
        <w:fldChar w:fldCharType="end"/>
      </w:r>
      <w:r w:rsidRPr="009867C1">
        <w:t xml:space="preserve">, and horsetail </w:t>
      </w:r>
      <w:r w:rsidRPr="009867C1">
        <w:fldChar w:fldCharType="begin"/>
      </w:r>
      <w:r w:rsidR="00AC0205">
        <w:instrText xml:space="preserve"> ADDIN ZOTERO_ITEM CSL_CITATION {"citationID":"CU3jCyq0","properties":{"formattedCitation":"(Rinella et al., 2013)","plainCitation":"(Rinella et al., 2013)","noteIndex":0},"citationItems":[{"id":794,"uris":["http://zotero.org/users/2189142/items/BUDZ3NPD"],"itemData":{"id":794,"type":"article-journal","abstract":"Spawning salmon deliver annual pulses of marine-derived nutrients (MDN) to riverine ecosystems around the Pacific Rim, leading to increased growth and condition in aquatic and riparian biota. The influence of pulsed resources may last for extended periods of time when recipient food webs have effective storage mechanisms, yet few studies have tracked the seasonal persistence of MDN. With this as our goal, we sampled stream water chemistry and selected stream and riparian biota spring through fall at 18 stations (in six watersheds) that vary widely in spawner abundance and at nine stations (in three watersheds) where salmon runs were blocked by waterfalls. We then developed regression models that related dissolved nutrient concentrations and biochemical measures of MDN assimilation to localized spawner density across these 27 stations. Stream water ammonium-N and orthophosphate-P concentrations increased with spawner density during the summer salmon runs, but responses did not persist into the following fall. The effect of spawner density on δ15N in generalist macroinvertebrates and three independent MDN metrics (δ15N, δ34S, and ω3:ω6 fatty acids) in juvenile Dolly Varden (Salvelinus malma) was positive and similar during each season, indicating that MDN levels in biota increased with spawner abundance and were maintained for at least nine months after inputs. Delta 15N in a riparian plant, horsetail (Equisetum fluviatile), and scraper macroinvertebrates did not vary with spawner density in any season, suggesting a lack of MDN assimilation by these lower trophic levels. Our results demonstrate the ready assimilation of MDN by generalist consumers and the persistence of this pulsed subsidy in these organisms through the winter and into the next growing season.","container-title":"Ecosphere","DOI":"10.1890/ES13-00112.1","ISSN":"2150-8925","issue":"10","language":"en","page":"1-18","source":"Wiley Online Library","title":"Seasonal persistence of marine-derived nutrients in south-central Alaskan salmon streams","volume":"4","author":[{"family":"Rinella","given":"Daniel J."},{"family":"Wipfli","given":"Mark S."},{"family":"Walker","given":"Coowe M."},{"family":"Stricker","given":"Craig A."},{"family":"Heintz","given":"Ron A."}],"issued":{"date-parts":[["2013",10,1]]},"citation-key":"rinella_2013"}}],"schema":"https://github.com/citation-style-language/schema/raw/master/csl-citation.json"} </w:instrText>
      </w:r>
      <w:r w:rsidRPr="009867C1">
        <w:fldChar w:fldCharType="separate"/>
      </w:r>
      <w:r w:rsidR="0042141C" w:rsidRPr="009867C1">
        <w:t>(Rinella et al., 2013)</w:t>
      </w:r>
      <w:r w:rsidRPr="009867C1">
        <w:fldChar w:fldCharType="end"/>
      </w:r>
      <w:r w:rsidRPr="009867C1">
        <w:t>. An above/below waterfall study on the central coast also showed increased δ</w:t>
      </w:r>
      <w:r w:rsidRPr="009867C1">
        <w:rPr>
          <w:vertAlign w:val="superscript"/>
        </w:rPr>
        <w:t>15</w:t>
      </w:r>
      <w:r w:rsidRPr="009867C1">
        <w:t>N</w:t>
      </w:r>
      <w:r w:rsidR="0062036B">
        <w:t xml:space="preserve"> and</w:t>
      </w:r>
      <w:r w:rsidRPr="009867C1">
        <w:t xml:space="preserve"> %N in mosses</w:t>
      </w:r>
      <w:r w:rsidR="0062036B">
        <w:t xml:space="preserve">, </w:t>
      </w:r>
      <w:r w:rsidRPr="009867C1">
        <w:t>liverworts</w:t>
      </w:r>
      <w:r w:rsidR="0062036B">
        <w:t>, and vascular</w:t>
      </w:r>
      <w:r w:rsidR="0062036B" w:rsidRPr="009867C1">
        <w:t xml:space="preserve"> plant</w:t>
      </w:r>
      <w:r w:rsidR="0062036B">
        <w:t>s</w:t>
      </w:r>
      <w:r w:rsidR="0062036B" w:rsidRPr="009867C1">
        <w:t xml:space="preserve"> </w:t>
      </w:r>
      <w:r w:rsidRPr="009867C1">
        <w:t xml:space="preserve">below falls, as well as near carcass microsites and bear trails </w:t>
      </w:r>
      <w:r w:rsidRPr="009867C1">
        <w:fldChar w:fldCharType="begin"/>
      </w:r>
      <w:r w:rsidR="00AC0205">
        <w:instrText xml:space="preserve"> ADDIN ZOTERO_ITEM CSL_CITATION {"citationID":"VuoK25Mx","properties":{"formattedCitation":"(C. E. Wilkinson et al., 2005)","plainCitation":"(C. E. Wilkinson et al., 2005)","noteIndex":0},"citationItems":[{"id":191,"uris":["http://zotero.org/users/2189142/items/DAPK9QQH"],"itemData":{"id":191,"type":"article-journal","abstract":"Throughout forested watersheds bordering the North Pacific, anadromous salmon (Oncorhynchus spp.) are transferred into coastal forests by numerous predators and scavengers with remnants providing an important nutrient subsidy to riparian zones. The contribution of these nutrients to mosses and liverworts, which are the dominant ground cover of coastal forests, has not been investigated. We examine here δ15N isotope signatures and foliar percent N of eight moss and liverwort species, as well as moss and liverwort community structure, in multiple habitat blocks that vary in access to salmon nutrients from two watersheds on the central coast of British Columbia. For the most common moss Rhytidiadelphus loreus, we also examine δ15N values and foliar percent N among salmon carcass micro-sites and along wildlife trails. Overall, δ15N signatures ranged from 2‰ to 7‰ higher below the falls near the salmon stream than above the small falls that are impassable to salmon, or at the adjacent control watershed that had no salmon. Among micro-sites, δ15N and %N values were highest near bony carcass remnants from transfer during previous years and high adjacent to wildlife trails indicating spatial heterogeneity in the salmon nutrient pools of these forests. Species richness and prevalence of nitrogen-rich soil indicators were also highest in forests adjacent to the salmon stream. These data suggest an important contribution of salmon-derived nutrients to the non-vascular plants of the riparian zone of old-growth forests throughout the Pacific Rim.","container-title":"Oikos","DOI":"10.1111/j.0030-1299.2005.13277.x","ISSN":"1600-0706","issue":"1","journalAbbreviation":"Oikos","language":"en","page":"85-98","source":"Wiley Online Library","title":"Uptake of salmon-derived nitrogen by mosses and liverworts in coastal British Columbia","volume":"108","author":[{"family":"Wilkinson","given":"C. E."},{"family":"Hocking","given":"M. D."},{"family":"Reimchen","given":"T.E."}],"issued":{"date-parts":[["2005",1,1]]},"citation-key":"wilkinson_2005"}}],"schema":"https://github.com/citation-style-language/schema/raw/master/csl-citation.json"} </w:instrText>
      </w:r>
      <w:r w:rsidRPr="009867C1">
        <w:fldChar w:fldCharType="separate"/>
      </w:r>
      <w:r w:rsidR="0042141C" w:rsidRPr="009867C1">
        <w:t>(C. E. Wilkinson et al., 2005)</w:t>
      </w:r>
      <w:r w:rsidRPr="009867C1">
        <w:fldChar w:fldCharType="end"/>
      </w:r>
      <w:r w:rsidRPr="009867C1">
        <w:t xml:space="preserve">. In a carcass addition experiment, </w:t>
      </w:r>
      <w:r w:rsidR="0062036B">
        <w:t>nitrogen was</w:t>
      </w:r>
      <w:r w:rsidRPr="009867C1">
        <w:t xml:space="preserve"> shown to be taken up by plants over the fall, winter, and following spring as evidenced by increased foliar %N and δ</w:t>
      </w:r>
      <w:r w:rsidRPr="009867C1">
        <w:rPr>
          <w:vertAlign w:val="superscript"/>
        </w:rPr>
        <w:t>15</w:t>
      </w:r>
      <w:r w:rsidRPr="009867C1">
        <w:t>N</w:t>
      </w:r>
      <w:r w:rsidR="0062036B">
        <w:t xml:space="preserve"> after</w:t>
      </w:r>
      <w:r w:rsidRPr="009867C1">
        <w:t xml:space="preserve"> eight months </w:t>
      </w:r>
      <w:r w:rsidRPr="009867C1">
        <w:fldChar w:fldCharType="begin"/>
      </w:r>
      <w:r w:rsidR="00AC0205">
        <w:instrText xml:space="preserve"> ADDIN ZOTERO_ITEM CSL_CITATION {"citationID":"SWjo4cVT","properties":{"formattedCitation":"(Hocking &amp; Reynolds, 2012)","plainCitation":"(Hocking &amp; Reynolds, 2012)","noteIndex":0},"citationItems":[{"id":515,"uris":["http://zotero.org/users/2189142/items/8AG4QIVC"],"itemData":{"id":515,"type":"article-journal","abstract":"Bears (Ursus spp.) and other predators can capture and transport large numbers of Pacific salmon (Oncorhynchus spp.) to riparian areas beside small coastal streams, a process that may affect site productivity and local plant communities. We used a novel experimental manipulation of salmon carcasses to analyze understory plant uptake of salmon-derived N. A hierarchical before–after, control–impact design was used with the addition of chum salmon (Oncorhynchus keta (Walbaum in Artedi, 1792)) carcasses to forest sites along 11 streams on the central coast of British Columbia, Canada. Eight months after carcass placement, the foliar %N and δ15N in three herbaceous and one moss species had increased by an average of 14%–60% (%N) and 0.5–3.3‰ (δ15N) at treatment carcass sites versus control sites. Treatment effects for %N were typically greater than for δ15N. Nitrogen isotope signatures at carcass sites were highly variable (δ15N range = 30.1‰) and were mediated by plant species, stream salmon density, carcass ..., Les ours (Ursus spp.) et autres prédateurs peuvent capturer et transporter un grand nombre de saumons du Pacifique (Oncorhynchus spp.) dans les zones riveraines le long de cours d’eau côtiers, un processus qui pourrait influencer la productivité du site et les communautés végétales locales. Nous avons utilisé une nouvelle manipulation expérimentale des carcasses de saumon pour analyser le prélèvement de N provenant du saumon par les plantes du sous-bois. Un plan expérimental hiérarchique avant–après avec témoin a été utilisé avec l’ajout de carcasses de saumon kéta (Oncorhynchus keta (Walbaum in Artedi, 1792)) dans des stations forestières le long de 11 cours d’eau sur la côte centrale de la Colombie-Britannique, au Canada. Huit mois après avoir placé les carcasses, %N et δ15N dans les feuilles de trois espèces d’herbacées et une espèce de mousse avaient augmenté en moyenne de 14 % – 60 % (%N) et de 0,5 ‰ – 3,3 ‰ (δ15N) dans les stations traitées avec des carcasses versus les stations témoins. Les effets ...","container-title":"Canadian Journal of Forest Research","DOI":"10.1139/x2012-045","ISSN":"0045-5067","issue":"5","journalAbbreviation":"Can. J. For. Res.","page":"908-917","source":"NRC Research Press","title":"Nitrogen uptake by plants subsidized by Pacific salmon carcasses: a hierarchical experiment","title-short":"Nitrogen uptake by plants subsidized by Pacific salmon carcasses","volume":"42","author":[{"family":"Hocking","given":"Morgan D."},{"family":"Reynolds","given":"John D."}],"issued":{"date-parts":[["2012",4,11]]},"citation-key":"hocking_2012"}}],"schema":"https://github.com/citation-style-language/schema/raw/master/csl-citation.json"} </w:instrText>
      </w:r>
      <w:r w:rsidRPr="009867C1">
        <w:fldChar w:fldCharType="separate"/>
      </w:r>
      <w:r w:rsidR="0042141C" w:rsidRPr="009867C1">
        <w:t>(Hocking &amp; Reynolds, 2012)</w:t>
      </w:r>
      <w:r w:rsidRPr="009867C1">
        <w:fldChar w:fldCharType="end"/>
      </w:r>
      <w:r w:rsidRPr="009867C1">
        <w:t xml:space="preserve">. These and other studies support a widespread </w:t>
      </w:r>
      <w:r w:rsidRPr="009867C1">
        <w:rPr>
          <w:vertAlign w:val="superscript"/>
        </w:rPr>
        <w:t>15</w:t>
      </w:r>
      <w:r w:rsidRPr="009867C1">
        <w:t>N signal in vegetation that is consistent with MDN uptake.</w:t>
      </w:r>
    </w:p>
    <w:p w14:paraId="6CB4F461" w14:textId="1785DA98" w:rsidR="008832BF" w:rsidRPr="009867C1" w:rsidRDefault="008832BF" w:rsidP="008832BF">
      <w:pPr>
        <w:ind w:firstLine="720"/>
      </w:pPr>
      <w:r w:rsidRPr="009867C1">
        <w:t xml:space="preserve">Ecological effects of MDN on plants include community shifts to nitrophyllic indicator plant assemblages </w:t>
      </w:r>
      <w:r w:rsidRPr="009867C1">
        <w:fldChar w:fldCharType="begin"/>
      </w:r>
      <w:r w:rsidR="00AC0205">
        <w:instrText xml:space="preserve"> ADDIN ZOTERO_ITEM CSL_CITATION {"citationID":"92GmigZU","properties":{"formattedCitation":"(Hocking &amp; Reynolds, 2011; Mathewson et al., 2003; C. E. Wilkinson et al., 2005)","plainCitation":"(Hocking &amp; Reynolds, 2011; Mathewson et al., 2003; C. E. Wilkinson et al., 2005)","noteIndex":0},"citationItems":[{"id":550,"uris":["http://zotero.org/users/2189142/items/JR362H46"],"itemData":{"id":550,"type":"article-journal","abstract":"The study of natural gradients in nutrient subsidies between ecosystems allows for predictions of how changes in one system can affect biodiversity in another. We performed a large-scale empirical test of the role of Pacific salmon (Oncorhynchus spp.) in structuring riparian plant communities. A comparison of 50 watersheds in the remote Great Bear Rainforest of British Columbia’s central coast in Canada shows that salmon influence nutrient loading to plants, shifting plant communities toward nutrient-rich species, which in turn decreases plant diversity. These effects are mediated by interactions between salmon density and the physical characteristics of watersheds. Predicting how salmon affect terrestrial ecosystems is central to conservation plans that aim to better integrate ecosystem values into resource management.","container-title":"Science","DOI":"10.1126/science.1201079","ISSN":"0036-8075, 1095-9203","issue":"6024","journalAbbreviation":"Science","language":"en","note":"PMID: 21442794","page":"1609-1612","source":"www.sciencemag.org.ezproxy.library.ubc.ca","title":"Impacts of Salmon on Riparian Plant Diversity","volume":"331","author":[{"family":"Hocking","given":"Morgan D."},{"family":"Reynolds","given":"John D."}],"issued":{"date-parts":[["2011",3,25]]},"citation-key":"hocking_2011"}},{"id":1025,"uris":["http://zotero.org/users/2189142/items/BXEZ2MWG"],"itemData":{"id":1025,"type":"article-journal","abstract":"Background Recent studies of anadromous salmon (Oncorhynchus spp.) on the Pacific Coast of North America indicate an important and previously unrecognized role of salmonid nutrients to terrestrial biota. However, the extent of this uptake by primary producers and consumers and the influences on community structure remain poorly described. We examine here the contribution of salmon nutrients to multiple taxa of riparian vegetation (Blechnum spicant, Menziesii ferruginea, Oplopanax horridus, Rubus spectabilis, Vaccinium alaskaense, V. parvifolium, Tsuga heterophylla) and measure foliar δ15N, total %N and plant community structure at two geographically separated watersheds in coastal British Columbia. To reduce potentially confounding effects of precipitation, substrate and other abiotic variables, we made comparisons across a sharp ecological boundary of salmon density that resulted from a waterfall barrier to salmon migration. Results δ15N and %N in foliage, and %cover of soil nitrogen indicators differed across the waterfall barrier to salmon at each watershed. δ15N values were enriched by 1.4‰ to 9.0‰ below the falls depending on species and watershed, providing a relative contribution of marine-derived nitrogen (MDN) to vegetation of 10% to 60%. %N in foliar tissues was slightly higher below the falls, with the majority of variance occurring between vegetation species. Community structure also differed with higher incidence of nitrogen-rich soil indicator species below the waterfalls. Conclusions Measures of δ15N, %N and vegetation cover indicate a consistent difference in the riparian community across a sharp ecological boundary of salmon density. The additional N source that salmon provide to nitrogen-limited habitats appears to have significant impacts on the N budget of riparian vegetation, which may increase primary productivity, and result in community shifts between sites with and without salmon access. This, in turn, may have cascading ecosystem effects in forests adjacent to salmon streams.","container-title":"BMC Ecology","DOI":"10.1186/1472-6785-3-4","ISSN":"1472-6785","issue":"1","journalAbbreviation":"BMC Ecol","language":"en","page":"1-11","source":"link.springer.com.ezproxy.library.ubc.ca","title":"Nitrogen uptake in riparian plant communities across a sharp ecological boundary of salmon density","volume":"3","author":[{"family":"Mathewson","given":"D. D."},{"family":"Hocking","given":"M. D."},{"family":"Reimchen","given":"T. E."}],"issued":{"date-parts":[["2003",5,3]]},"citation-key":"mathewson_2003"}},{"id":191,"uris":["http://zotero.org/users/2189142/items/DAPK9QQH"],"itemData":{"id":191,"type":"article-journal","abstract":"Throughout forested watersheds bordering the North Pacific, anadromous salmon (Oncorhynchus spp.) are transferred into coastal forests by numerous predators and scavengers with remnants providing an important nutrient subsidy to riparian zones. The contribution of these nutrients to mosses and liverworts, which are the dominant ground cover of coastal forests, has not been investigated. We examine here δ15N isotope signatures and foliar percent N of eight moss and liverwort species, as well as moss and liverwort community structure, in multiple habitat blocks that vary in access to salmon nutrients from two watersheds on the central coast of British Columbia. For the most common moss Rhytidiadelphus loreus, we also examine δ15N values and foliar percent N among salmon carcass micro-sites and along wildlife trails. Overall, δ15N signatures ranged from 2‰ to 7‰ higher below the falls near the salmon stream than above the small falls that are impassable to salmon, or at the adjacent control watershed that had no salmon. Among micro-sites, δ15N and %N values were highest near bony carcass remnants from transfer during previous years and high adjacent to wildlife trails indicating spatial heterogeneity in the salmon nutrient pools of these forests. Species richness and prevalence of nitrogen-rich soil indicators were also highest in forests adjacent to the salmon stream. These data suggest an important contribution of salmon-derived nutrients to the non-vascular plants of the riparian zone of old-growth forests throughout the Pacific Rim.","container-title":"Oikos","DOI":"10.1111/j.0030-1299.2005.13277.x","ISSN":"1600-0706","issue":"1","journalAbbreviation":"Oikos","language":"en","page":"85-98","source":"Wiley Online Library","title":"Uptake of salmon-derived nitrogen by mosses and liverworts in coastal British Columbia","volume":"108","author":[{"family":"Wilkinson","given":"C. E."},{"family":"Hocking","given":"M. D."},{"family":"Reimchen","given":"T.E."}],"issued":{"date-parts":[["2005",1,1]]},"citation-key":"wilkinson_2005"}}],"schema":"https://github.com/citation-style-language/schema/raw/master/csl-citation.json"} </w:instrText>
      </w:r>
      <w:r w:rsidRPr="009867C1">
        <w:fldChar w:fldCharType="separate"/>
      </w:r>
      <w:r w:rsidR="0042141C" w:rsidRPr="009867C1">
        <w:t>(Hocking &amp; Reynolds, 2011; Mathewson et al., 2003; C. E. Wilkinson et al., 2005)</w:t>
      </w:r>
      <w:r w:rsidRPr="009867C1">
        <w:fldChar w:fldCharType="end"/>
      </w:r>
      <w:r w:rsidRPr="009867C1">
        <w:t xml:space="preserve">, and lower plant diversity and larger phylogenetic dispersion within communities </w:t>
      </w:r>
      <w:r w:rsidRPr="009867C1">
        <w:fldChar w:fldCharType="begin"/>
      </w:r>
      <w:r w:rsidR="00AC0205">
        <w:instrText xml:space="preserve"> ADDIN ZOTERO_ITEM CSL_CITATION {"citationID":"7BgLqdWk","properties":{"formattedCitation":"(Hocking &amp; Reynolds, 2011; Hurteau et al., 2016)","plainCitation":"(Hocking &amp; Reynolds, 2011; Hurteau et al., 2016)","noteIndex":0},"citationItems":[{"id":550,"uris":["http://zotero.org/users/2189142/items/JR362H46"],"itemData":{"id":550,"type":"article-journal","abstract":"The study of natural gradients in nutrient subsidies between ecosystems allows for predictions of how changes in one system can affect biodiversity in another. We performed a large-scale empirical test of the role of Pacific salmon (Oncorhynchus spp.) in structuring riparian plant communities. A comparison of 50 watersheds in the remote Great Bear Rainforest of British Columbia’s central coast in Canada shows that salmon influence nutrient loading to plants, shifting plant communities toward nutrient-rich species, which in turn decreases plant diversity. These effects are mediated by interactions between salmon density and the physical characteristics of watersheds. Predicting how salmon affect terrestrial ecosystems is central to conservation plans that aim to better integrate ecosystem values into resource management.","container-title":"Science","DOI":"10.1126/science.1201079","ISSN":"0036-8075, 1095-9203","issue":"6024","journalAbbreviation":"Science","language":"en","note":"PMID: 21442794","page":"1609-1612","source":"www.sciencemag.org.ezproxy.library.ubc.ca","title":"Impacts of Salmon on Riparian Plant Diversity","volume":"331","author":[{"family":"Hocking","given":"Morgan D."},{"family":"Reynolds","given":"John D."}],"issued":{"date-parts":[["2011",3,25]]},"citation-key":"hocking_2011"}},{"id":798,"uris":["http://zotero.org/users/2189142/items/PERQ85X5"],"itemData":{"id":798,"type":"article-journal","abstract":"A signature of nonrandom phylogenetic community structure has been interpreted as indicating community assembly processes. Significant clustering within the phylogenetic structure of a community can be caused by habitat filtering due to low nutrient availability. Nutrient limitation in temperate Pacific coastal rainforests can be alleviated to some extent by marine nutrient subsidies introduced by migrating salmon, which leave a quantitative signature on the makeup of plant communities near spawning streams. Thus, nutrient-mediated habitat filtering could be reduced by salmon nutrients. Here, we ask how salmon abundance affects the phylogenetic structure of riparian flowering plant assemblages across 50 watersheds in the Great Bear Rainforest of British Columbia, Canada. Based on a regional pool of 60 plant species, we found that assemblages become more phylogenetically dispersed and species poor adjacent to streams with higher salmon spawning density. In contrast, increased phylogenetic clumping and species richness was seen in sites with low salmon density, with steeper slopes, further from the stream edge, and within smaller watersheds. These observations are all consistent with abiotic habitat filtering and biotic competitive exclusion acting together across local and landscape-scale gradients in nutrient availability to structure assembly of riparian flowering plants. In this case, rich salmon nutrients appear to release riparian flowering-plant assemblages from the confines of a low-nutrient habitat filter that drives phylogenetic clustering.","container-title":"Ecology","DOI":"10.1890/15-0379.1","ISSN":"1939-9170","issue":"2","journalAbbreviation":"Ecology","language":"en","page":"450-460","source":"Wiley Online Library","title":"Salmon nutrients are associated with the phylogenetic dispersion of riparian flowering-plant assemblages","volume":"97","author":[{"family":"Hurteau","given":"Leslie A."},{"family":"Mooers","given":"Arne Ø."},{"family":"Reynolds","given":"John D."},{"family":"Hocking","given":"Morgan D."}],"issued":{"date-parts":[["2016",2,1]]},"citation-key":"hurteau_2016"}}],"schema":"https://github.com/citation-style-language/schema/raw/master/csl-citation.json"} </w:instrText>
      </w:r>
      <w:r w:rsidRPr="009867C1">
        <w:fldChar w:fldCharType="separate"/>
      </w:r>
      <w:r w:rsidR="0042141C" w:rsidRPr="009867C1">
        <w:t>(Hocking &amp; Reynolds, 2011; Hurteau et al., 2016)</w:t>
      </w:r>
      <w:r w:rsidRPr="009867C1">
        <w:fldChar w:fldCharType="end"/>
      </w:r>
      <w:r w:rsidRPr="009867C1">
        <w:t xml:space="preserve">. MDN also </w:t>
      </w:r>
      <w:r w:rsidR="0062036B">
        <w:t>affect</w:t>
      </w:r>
      <w:r w:rsidRPr="009867C1">
        <w:t xml:space="preserve"> plant phenology, such that flowering plants time their blooming to coincide with the proliferation of flies that both serve as pollinators and feed on salmon </w:t>
      </w:r>
      <w:r w:rsidRPr="009867C1">
        <w:fldChar w:fldCharType="begin"/>
      </w:r>
      <w:r w:rsidR="00AC0205">
        <w:instrText xml:space="preserve"> ADDIN ZOTERO_ITEM CSL_CITATION {"citationID":"FiZMFZss","properties":{"formattedCitation":"(Lisi &amp; Schindler, 2011)","plainCitation":"(Lisi &amp; Schindler, 2011)","noteIndex":0},"citationItems":[{"id":2247,"uris":["http://zotero.org/users/2189142/items/33TWS6HT"],"itemData":{"id":2247,"type":"article-journal","abstract":"Migratory animals are well-recognized for transporting energy and nutrients across habitat boundaries as resource subsidies but less is known about the secondary effects of these subsidies in supporting biodiversity in recipient ecosystems. In southwestern Alaska, fly-pollinated plants in the carrot family (Apiaceae) flower during the annual arrival of semelparous Pacific salmon to their natal streams to spawn. Blowflies (Calliphoridae) are an important consumer of salmon carcasses as larvae and pollinate Apiaceae as adults. Stable isotope analyses indicate that adult blowflies received the majority (85%) of their carbon and nitrogen from salmon carcasses and the remainder from riparian plants. A large terrestrial signature was passed maternally to blowfly eggs but quickly replaced by marine-derived resources as eggs developed into larvae on salmon carcasses. We also monitored the flowering phenology of kneeling Angelica (Angelica genuflexa) across salmon bearing streams (n = 20) that differ in the timing of salmon spawning. We found that salmon spawning date explained a substantial amount of the observed seasonal variation in peak flowering dates among streams and, when combined with longitude, explained 88% of the variation in seasonal phenology of Angelica among streams. By comparison, distance from the ocean, stream temperature, slope, aspect, and elevation in the riparian area had no relationship with Angelica bloom date. Together, these results suggest that spatial variation in salmon spawning timing is transmitted via the phenology of salmon-dependent consumers that affect the bloom timing of a common riparian plant.","container-title":"Ecosphere","DOI":"https://doi.org/10.1890/ES11-00173.1","ISSN":"2150-8925","issue":"9","language":"en","note":"_eprint: https://onlinelibrary.wiley.com/doi/pdf/10.1890/ES11-00173.1","page":"art101","source":"Wiley Online Library","title":"Spatial variation in timing of marine subsidies influences riparian phenology through a plant-pollinator mutualism","volume":"2","author":[{"family":"Lisi","given":"Peter J."},{"family":"Schindler","given":"Daniel E."}],"issued":{"date-parts":[["2011"]]},"citation-key":"lisi_2011"}}],"schema":"https://github.com/citation-style-language/schema/raw/master/csl-citation.json"} </w:instrText>
      </w:r>
      <w:r w:rsidRPr="009867C1">
        <w:fldChar w:fldCharType="separate"/>
      </w:r>
      <w:r w:rsidR="0042141C" w:rsidRPr="009867C1">
        <w:t>(Lisi &amp; Schindler, 2011)</w:t>
      </w:r>
      <w:r w:rsidRPr="009867C1">
        <w:fldChar w:fldCharType="end"/>
      </w:r>
      <w:r w:rsidRPr="009867C1">
        <w:t xml:space="preserve">. Physiological effects include decreased foliar C:N ratios, usually driven by increases in N content </w:t>
      </w:r>
      <w:r w:rsidRPr="009867C1">
        <w:fldChar w:fldCharType="begin"/>
      </w:r>
      <w:r w:rsidR="00AC0205">
        <w:instrText xml:space="preserve"> ADDIN ZOTERO_ITEM CSL_CITATION {"citationID":"2sJ85taR","properties":{"formattedCitation":"(Hocking &amp; Reynolds, 2012)","plainCitation":"(Hocking &amp; Reynolds, 2012)","noteIndex":0},"citationItems":[{"id":515,"uris":["http://zotero.org/users/2189142/items/8AG4QIVC"],"itemData":{"id":515,"type":"article-journal","abstract":"Bears (Ursus spp.) and other predators can capture and transport large numbers of Pacific salmon (Oncorhynchus spp.) to riparian areas beside small coastal streams, a process that may affect site productivity and local plant communities. We used a novel experimental manipulation of salmon carcasses to analyze understory plant uptake of salmon-derived N. A hierarchical before–after, control–impact design was used with the addition of chum salmon (Oncorhynchus keta (Walbaum in Artedi, 1792)) carcasses to forest sites along 11 streams on the central coast of British Columbia, Canada. Eight months after carcass placement, the foliar %N and δ15N in three herbaceous and one moss species had increased by an average of 14%–60% (%N) and 0.5–3.3‰ (δ15N) at treatment carcass sites versus control sites. Treatment effects for %N were typically greater than for δ15N. Nitrogen isotope signatures at carcass sites were highly variable (δ15N range = 30.1‰) and were mediated by plant species, stream salmon density, carcass ..., Les ours (Ursus spp.) et autres prédateurs peuvent capturer et transporter un grand nombre de saumons du Pacifique (Oncorhynchus spp.) dans les zones riveraines le long de cours d’eau côtiers, un processus qui pourrait influencer la productivité du site et les communautés végétales locales. Nous avons utilisé une nouvelle manipulation expérimentale des carcasses de saumon pour analyser le prélèvement de N provenant du saumon par les plantes du sous-bois. Un plan expérimental hiérarchique avant–après avec témoin a été utilisé avec l’ajout de carcasses de saumon kéta (Oncorhynchus keta (Walbaum in Artedi, 1792)) dans des stations forestières le long de 11 cours d’eau sur la côte centrale de la Colombie-Britannique, au Canada. Huit mois après avoir placé les carcasses, %N et δ15N dans les feuilles de trois espèces d’herbacées et une espèce de mousse avaient augmenté en moyenne de 14 % – 60 % (%N) et de 0,5 ‰ – 3,3 ‰ (δ15N) dans les stations traitées avec des carcasses versus les stations témoins. Les effets ...","container-title":"Canadian Journal of Forest Research","DOI":"10.1139/x2012-045","ISSN":"0045-5067","issue":"5","journalAbbreviation":"Can. J. For. Res.","page":"908-917","source":"NRC Research Press","title":"Nitrogen uptake by plants subsidized by Pacific salmon carcasses: a hierarchical experiment","title-short":"Nitrogen uptake by plants subsidized by Pacific salmon carcasses","volume":"42","author":[{"family":"Hocking","given":"Morgan D."},{"family":"Reynolds","given":"John D."}],"issued":{"date-parts":[["2012",4,11]]},"citation-key":"hocking_2012"}}],"schema":"https://github.com/citation-style-language/schema/raw/master/csl-citation.json"} </w:instrText>
      </w:r>
      <w:r w:rsidRPr="009867C1">
        <w:fldChar w:fldCharType="separate"/>
      </w:r>
      <w:r w:rsidR="0042141C" w:rsidRPr="009867C1">
        <w:t>(Hocking &amp; Reynolds, 2012)</w:t>
      </w:r>
      <w:r w:rsidRPr="009867C1">
        <w:fldChar w:fldCharType="end"/>
      </w:r>
      <w:r w:rsidR="00293EB0">
        <w:t>,</w:t>
      </w:r>
      <w:r w:rsidRPr="009867C1">
        <w:t xml:space="preserve"> </w:t>
      </w:r>
      <w:r w:rsidR="00293EB0">
        <w:t>which has been</w:t>
      </w:r>
      <w:r w:rsidRPr="009867C1">
        <w:t xml:space="preserve"> interpreted </w:t>
      </w:r>
      <w:r w:rsidR="00293EB0">
        <w:t xml:space="preserve">to indicate </w:t>
      </w:r>
      <w:r w:rsidRPr="009867C1">
        <w:t xml:space="preserve">an amelioration of plant physical condition (but see </w:t>
      </w:r>
      <w:r w:rsidRPr="009867C1">
        <w:fldChar w:fldCharType="begin"/>
      </w:r>
      <w:r w:rsidR="00AC0205">
        <w:instrText xml:space="preserve"> ADDIN ZOTERO_ITEM CSL_CITATION {"citationID":"rcW1WXKi","properties":{"formattedCitation":"(Vizza et al., 2017)","plainCitation":"(Vizza et al., 2017)","dontUpdate":true,"noteIndex":0},"citationItems":[{"id":246,"uris":["http://zotero.org/users/2189142/items/E28DMGXF"],"itemData":{"id":246,"type":"article-journal","abstract":"Stable isotope ratios (δ13C and δ15N) have been used extensively to trace nutrients from Pacific salmon, but salmon transfer more than carbon and nitrogen to stream ecosystems, such as phosphorus, minerals, proteins, and lipids. To examine the importance of these nutrients, metrics other than isotopes need to be considered, particularly when so few studies have made direct links between these nutrients and how they affect riparian organisms. Our study specifically examined δ13C and δ15N of riparian organisms from salmon and non-salmon streams in Idaho, USA, at different distances from the streams, and examined whether the quality of riparian plants and the body condition of invertebrates varied with access to these nutrients. Overall, quality and condition metrics did not mirror stable isotope patterns. Most notably, all riparian organisms exhibited elevated δ15N in salmon streams, but also with proximity to both stream types suggesting that both salmon and landscape factors may affect δ15N. The amount of nitrogen incorporated from Pacific salmon was low for all organisms (&lt;20%) and did not correlate with measures of quality or condition, probably due to elevated δ15N at salmon streams reflecting historical salmon runs instead of current contributions. Salmon runs in these Idaho streams have been declining, and associated riparian ecosystems have probably seen about a 90% reduction in salmon-derived nitrogen since the 1950s. In addition, our results support those of other studies that have cautioned that inferences from natural abundance isotope data, particularly in conjunction with mixing models for salmon-derived nutrient percentage estimates, may be confounded by biogeochemical transformations of nitrogen, physiological processes, and even historical legacies of nitrogen sources. Critically, studies should move beyond simply describing isotopic patterns to focusing on the consequences of salmon-derived nutrients by quantifying the condition and fitness of organisms putatively using those resources.","container-title":"Ecology and Evolution","DOI":"10.1002/ece3.2697","ISSN":"2045-7758","issue":"5","language":"en","page":"1313-1324","source":"Wiley Online Library","title":"Evaluating the consequences of salmon nutrients for riparian organisms: Linking condition metrics to stable isotopes","title-short":"Evaluating the consequences of salmon nutrients for riparian organisms","volume":"7","author":[{"family":"Vizza","given":"Carmella"},{"family":"Sanderson","given":"Beth L."},{"family":"Coe","given":"Holly J."},{"family":"Chaloner","given":"Dominic T."}],"issued":{"date-parts":[["2017"]]},"citation-key":"vizza_2017"}}],"schema":"https://github.com/citation-style-language/schema/raw/master/csl-citation.json"} </w:instrText>
      </w:r>
      <w:r w:rsidRPr="009867C1">
        <w:fldChar w:fldCharType="separate"/>
      </w:r>
      <w:r w:rsidR="0042141C" w:rsidRPr="009867C1">
        <w:t>Vizza et al., 2017</w:t>
      </w:r>
      <w:r w:rsidRPr="009867C1">
        <w:fldChar w:fldCharType="end"/>
      </w:r>
      <w:r w:rsidRPr="009867C1">
        <w:t>, who found no relationship between C:N ratios and salmon presence). This amelioration of plant condition is also supported by</w:t>
      </w:r>
      <w:r w:rsidR="00293EB0">
        <w:t xml:space="preserve"> observations of</w:t>
      </w:r>
      <w:r w:rsidRPr="009867C1">
        <w:t xml:space="preserve"> increased stomatal density in salmonberry (</w:t>
      </w:r>
      <w:r w:rsidRPr="009867C1">
        <w:rPr>
          <w:i/>
        </w:rPr>
        <w:t>Rubus spectabilis</w:t>
      </w:r>
      <w:r w:rsidRPr="009867C1">
        <w:t xml:space="preserve">), which is an indicator of N fertilization </w:t>
      </w:r>
      <w:r w:rsidRPr="009867C1">
        <w:fldChar w:fldCharType="begin"/>
      </w:r>
      <w:r w:rsidR="00AC0205">
        <w:instrText xml:space="preserve"> ADDIN ZOTERO_ITEM CSL_CITATION {"citationID":"qSakICiH","properties":{"formattedCitation":"(van den Top et al., 2018)","plainCitation":"(van den Top et al., 2018)","noteIndex":0},"citationItems":[{"id":2447,"uris":["http://zotero.org/users/2189142/items/UWBNE6PR"],"itemData":{"id":2447,"type":"article-journal","container-title":"Functional Ecology","issue":"11","note":"publisher: Wiley Online Library","page":"2625–2633","source":"Google Scholar","title":"From salmon to salmonberry: The effects of salmon-derived nutrients on the stomatal density of leaves of the nitriphilic shrub &lt;i&gt;Rubus spectabilis&lt;/i&gt;","title-short":"From salmon to salmonberry","volume":"32","author":[{"family":"Top","given":"Gregory G.","non-dropping-particle":"van den"},{"family":"Reynolds","given":"John D."},{"family":"Prins","given":"Herbert HT"},{"family":"Mattsson","given":"Jim"},{"family":"Green","given":"David J."},{"family":"Ydenberg","given":"Ronald C."}],"issued":{"date-parts":[["2018"]]},"citation-key":"vandentop_2018"}}],"schema":"https://github.com/citation-style-language/schema/raw/master/csl-citation.json"} </w:instrText>
      </w:r>
      <w:r w:rsidRPr="009867C1">
        <w:fldChar w:fldCharType="separate"/>
      </w:r>
      <w:r w:rsidR="0042141C" w:rsidRPr="009867C1">
        <w:t>(van den Top et al., 2018)</w:t>
      </w:r>
      <w:r w:rsidRPr="009867C1">
        <w:fldChar w:fldCharType="end"/>
      </w:r>
      <w:r w:rsidRPr="009867C1">
        <w:t xml:space="preserve">, as well as increased fruit number </w:t>
      </w:r>
      <w:r w:rsidRPr="009867C1">
        <w:fldChar w:fldCharType="begin"/>
      </w:r>
      <w:r w:rsidR="00AC0205">
        <w:instrText xml:space="preserve"> ADDIN ZOTERO_ITEM CSL_CITATION {"citationID":"4SvjGesk","properties":{"formattedCitation":"(Siemens et al., 2020)","plainCitation":"(Siemens et al., 2020)","noteIndex":0},"citationItems":[{"id":2359,"uris":["http://zotero.org/users/2189142/items/HE5K9YT7"],"itemData":{"id":2359,"type":"article-journal","container-title":"Ecosphere","issue":"11","note":"publisher: Wiley Online Library","page":"e03282","source":"Google Scholar","title":"Spawning salmon density influences fruit production of salmonberry (&lt;i&gt;Rubus spectabilis&lt;/i&gt;)","volume":"11","author":[{"family":"Siemens","given":"Lisa D."},{"family":"Dennert","given":"Allison M."},{"family":"Obrist","given":"Debora S."},{"family":"Reynolds","given":"John D."}],"issued":{"date-parts":[["2020"]]},"citation-key":"siemens_2020"}}],"schema":"https://github.com/citation-style-language/schema/raw/master/csl-citation.json"} </w:instrText>
      </w:r>
      <w:r w:rsidRPr="009867C1">
        <w:fldChar w:fldCharType="separate"/>
      </w:r>
      <w:r w:rsidR="0042141C" w:rsidRPr="009867C1">
        <w:t>(Siemens et al., 2020)</w:t>
      </w:r>
      <w:r w:rsidRPr="009867C1">
        <w:fldChar w:fldCharType="end"/>
      </w:r>
      <w:r w:rsidRPr="009867C1">
        <w:t xml:space="preserve">. </w:t>
      </w:r>
    </w:p>
    <w:p w14:paraId="75102293" w14:textId="4E777F6A" w:rsidR="008832BF" w:rsidRPr="009867C1" w:rsidRDefault="008832BF" w:rsidP="008832BF">
      <w:pPr>
        <w:ind w:firstLine="720"/>
      </w:pPr>
      <w:r w:rsidRPr="009867C1">
        <w:t xml:space="preserve">Investigations of MDN effects on mature trees are more difficult to carry out, but a 20-year salmon displacement study in Alaska has shown increased tree growth rates on the bank receiving salmon relative to the side donating carcasses </w:t>
      </w:r>
      <w:r w:rsidRPr="009867C1">
        <w:fldChar w:fldCharType="begin"/>
      </w:r>
      <w:r w:rsidR="00AC0205">
        <w:instrText xml:space="preserve"> ADDIN ZOTERO_ITEM CSL_CITATION {"citationID":"L4tH3sfl","properties":{"formattedCitation":"(Quinn et al., 2018)","plainCitation":"(Quinn et al., 2018)","noteIndex":0},"citationItems":[{"id":1760,"uris":["http://zotero.org/users/2189142/items/68FQB8H2"],"itemData":{"id":1760,"type":"article-journal","abstract":"As they return to spawn and die in their natal streams, anadromous, semelparous fishes such as Pacific salmon import marine-derived nutrients to otherwise nutrient-poor freshwater and riparian ecosystems. Diverse organisms exploit this resource, and previous studies have indicated that riparian tree growth may be enhanced by such marine-derived nutrients. However, these studies were largely inferential and did not account for all factors affecting tree growth. As an experimental test of the contribution of carcasses to tree growth, for 20 yr, we systematically deposited all sockeye salmon (Oncorhynchus nerka) carcasses (217,055 individual salmon) in the riparian zone on one bank of a 2-km-long stream in southwestern Alaska, reducing carcass accumulation on one bank and enhancing it on the other. After accounting for partial consumption and movement of carcasses by brown bears (Ursus arctos) and variation in salmon abundance and body size, we estimated that 267,620 kg of salmon were deposited on the enhanced bank and 45,200 kg on the depleted bank over the 20 yr, for a 5.9-fold difference in total mass. In 2016, we sampled needles of 84 white spruce trees (Picea glauca) the dominant riparian tree species, for foliar nitrogen (N) content and stable isotope ratios (δ15N), and took core samples for annual growth increments. Stable isotope analysis indicated that marine-derived N was incorporated into the new growth of the trees on the enhanced bank. Analysis of tree cores indicated that in the two decades prior to our enhancement experiment, trees on the south-facing (subsequently the depleted) bank grew faster than those on the north-facing (later enhanced) bank. This difference was reduced significantly during the two decades of fertilization, indicating an effect of the carcass transfer experiment against the background of other factors affecting tree growth.","container-title":"Ecology","DOI":"10.1002/ecy.2453","ISSN":"1939-9170","issue":"11","language":"en","page":"2433-2441","source":"Wiley Online Library","title":"A multidecade experiment shows that fertilization by salmon carcasses enhanced tree growth in the riparian zone","volume":"99","author":[{"family":"Quinn","given":"Thomas P."},{"family":"Helfield","given":"James M."},{"family":"Austin","given":"Catherine S."},{"family":"Hovel","given":"Rachel A."},{"family":"Bunn","given":"Andrew G."}],"issued":{"date-parts":[["2018"]]},"citation-key":"quinn_2018a"}}],"schema":"https://github.com/citation-style-language/schema/raw/master/csl-citation.json"} </w:instrText>
      </w:r>
      <w:r w:rsidRPr="009867C1">
        <w:fldChar w:fldCharType="separate"/>
      </w:r>
      <w:r w:rsidR="0042141C" w:rsidRPr="009867C1">
        <w:t>(Quinn et al., 2018)</w:t>
      </w:r>
      <w:r w:rsidRPr="009867C1">
        <w:fldChar w:fldCharType="end"/>
      </w:r>
      <w:r w:rsidRPr="009867C1">
        <w:t xml:space="preserve">. In Alaska, both white </w:t>
      </w:r>
      <w:r w:rsidR="00EE7E34">
        <w:t>(</w:t>
      </w:r>
      <w:r w:rsidR="00EE7E34" w:rsidRPr="00EE7E34">
        <w:rPr>
          <w:i/>
          <w:iCs/>
        </w:rPr>
        <w:t>Picea glauca</w:t>
      </w:r>
      <w:r w:rsidR="00EE7E34">
        <w:t xml:space="preserve">) </w:t>
      </w:r>
      <w:r w:rsidRPr="009867C1">
        <w:t>and Sitka spruce</w:t>
      </w:r>
      <w:r w:rsidR="00EE7E34">
        <w:t xml:space="preserve"> (</w:t>
      </w:r>
      <w:r w:rsidR="00EE7E34" w:rsidRPr="00EE7E34">
        <w:rPr>
          <w:i/>
          <w:iCs/>
        </w:rPr>
        <w:t>Picea sitchensis</w:t>
      </w:r>
      <w:r w:rsidR="00EE7E34">
        <w:t>)</w:t>
      </w:r>
      <w:r w:rsidRPr="009867C1">
        <w:t xml:space="preserve"> were found to grow faster when associated with MDN </w:t>
      </w:r>
      <w:r w:rsidRPr="009867C1">
        <w:fldChar w:fldCharType="begin"/>
      </w:r>
      <w:r w:rsidR="00AC0205">
        <w:instrText xml:space="preserve"> ADDIN ZOTERO_ITEM CSL_CITATION {"citationID":"xaVndrsP","properties":{"formattedCitation":"(Helfield, 2001)","plainCitation":"(Helfield, 2001)","noteIndex":0},"citationItems":[{"id":2434,"uris":["http://zotero.org/users/2189142/items/6MNGXX7B"],"itemData":{"id":2434,"type":"thesis","genre":"PhD Thesis","publisher":"University of Washington","source":"Google Scholar","title":"Interactions of salmon, bear and riparian vegetation in Alaska","author":[{"family":"Helfield","given":"James M."}],"issued":{"date-parts":[["2001"]]},"citation-key":"helfield_2001"}}],"schema":"https://github.com/citation-style-language/schema/raw/master/csl-citation.json"} </w:instrText>
      </w:r>
      <w:r w:rsidRPr="009867C1">
        <w:fldChar w:fldCharType="separate"/>
      </w:r>
      <w:r w:rsidR="0042141C" w:rsidRPr="009867C1">
        <w:t>(Helfield, 2001)</w:t>
      </w:r>
      <w:r w:rsidRPr="009867C1">
        <w:fldChar w:fldCharType="end"/>
      </w:r>
      <w:r w:rsidRPr="009867C1">
        <w:t>. Uptake has also been demonstrated using isotopic tracers in</w:t>
      </w:r>
      <w:r w:rsidR="00EE7E34">
        <w:t xml:space="preserve"> western red</w:t>
      </w:r>
      <w:r w:rsidRPr="009867C1">
        <w:t xml:space="preserve"> cedar </w:t>
      </w:r>
      <w:r w:rsidR="00EE7E34">
        <w:t>(</w:t>
      </w:r>
      <w:r w:rsidR="00EE7E34" w:rsidRPr="00EE7E34">
        <w:rPr>
          <w:i/>
          <w:iCs/>
        </w:rPr>
        <w:t>Thuja plicata</w:t>
      </w:r>
      <w:r w:rsidR="00EE7E34">
        <w:t xml:space="preserve">) </w:t>
      </w:r>
      <w:r w:rsidRPr="009867C1">
        <w:t xml:space="preserve">trees, whose roots grow throughout the winter </w:t>
      </w:r>
      <w:r w:rsidRPr="009867C1">
        <w:fldChar w:fldCharType="begin"/>
      </w:r>
      <w:r w:rsidR="00AC0205">
        <w:instrText xml:space="preserve"> ADDIN ZOTERO_ITEM CSL_CITATION {"citationID":"MpeTLsAZ","properties":{"formattedCitation":"(Drake et al., 2006)","plainCitation":"(Drake et al., 2006)","noteIndex":0},"citationItems":[{"id":174,"uris":["http://zotero.org/users/2189142/items/Q77G9SAN"],"itemData":{"id":174,"type":"article-journal","abstract":"We introduced an 15N-NH4+ tracer to the riparian forest of a salmon-bearing stream (Kennedy Creek, Washington, USA) to quantify the cycling and fate of a late-season pulse of salmon N and, ultimately, mechanisms regulating potential links between salmon abundance and tree growth. The 15N tracer simulated deposition of 7.25 kg of salmon (fresh) to four 50-m2 plots. We added NH4+ (the initial product of salmon carcass decay) and other important nutrients provided by carcasses (P, S, K, Mg, Ca) to soils in late October 2003, coincident with local salmon spawning. We followed the 15N tracer through soil and tree pools for one year. Biological uptake of the 15N tracer occurred quickly: 64% of the 15N tracer was bound in soil microbiota within 14 days, and roots of the dominant riparian tree, western red cedar (Thuja plicata), began to take up 15N tracer within seven days. Root uptake continued through the winter. The 15N tracer content of soil organic matter reached a maximum of ̃52%, five weeks after the application, and a relative equilibrium of ̃40% within five months. Six months after the addition, in spring 2004, at least 37% of the 15N tracer was found in tree tissues: ̃23% in foliage, ̃11% in roots, and ̃3% in stems. Within the stems, xylem and phloem sap contained ̃96% of the tracer N, and ̃4% was in structural xylem N. After one year, at least 28% of the 15N tracer was still found in trees, and loss from the plots was only ̃20%. The large portion of tracer N taken up in the fall and reallocated to leaves and stems the following spring provides mechanistic evidence for a one-year-lagged tree-growth response to salmon nutrients. Salmon nutrients have been deposited in the Kennedy Creek system each fall for centuries, but the system shows no evidence of nutrient saturation. Rates of N uptake and retention are a function of site history and disturbance and also may be the result of a legacy effect, in which annual salmon nutrient addition may lead to increased efficiency of nutrient uptake and use.","container-title":"Ecology","DOI":"10.1890/0012-9658(2006)87[1256:FONIRF]2.0.CO;2","ISSN":"0012-9658","issue":"5","journalAbbreviation":"Ecology","page":"1256-1266","source":"esajournals.org (Atypon)","title":"Fate of nitrogen in riparian forest soils and trees: an 15n tracer study simulating salmon decay","title-short":"Fate of nitrogen in riparian forest soils and trees","volume":"87","author":[{"family":"Drake","given":"Deanne C."},{"family":"Naiman","given":"Robert J."},{"family":"Bechtold","given":"J. Scott"}],"issued":{"date-parts":[["2006",5,1]]},"citation-key":"drake_2006"}}],"schema":"https://github.com/citation-style-language/schema/raw/master/csl-citation.json"} </w:instrText>
      </w:r>
      <w:r w:rsidRPr="009867C1">
        <w:fldChar w:fldCharType="separate"/>
      </w:r>
      <w:r w:rsidR="0042141C" w:rsidRPr="009867C1">
        <w:t>(Drake et al., 2006)</w:t>
      </w:r>
      <w:r w:rsidRPr="009867C1">
        <w:fldChar w:fldCharType="end"/>
      </w:r>
      <w:r w:rsidRPr="009867C1">
        <w:t xml:space="preserve">. Due to the tracing of MDN via </w:t>
      </w:r>
      <w:r w:rsidRPr="009867C1">
        <w:rPr>
          <w:vertAlign w:val="superscript"/>
        </w:rPr>
        <w:t>15</w:t>
      </w:r>
      <w:r w:rsidRPr="009867C1">
        <w:t xml:space="preserve">N natural abundance, it was suggested that time series of the densities of past salmon runs might be reconstructed via </w:t>
      </w:r>
      <w:r w:rsidRPr="009867C1">
        <w:rPr>
          <w:vertAlign w:val="superscript"/>
        </w:rPr>
        <w:t>15</w:t>
      </w:r>
      <w:r w:rsidRPr="009867C1">
        <w:t xml:space="preserve">N analysis of tree cores </w:t>
      </w:r>
      <w:r w:rsidRPr="009867C1">
        <w:fldChar w:fldCharType="begin"/>
      </w:r>
      <w:r w:rsidR="00AC0205">
        <w:instrText xml:space="preserve"> ADDIN ZOTERO_ITEM CSL_CITATION {"citationID":"aBcXtUw7","properties":{"formattedCitation":"(Drake et al., 2002)","plainCitation":"(Drake et al., 2002)","noteIndex":0},"citationItems":[{"id":175,"uris":["http://zotero.org/users/2189142/items/M5R4CX5I"],"itemData":{"id":175,"type":"article-journal","abstract":"Decision-makers concerned with salmon or their stream habitats are faced with many persistent, difficult questions including: how large and variable were these populations before European settlement? Here, we examine the feasibility of reconstructing salmon abundance using links between marine nutrients carried upstream by Pacific salmon (Oncorhynchus spp.) and growth of dominant riparian trees in two Alaskan systems. We employ standard dendrochronology methods and regression models to quantify relationships between annual tree-ring growth, salmon escapement, and the climate pattern that affects oceanic production of Northeast Pacific salmon stocks, the Pacific Decadal Oscillation (PDO). We find that known, annual salmon escapement is significantly related to tree-ring growth at two sites in the Pacific coastal rainforest (PCRF) (r2 = 0.23, P &lt; 0.05 at each site), but not at two sites in the boreal forest. We then use relationships established at PCRF sites to reconstruct preliminary salmon spawning abundances to 1820 A.D. The PDO was not correlated with local 19-yr salmon escapement records and could not be used in reconstructions. Reconstructions compare favorably to southeastern Alaska fisheries catch data from 1924 to 1994 (Pearson correlation = 0.301 [P = 0.02] and 0.401 [P &lt; 0.01]). This study demonstrates the promise and utility of dendrochronology for reconstructing salmon returns to streams.","container-title":"Ecology","DOI":"10.1890/0012-9658(2002)083[2971:RSAIRA]2.0.CO;2","ISSN":"0012-9658","issue":"11","journalAbbreviation":"Ecology","page":"2971-2977","source":"esajournals.org.ezproxy.library.ubc.ca (Atypon)","title":"Reconstructing salmon abundance in rivers: an initial dendrochronological evaluation","title-short":"Reconstructing salmon abundance in rivers","volume":"83","author":[{"family":"Drake","given":"Deanne C."},{"family":"Naiman","given":"Robert J."},{"family":"Helfield","given":"James M."}],"issued":{"date-parts":[["2002",11,1]]},"citation-key":"drake_2002"}}],"schema":"https://github.com/citation-style-language/schema/raw/master/csl-citation.json"} </w:instrText>
      </w:r>
      <w:r w:rsidRPr="009867C1">
        <w:fldChar w:fldCharType="separate"/>
      </w:r>
      <w:r w:rsidR="0042141C" w:rsidRPr="009867C1">
        <w:t>(Drake et al., 2002)</w:t>
      </w:r>
      <w:r w:rsidRPr="009867C1">
        <w:fldChar w:fldCharType="end"/>
      </w:r>
      <w:r w:rsidRPr="009867C1">
        <w:t xml:space="preserve">. Despite significant methodological challenges associated with this </w:t>
      </w:r>
      <w:r w:rsidR="006920FB">
        <w:t>approach</w:t>
      </w:r>
      <w:r w:rsidRPr="009867C1">
        <w:t xml:space="preserve"> </w:t>
      </w:r>
      <w:r w:rsidRPr="009867C1">
        <w:fldChar w:fldCharType="begin"/>
      </w:r>
      <w:r w:rsidR="00AC0205">
        <w:instrText xml:space="preserve"> ADDIN ZOTERO_ITEM CSL_CITATION {"citationID":"GwSG7Lut","properties":{"formattedCitation":"(Drake et al., 2011)","plainCitation":"(Drake et al., 2011)","noteIndex":0},"citationItems":[{"id":176,"uris":["http://zotero.org/users/2189142/items/JUBMRMGG"],"itemData":{"id":176,"type":"article-journal","abstract":"Quantification of a relationship between salmon escapement in rivers and riparian tree-ring δ15N could allow reconstruction of prehistorical salmon abundance. Unfortunately, attempts to quantify this link have met with little success. We examined the feasibility of the approach using natural abundance of δ15N in riparian tree rings formed before and after extirpation of salmon and 15N tracer studies in a river and riparian soils. We concluded that (i) extractable (sap) N must be removed for interpretation of tree-ring δ15N because it contains up to 78% of the N in wood, is mobile, and differs from structural N in isotopic composition, (ii) no significant change in structural tree-ring δ15N was associated with salmon extirpation in a natural system, (iii) 500‰ 15NH4+ added to a stream was detected in riparian tree rings spanning at least 8 years, demonstrating interring movement of N that confounds detection of an annual signal, and (iv) addition of 28 000‰ 15NH4+ to riparian soils at a rate equaling 7.25 ..., La quantification d’une relation entre les échappées de saumon dans les rivières et le δ15N des cernes annuels de croissance d’arbres riverains pourrait permettre la reconstruction des patrons préhistoriques d’abondance du saumon. Malheureusement, les tentatives de quantification de cette relation ont eu peu de succès. Nous avons examiné la faisabilité de cette approche en utilisant l’abondance naturelle de δ15N dans les cernes annuels d’arbres riverains formés avant et après les échappées de saumon et des études avec le traceur 15N dans une rivière et les sols riverains. Nous avons conclu que (i) le N extractible (sève) doit être retiré pour l’interprétation du δ15N des cernes parce qu’il contient jusqu’à 78 % du N du bois, qu’il est mobile et que sa composition isotopique diffère de celle du N structurel, (ii) aucun changement significatif dans le δ15N des cernes n’était associé à l’échappée du saumon dans un système naturel, (iii) l’ajout de 500 ‰ de 15NH4+ dans un ruisseau fut détecté dans des cernes ...","container-title":"Canadian Journal of Forest Research","DOI":"10.1139/x11-172","ISSN":"0045-5067","issue":"12","journalAbbreviation":"Can. J. For. Res.","page":"2423-2432","source":"NRC Research Press","title":"Relationships between salmon abundance and tree-ring δ15N: three objective tests","title-short":"Relationships between salmon abundance and tree-ring δ15N","volume":"41","author":[{"family":"Drake","given":"Deanne C."},{"family":"Sheppard","given":"Paul J."},{"family":"Naiman","given":"Robert J."}],"issued":{"date-parts":[["2011",11,22]]},"citation-key":"drake_2011"}}],"schema":"https://github.com/citation-style-language/schema/raw/master/csl-citation.json"} </w:instrText>
      </w:r>
      <w:r w:rsidRPr="009867C1">
        <w:fldChar w:fldCharType="separate"/>
      </w:r>
      <w:r w:rsidR="0042141C" w:rsidRPr="009867C1">
        <w:t>(Drake et al., 2011)</w:t>
      </w:r>
      <w:r w:rsidRPr="009867C1">
        <w:fldChar w:fldCharType="end"/>
      </w:r>
      <w:r w:rsidRPr="009867C1">
        <w:t xml:space="preserve">, it has been successfully applied in Sitka </w:t>
      </w:r>
      <w:r w:rsidR="00EE7E34">
        <w:t>s</w:t>
      </w:r>
      <w:r w:rsidRPr="009867C1">
        <w:t xml:space="preserve">pruce trees in Haida Gwaii and on coastal BC </w:t>
      </w:r>
      <w:r w:rsidRPr="009867C1">
        <w:fldChar w:fldCharType="begin"/>
      </w:r>
      <w:r w:rsidR="00AC0205">
        <w:instrText xml:space="preserve"> ADDIN ZOTERO_ITEM CSL_CITATION {"citationID":"apZwb9lP","properties":{"formattedCitation":"(Reimchen &amp; Arbellay, 2018; Reimchen &amp; Fox, 2013)","plainCitation":"(Reimchen &amp; Arbellay, 2018; Reimchen &amp; Fox, 2013)","noteIndex":0},"citationItems":[{"id":1761,"uris":["http://zotero.org/users/2189142/items/ZNXJC24N"],"itemData":{"id":1761,"type":"article-journal","abstract":"Tree-ring studies using increment cores have increasingly measured elemental (N) and isotopic (δ15N) nitrogen values to evaluate environmental changes in the nitrogen cycle. The paucity of nitrogen..., Les valeurs d’azote élémentaire (N) et isotopique (δ15N) sont de plus en plus souvent mesurées dans les carottes prélevées lors d’études des anneaux de croissance des arbres, afin d’évaluer les cha...","container-title":"Botany","DOI":"10.1139/cjb-2018-0112","ISSN":"1916-2790","issue":"12","journalAbbreviation":"Botany","page":"851-857","source":"NRC Research Press","title":"Intra-annual variability in isotopic and total nitrogen in tree rings of old growth Sitka spruce from coastal British Columbia","volume":"96","author":[{"family":"Reimchen","given":"T.E."},{"family":"Arbellay","given":"Estelle"}],"issued":{"date-parts":[["2018",11,22]]},"citation-key":"reimchen_2018"}},{"id":184,"uris":["http://zotero.org/users/2189142/items/TTN7KTU6"],"itemData":{"id":184,"type":"article-journal","abstract":"Background The marine-terrestrial transfer of salmon (Oncorhynchus spp.) provides a substantial pulse of nutrients to receiving ecosystems along the Pacific coast of North America and has been shown to enhance productivity and isotopic signatures of conifers and other riparian vegetation. An explicitly spatial, within-watershed investigation of the influence of salmon on conifers has never been previously investigated. In a small salmon-bearing watershed in Haida Gwaii, Canada, the transfer and distributional pattern of salmon carcasses into the riparian zone by black bears provided a spatial basis for investigating the influence of salmon on Sitka spruce tree ring growth and nitrogen isotopic signatures (δ15N) across a gradient of salmon carcass densities in relation to salmon escapement. Results Annual growth was found to be highest in the high salmon carcass zone and δ15N signatures closely tracked the known distribution of salmon carcasses at distances into the forest and upstream. Tree diameter demonstrated a positive relationship with δ15N signatures for trees with and without salmon carcass influence. Using an information theoretics approach with general linear mixed models (GLMMs), we show that salmon abundance, mean annual temperature and the interaction terms salmon abundance*temperature and salmon abundance*distance into the forest best predict tree growth. In addition, spatial variables (distance into forest and upstream) and their interaction are the strongest predictors of δ15N signatures. However patterns observed in individual trees, particularly those at increased distance into the forest, suggest positive relationships with historical salmon abundance. Conclusions Using a replicated spatial sampling design across a sharp gradient in salmon nutrient loading, our study provides clear evidence that the temporal pattern in an allochthonous nutrient source and an interaction with temperature and spatial location influences conifer growth. Although salmon abundance has been previously linked to annual conifer growth and δ15N levels, our approach demonstrates the need to incorporate additional predictors including tree size and opens up the prospect of their dual use as historical proxies for salmon abundance.","container-title":"BMC Ecology","DOI":"10.1186/1472-6785-13-38","ISSN":"1472-6785","issue":"1","journalAbbreviation":"BMC Ecol","language":"en","page":"1-13","source":"link.springer.com","title":"Fine-scale spatiotemporal influences of salmon on growth and nitrogen signatures of Sitka spruce tree rings","volume":"13","author":[{"family":"Reimchen","given":"T.E."},{"family":"Fox","given":"Caroline Hazel"}],"issued":{"date-parts":[["2013",10,4]]},"citation-key":"reimchen_2013a"}}],"schema":"https://github.com/citation-style-language/schema/raw/master/csl-citation.json"} </w:instrText>
      </w:r>
      <w:r w:rsidRPr="009867C1">
        <w:fldChar w:fldCharType="separate"/>
      </w:r>
      <w:r w:rsidR="0042141C" w:rsidRPr="009867C1">
        <w:t>(Reimchen &amp; Arbellay, 2018; Reimchen &amp; Fox, 2013)</w:t>
      </w:r>
      <w:r w:rsidRPr="009867C1">
        <w:fldChar w:fldCharType="end"/>
      </w:r>
      <w:r w:rsidRPr="009867C1">
        <w:t xml:space="preserve">, where seasons with wider growth rings were correlated with historical salmon runs. </w:t>
      </w:r>
    </w:p>
    <w:p w14:paraId="070B4CA1" w14:textId="77777777" w:rsidR="008832BF" w:rsidRPr="009867C1" w:rsidRDefault="008832BF" w:rsidP="008832BF">
      <w:pPr>
        <w:ind w:firstLine="720"/>
      </w:pPr>
      <w:r w:rsidRPr="009867C1">
        <w:t xml:space="preserve">Taken together, the combination of isotopic, ecological, and physiological changes observed in plants associated with salmon indicate widespread nitrogen uptake and a general shift to more nutrient-rich soil conditions with MDN inputs. </w:t>
      </w:r>
    </w:p>
    <w:p w14:paraId="57876D44" w14:textId="77777777" w:rsidR="008832BF" w:rsidRPr="009867C1" w:rsidRDefault="008832BF" w:rsidP="008832BF">
      <w:pPr>
        <w:pStyle w:val="Heading4"/>
      </w:pPr>
      <w:bookmarkStart w:id="33" w:name="_Toc99385409"/>
      <w:r w:rsidRPr="009867C1">
        <w:t>Effects on soils</w:t>
      </w:r>
      <w:bookmarkEnd w:id="33"/>
    </w:p>
    <w:p w14:paraId="0177AD10" w14:textId="01427BBA" w:rsidR="008832BF" w:rsidRPr="009867C1" w:rsidRDefault="008832BF" w:rsidP="008832BF">
      <w:pPr>
        <w:ind w:firstLine="720"/>
      </w:pPr>
      <w:r w:rsidRPr="009867C1">
        <w:t xml:space="preserve">Soils are affected directly by salmon presence through carcass deposition, indirectly through increased bear activity and urine deposition, and through multiple indirect feedbacks via changes in plants and vegetation communities. On an elemental level, salmon carcasses directly deposit N, P, K, S, Ca, Mg, Fe and Mn to soils </w:t>
      </w:r>
      <w:r w:rsidRPr="009867C1">
        <w:fldChar w:fldCharType="begin"/>
      </w:r>
      <w:r w:rsidR="00AC0205">
        <w:instrText xml:space="preserve"> ADDIN ZOTERO_ITEM CSL_CITATION {"citationID":"Ym8HvZhg","properties":{"formattedCitation":"(Drake et al., 2005)","plainCitation":"(Drake et al., 2005)","noteIndex":0},"citationItems":[{"id":795,"uris":["http://zotero.org/users/2189142/items/RN834UDP"],"itemData":{"id":795,"type":"article-journal","container-title":"Northwest Science","issue":"1","page":"61–71","source":"Google Scholar","title":"Salmon decay and nutrient contributions to riparian forest soils","volume":"79","author":[{"family":"Drake","given":"Deanne C."},{"family":"Smith","given":"Jaron V."},{"family":"Naiman","given":"Robert J."}],"issued":{"date-parts":[["2005"]]},"citation-key":"drake_2005"}}],"schema":"https://github.com/citation-style-language/schema/raw/master/csl-citation.json"} </w:instrText>
      </w:r>
      <w:r w:rsidRPr="009867C1">
        <w:fldChar w:fldCharType="separate"/>
      </w:r>
      <w:r w:rsidR="0042141C" w:rsidRPr="009867C1">
        <w:t>(Drake et al., 2005)</w:t>
      </w:r>
      <w:r w:rsidRPr="009867C1">
        <w:fldChar w:fldCharType="end"/>
      </w:r>
      <w:r w:rsidRPr="009867C1">
        <w:t xml:space="preserve">. Nitrogen, phosphorus, and sulfur are in salmon flesh which decomposes relatively quickly (days), while calcium and the other elements reside in bones and cartilage and take longer to </w:t>
      </w:r>
      <w:r w:rsidR="006920FB">
        <w:t>be released</w:t>
      </w:r>
      <w:r w:rsidRPr="009867C1">
        <w:t xml:space="preserve"> (months to years) </w:t>
      </w:r>
      <w:r w:rsidRPr="009867C1">
        <w:fldChar w:fldCharType="begin"/>
      </w:r>
      <w:r w:rsidR="00AC0205">
        <w:instrText xml:space="preserve"> ADDIN ZOTERO_ITEM CSL_CITATION {"citationID":"mnaGTkCz","properties":{"formattedCitation":"(Drake et al., 2005)","plainCitation":"(Drake et al., 2005)","noteIndex":0},"citationItems":[{"id":795,"uris":["http://zotero.org/users/2189142/items/RN834UDP"],"itemData":{"id":795,"type":"article-journal","container-title":"Northwest Science","issue":"1","page":"61–71","source":"Google Scholar","title":"Salmon decay and nutrient contributions to riparian forest soils","volume":"79","author":[{"family":"Drake","given":"Deanne C."},{"family":"Smith","given":"Jaron V."},{"family":"Naiman","given":"Robert J."}],"issued":{"date-parts":[["2005"]]},"citation-key":"drake_2005"}}],"schema":"https://github.com/citation-style-language/schema/raw/master/csl-citation.json"} </w:instrText>
      </w:r>
      <w:r w:rsidRPr="009867C1">
        <w:fldChar w:fldCharType="separate"/>
      </w:r>
      <w:r w:rsidR="0042141C" w:rsidRPr="009867C1">
        <w:t>(Drake et al., 2005)</w:t>
      </w:r>
      <w:r w:rsidRPr="009867C1">
        <w:fldChar w:fldCharType="end"/>
      </w:r>
      <w:r w:rsidRPr="009867C1">
        <w:t xml:space="preserve">. Nitrogen deposited via bear urine is primarily in ureic substances </w:t>
      </w:r>
      <w:r w:rsidRPr="009867C1">
        <w:fldChar w:fldCharType="begin"/>
      </w:r>
      <w:r w:rsidR="00AC0205">
        <w:instrText xml:space="preserve"> ADDIN ZOTERO_ITEM CSL_CITATION {"citationID":"JuJz8CGm","properties":{"formattedCitation":"(Singer, 2002)","plainCitation":"(Singer, 2002)","noteIndex":0},"citationItems":[{"id":2382,"uris":["http://zotero.org/users/2189142/items/UKJWVI7U"],"itemData":{"id":2382,"type":"article-journal","abstract":"In the typical mammal, energy flux, protein metabolism, and renal excretory processes constitute a set of closely linked and quantitatively matched functions. However, this matching has limits, and these limits become apparent when animals adapt to unusual circumstances. The vampire bat and shrew have an extremely high protein intake, and the glomerular filtration rate (GFR) is not commensurate with the large urea load to be excreted. The vampire bat is chronically azotemic (blood urea concentration 27–57 mmol/l); yet there is no information as to how this animal has adjusted to such an azotemic internal environment. A high protein intake should also lead to chronic glomerular hyperfiltration; yet neither animal appears to develop progressive renal failure. The American black bear, on the other hand, has adapted to a prolonged period without intake or urine output. Despite continued amino acid catabolism with urea production, this mammal is able to completely salvage and reutilize urea nitrogen for protein synthesis, although the signals that initiate this metabolic adaptation are not known. The vampire bat, shrew, and bear are natural models adapted to circumstances analogous to chronic renal failure. Unraveling these adaptations could lead to new interventions for the prevention/treatment of chronic renal failure.","container-title":"American Journal of Physiology-Regulatory, Integrative and Comparative Physiology","DOI":"10.1152/ajpregu.00711.2001","ISSN":"0363-6119","issue":"6","note":"publisher: American Physiological Society","page":"R1583-R1592","source":"journals-physiology-org.ezproxy.library.ubc.ca (Atypon)","title":"Vampire bat, shrew, and bear:  comparative physiology and chronic renal failure","title-short":"Vampire bat, shrew, and bear","volume":"282","author":[{"family":"Singer","given":"Michael A."}],"issued":{"date-parts":[["2002",6,1]]},"citation-key":"singer_2002"}}],"schema":"https://github.com/citation-style-language/schema/raw/master/csl-citation.json"} </w:instrText>
      </w:r>
      <w:r w:rsidRPr="009867C1">
        <w:fldChar w:fldCharType="separate"/>
      </w:r>
      <w:r w:rsidR="0042141C" w:rsidRPr="009867C1">
        <w:t>(Singer, 2002)</w:t>
      </w:r>
      <w:r w:rsidRPr="009867C1">
        <w:fldChar w:fldCharType="end"/>
      </w:r>
      <w:r w:rsidRPr="009867C1">
        <w:t xml:space="preserve">, which are highly labile and generally metabolized quickly by soil organisms </w:t>
      </w:r>
      <w:r w:rsidRPr="009867C1">
        <w:fldChar w:fldCharType="begin"/>
      </w:r>
      <w:r w:rsidR="00AC0205">
        <w:instrText xml:space="preserve"> ADDIN ZOTERO_ITEM CSL_CITATION {"citationID":"mqYUhcIB","properties":{"formattedCitation":"(Du et al., 2014; Orwin et al., 2009)","plainCitation":"(Du et al., 2014; Orwin et al., 2009)","noteIndex":0},"citationItems":[{"id":50,"uris":["http://zotero.org/users/2189142/items/4SXG752Z"],"itemData":{"id":50,"type":"article-journal","abstract":"Nitrogen (N) deposition significantly affects the soil carbon (C) cycle process of forests. However, the influence of different types of N on it still remained unclear. In this work, ammonium nitrate was selected as an inorganic N (IN) source, while urea and glycine were chosen as organic N (ON) sources. Different ratios of IN to ON (1 : 4, 2 : 3, 3 : 2, 4 : 1, and 5 : 0) were mixed with equal total amounts and then used to fertilize temperate forest soils for 2 years. Results showed that IN deposition inhibited soil C cycle processes, such as soil respiration, soil organic C decomposition, and enzymatic activities, and induced the accumulation of recalcitrant organic C. By contrast, ON deposition promoted these processes. Addition of ON also resulted in accelerated transformation of recalcitrant compounds into labile compounds and increased CO2 efflux. Meanwhile, greater ON deposition may convert C sequestration in forest soils into C source. These results indicated the importance of the IN to ON ratio in controlling the soil C cycle, which can consequently change the ecological effect of N deposition.","container-title":"Global Change Biology","DOI":"https://doi.org/10.1111/gcb.12555","ISSN":"1365-2486","issue":"10","language":"en","note":"_eprint: https://onlinelibrary.wiley.com/doi/pdf/10.1111/gcb.12555","page":"3222-3228","source":"Wiley Online Library","title":"Different types of nitrogen deposition show variable effects on the soil carbon cycle process of temperate forests","volume":"20","author":[{"family":"Du","given":"Yuhan"},{"family":"Guo","given":"Peng"},{"family":"Liu","given":"Jianqiu"},{"family":"Wang","given":"Chunyu"},{"family":"Yang","given":"Ning"},{"family":"Jiao","given":"Zhenxia"}],"issued":{"date-parts":[["2014"]]},"citation-key":"du_2014"}},{"id":2381,"uris":["http://zotero.org/users/2189142/items/LN6UBHA8"],"itemData":{"id":2381,"type":"article-journal","abstract":"The scale of spatial heterogeneity in soil nitrogen (N) concentrations varies considerably in grazed systems, because grazers vary in the volume of urine they excrete. This could affect how urine-N is processed, and subsequently how much N is lost from the system, as diffusion and plant effects on soil nutrient concentrations can be scale-dependent. Two field experiments were performed; one measured the impact of urine patch size (small, medium or large) on soil inorganic N pools and fluxes over time, and the other assessed whether urine patch size affected plant responses and system N retention even if the same total amount of urine was applied. Soil from inside small urine patches retained inorganic N for shorter amounts of time, resulting in lower plant biomass and N uptake than that inside larger patches. Although system nitrogen retention was not affected by patch size, it appeared that larger patches had a greater potential to lose N due to the longer period over which soil inorganic N concentrations remained high. This suggests that systems grazed by larger organisms are more prone to lose N through patch size effects than those grazed by smaller ones.","container-title":"Applied Soil Ecology","DOI":"10.1016/j.apsoil.2009.05.002","ISSN":"0929-1393","issue":"3","journalAbbreviation":"Applied Soil Ecology","language":"en","page":"271-278","source":"ScienceDirect","title":"Short-term consequences of spatial heterogeneity in soil nitrogen concentrations caused by urine patches of different sizes","volume":"42","author":[{"family":"Orwin","given":"K. H."},{"family":"Bertram","given":"J. E."},{"family":"Clough","given":"T. J."},{"family":"Condron","given":"L. M."},{"family":"Sherlock","given":"R. R."},{"family":"O’Callaghan","given":"M."}],"issued":{"date-parts":[["2009",7,1]]},"citation-key":"orwin_2009"}}],"schema":"https://github.com/citation-style-language/schema/raw/master/csl-citation.json"} </w:instrText>
      </w:r>
      <w:r w:rsidRPr="009867C1">
        <w:fldChar w:fldCharType="separate"/>
      </w:r>
      <w:r w:rsidR="0042141C" w:rsidRPr="009867C1">
        <w:t>(Du et al., 2014; Orwin et al., 2009)</w:t>
      </w:r>
      <w:r w:rsidRPr="009867C1">
        <w:fldChar w:fldCharType="end"/>
      </w:r>
      <w:r w:rsidRPr="009867C1">
        <w:t xml:space="preserve">.    </w:t>
      </w:r>
    </w:p>
    <w:p w14:paraId="6736ECBE" w14:textId="364710EB" w:rsidR="008832BF" w:rsidRPr="009867C1" w:rsidRDefault="008832BF" w:rsidP="008832BF">
      <w:pPr>
        <w:ind w:firstLine="720"/>
      </w:pPr>
      <w:r w:rsidRPr="009867C1">
        <w:t>To my knowledge, only 13 studies have directly investigated the effects of salmon on soils (summarized in</w:t>
      </w:r>
      <w:r w:rsidR="007708FE" w:rsidRPr="009867C1">
        <w:t xml:space="preserve"> </w:t>
      </w:r>
      <w:r w:rsidR="00120345" w:rsidRPr="009867C1">
        <w:fldChar w:fldCharType="begin"/>
      </w:r>
      <w:r w:rsidR="00120345" w:rsidRPr="009867C1">
        <w:instrText xml:space="preserve"> REF _Ref76300766 \h </w:instrText>
      </w:r>
      <w:r w:rsidR="009867C1">
        <w:instrText xml:space="preserve"> \* MERGEFORMAT </w:instrText>
      </w:r>
      <w:r w:rsidR="00120345" w:rsidRPr="009867C1">
        <w:fldChar w:fldCharType="separate"/>
      </w:r>
      <w:r w:rsidR="000667DB" w:rsidRPr="009867C1">
        <w:t xml:space="preserve">Table </w:t>
      </w:r>
      <w:r w:rsidR="000667DB">
        <w:rPr>
          <w:noProof/>
        </w:rPr>
        <w:t>1</w:t>
      </w:r>
      <w:r w:rsidR="000667DB">
        <w:rPr>
          <w:noProof/>
        </w:rPr>
        <w:noBreakHyphen/>
        <w:t>1</w:t>
      </w:r>
      <w:r w:rsidR="00120345" w:rsidRPr="009867C1">
        <w:fldChar w:fldCharType="end"/>
      </w:r>
      <w:r w:rsidRPr="009867C1">
        <w:t>), and these have used various approaches (regional gradients, above/below barriers, carcass placement) and various soil layers (forest floors, organic, and mineral soil). The most consistently measured variables in these studies have been nitrogen, nitrogenous compounds (NH</w:t>
      </w:r>
      <w:r w:rsidRPr="009867C1">
        <w:rPr>
          <w:vertAlign w:val="subscript"/>
        </w:rPr>
        <w:t>4</w:t>
      </w:r>
      <w:r w:rsidRPr="009867C1">
        <w:t xml:space="preserve"> and NO</w:t>
      </w:r>
      <w:r w:rsidRPr="009867C1">
        <w:rPr>
          <w:vertAlign w:val="subscript"/>
        </w:rPr>
        <w:t>3</w:t>
      </w:r>
      <w:r w:rsidRPr="009867C1">
        <w:t xml:space="preserve">), and </w:t>
      </w:r>
      <w:r w:rsidRPr="009867C1">
        <w:rPr>
          <w:vertAlign w:val="superscript"/>
        </w:rPr>
        <w:t>15</w:t>
      </w:r>
      <w:r w:rsidRPr="009867C1">
        <w:t>N. Total nitrogen increased with salmon presence in 8/9 studies, with the final study finding no change (</w:t>
      </w:r>
      <w:r w:rsidR="00120345" w:rsidRPr="009867C1">
        <w:fldChar w:fldCharType="begin"/>
      </w:r>
      <w:r w:rsidR="00120345" w:rsidRPr="009867C1">
        <w:instrText xml:space="preserve"> REF _Ref76300766 \h </w:instrText>
      </w:r>
      <w:r w:rsidR="009867C1">
        <w:instrText xml:space="preserve"> \* MERGEFORMAT </w:instrText>
      </w:r>
      <w:r w:rsidR="00120345" w:rsidRPr="009867C1">
        <w:fldChar w:fldCharType="separate"/>
      </w:r>
      <w:r w:rsidR="000667DB" w:rsidRPr="009867C1">
        <w:t xml:space="preserve">Table </w:t>
      </w:r>
      <w:r w:rsidR="000667DB">
        <w:rPr>
          <w:noProof/>
        </w:rPr>
        <w:t>1</w:t>
      </w:r>
      <w:r w:rsidR="000667DB">
        <w:rPr>
          <w:noProof/>
        </w:rPr>
        <w:noBreakHyphen/>
        <w:t>1</w:t>
      </w:r>
      <w:r w:rsidR="00120345" w:rsidRPr="009867C1">
        <w:fldChar w:fldCharType="end"/>
      </w:r>
      <w:r w:rsidRPr="009867C1">
        <w:t>), and nitrate and ammonium increased in 4/5 studies with the final study also showing no change. δ</w:t>
      </w:r>
      <w:r w:rsidRPr="009867C1">
        <w:rPr>
          <w:vertAlign w:val="superscript"/>
        </w:rPr>
        <w:t>15</w:t>
      </w:r>
      <w:r w:rsidRPr="009867C1">
        <w:t>N ratios increased with salmon in 7/9 studies, with one of the studies showing no change and the other a decreasing relationship. Nitrous oxide (N</w:t>
      </w:r>
      <w:r w:rsidRPr="009867C1">
        <w:rPr>
          <w:vertAlign w:val="subscript"/>
        </w:rPr>
        <w:t>2</w:t>
      </w:r>
      <w:r w:rsidRPr="009867C1">
        <w:t xml:space="preserve">O) gas efflux from soil increased with salmon addition, but only when bears were also present </w:t>
      </w:r>
      <w:r w:rsidRPr="009867C1">
        <w:fldChar w:fldCharType="begin"/>
      </w:r>
      <w:r w:rsidR="00AC0205">
        <w:instrText xml:space="preserve"> ADDIN ZOTERO_ITEM CSL_CITATION {"citationID":"FzKxFxQq","properties":{"formattedCitation":"(Holtgrieve et al., 2009)","plainCitation":"(Holtgrieve et al., 2009)","noteIndex":0},"citationItems":[{"id":973,"uris":["http://zotero.org/users/2189142/items/RNMUUKA3"],"itemData":{"id":973,"type":"article-journal","abstract":"Two important themes in ecology include the understanding of how interactions among species control ecosystem processes, and how habitats can be connected through transfers of nutrients and energy by mobile organisms. An impressive example of both is the large influx of nutrients and organic matter that anadromous salmon supply to inland aquatic and terrestrial ecosystems and the role of predation by brown bears (Ursus arctos) in transferring these marine-derived nutrients (MDN) from freshwater to riparian habitats. In spite of the recognition that salmon-bear interactions likely play an important role in controlling the flux of MDN from aquatic to riparian habitats, few studies have linked bear predation on salmon to processes such as nitrogen (N) or carbon (C) cycling. We combine landscape-level survey data and a replicated bear-exclosure experiment to test how bear foraging on salmon affects nitrous oxide (N2O) flux, carbon dioxide (CO2) flux, and nutrient concentrations of riparian soils. Our results show that bears feeding on salmon increased soil ammonium (NH4 +) concentrations three-fold and N2O flux by 32-fold. Soil CO2 flux, nitrate (NO3 −), and N transformation differences were negligible in areas where bears fed on salmon. Reference areas without concentrated bear activity showed no detectable change in soil N cycling after the arrival of salmon to streams. Exclosure experiments showed that bear effects on soil nutrient cycles were transient, and soil N processing returned to background conditions within 1 year after bears were removed from the system. These results suggest that recipient ecosystems do not show uniform responses to MDN inputs and highlight the importance of large mobile consumers in generating landscape heterogeneity in nutrient cycles.","container-title":"Ecological Research","DOI":"10.1007/s11284-009-0591-8","ISSN":"0912-3814, 1440-1703","issue":"5","journalAbbreviation":"Ecol Res","language":"en","page":"1125-1135","source":"link.springer.com.ezproxy.library.ubc.ca","title":"Large predators and biogeochemical hotspots: brown bear (Ursus arctos) predation on salmon alters nitrogen cycling in riparian soils","title-short":"Large predators and biogeochemical hotspots","volume":"24","author":[{"family":"Holtgrieve","given":"Gordon W."},{"family":"Schindler","given":"Daniel E."},{"family":"Jewett","given":"Peter K."}],"issued":{"date-parts":[["2009",3,18]]},"citation-key":"holtgrieve_2009"}}],"schema":"https://github.com/citation-style-language/schema/raw/master/csl-citation.json"} </w:instrText>
      </w:r>
      <w:r w:rsidRPr="009867C1">
        <w:fldChar w:fldCharType="separate"/>
      </w:r>
      <w:r w:rsidR="0042141C" w:rsidRPr="009867C1">
        <w:t>(Holtgrieve et al., 2009)</w:t>
      </w:r>
      <w:r w:rsidRPr="009867C1">
        <w:fldChar w:fldCharType="end"/>
      </w:r>
      <w:r w:rsidRPr="009867C1">
        <w:t xml:space="preserve">. Nitrification rates on terrestrial sites have been reported twice, both studies showing increases in nitrification rates with MDN </w:t>
      </w:r>
      <w:r w:rsidRPr="009867C1">
        <w:fldChar w:fldCharType="begin"/>
      </w:r>
      <w:r w:rsidR="00AC0205">
        <w:instrText xml:space="preserve"> ADDIN ZOTERO_ITEM CSL_CITATION {"citationID":"NSVjKIz2","properties":{"formattedCitation":"(Feddern et al., 2019; Perry et al., 2017)","plainCitation":"(Feddern et al., 2019; Perry et al., 2017)","noteIndex":0},"citationItems":[{"id":1688,"uris":["http://zotero.org/users/2189142/items/YIC4UT3V"],"itemData":{"id":1688,"type":"article-journal","abstract":"Pacific salmon acquire most of their biomass in the ocean before returning to spawn and die in coastal streams and lakes, thus providing subsidies of marine-derived nitrogen (MDN) to freshwater and terrestrial ecosystems. Recent declines in salmon abundance have raised questions of whether managers should mitigate for losses of salmon MDN subsidies. To test the long-term importance of salmon subsidies to riparian ecosystems, we measured soil nitrogen cycling in response to a 20-yr manipulation where salmon carcasses were systematically removed from one bank and deposited on the opposite bank along a 2-km stream in southwestern Alaska. Soil samples were taken at different distances from the stream bank along nine paired transects and measured for organic and inorganic nitrogen concentrations, and nitrogen transformation rates. Marine-derived nitrogen was measured using 15N/14N for bulk soils, and NH4+ and NO3− soil pools. Stable isotope analyses confirmed 15N/14N was elevated on the salmon-enhanced bank compared to the salmon-depleted bank. However, 15N/14N values of plant-available inorganic nitrogen exceeded the 15N/14N of salmon inputs, highlighting nitrogen isotope fractionation in soils that raises significant methodological issues with standard MDN assessments in riparian systems. Surprisingly, despite 20 yr of salmon supplementation, the presence of MDN did not cause a long-term increase in soil nitrogen availability. This finding indicates the importance of MDN to ecosystem nitrogen biogeochemistry, and riparian vegetation may be overestimated for some systems. Given that essential nutrients can also be pollutants, we urge more critical analyses of the role of MDN to inform compensatory mitigation programs targeting salmon nutrient enhancement.","container-title":"Ecosphere","DOI":"10.1002/ecs2.2958","ISSN":"2150-8925","issue":"11","language":"en","page":"e02958","source":"Wiley Online Library","title":"Riparian soil nitrogen cycling and isotopic enrichment in response to a long-term salmon carcass manipulation experiment","volume":"10","author":[{"family":"Feddern","given":"Megan L."},{"family":"Holtgrieve","given":"Gordon W."},{"family":"Perakis","given":"Steven S."},{"family":"Hart","given":"Julia"},{"family":"Ro","given":"Hyejoo"},{"family":"Quinn","given":"Thomas P."}],"issued":{"date-parts":[["2019"]]},"citation-key":"feddern_2019"}},{"id":1599,"uris":["http://zotero.org/users/2189142/items/UCTPBSFV"],"itemData":{"id":1599,"type":"article-journal","abstract":"Riparian forest soils can be highly dynamic, due to frequent fluvial disturbance, erosion, and sediment deposition, but effects of dams on riparian soils are poorly understood. We examined soils along toposequences within three river segments located upstream, between, and downstream of two dams on the Elwha River to evaluate relationships between riparian soil development and forest age, succession, and channel proximity, explore dam effects on riparian soils, and provide a baseline for the largest dam removal in history. We found that older, later-successional forests and geomorphic surfaces contained soils with finer texture and greater depth to cobble, supporting greater forest floor mass, mineral soil nutrient levels, and cation exchange. Forest stand age was a better predictor than channel proximity for many soil characteristics, though elevation and distance from the channel were often also important, highlighting how complex interactions between fluvial disturbance, sediment deposition, and biotic retention regulate soil development in this ecosystem. Soils between the dams, and to a lesser extent below the lower dam, had finer textures and higher mineral soil carbon, nitrogen, and cation exchange than above the dams. These results suggested that decreased fluvial disturbance below the dams, due to reduced sediment supply and channel stabilization, accelerated soil development. In addition, reduced sediment supply below the dams may have decreased soil phosphorus. Soil δ15N suggested that salmon exclusion by the dams had no discernable effect on nitrogen inputs to upstream soils. Recent dam removal may alter riparian soils further, with ongoing implications for riparian ecosystems.","container-title":"Ecosystems","DOI":"10.1007/s10021-016-0080-1","ISSN":"1435-0629","issue":"1","journalAbbreviation":"Ecosystems","language":"en","page":"104-129","source":"Springer Link","title":"Riparian Soil Development Linked to Forest Succession Above and Below Dams Along the Elwha River, Washington, USA","volume":"20","author":[{"family":"Perry","given":"Laura G."},{"family":"Shafroth","given":"Patrick B."},{"family":"Perakis","given":"Steven S."}],"issued":{"date-parts":[["2017",1,1]]},"citation-key":"perry_2017"}}],"schema":"https://github.com/citation-style-language/schema/raw/master/csl-citation.json"} </w:instrText>
      </w:r>
      <w:r w:rsidRPr="009867C1">
        <w:fldChar w:fldCharType="separate"/>
      </w:r>
      <w:r w:rsidR="0042141C" w:rsidRPr="009867C1">
        <w:t>(Feddern et al., 2019; Perry et al., 2017)</w:t>
      </w:r>
      <w:r w:rsidRPr="009867C1">
        <w:fldChar w:fldCharType="end"/>
      </w:r>
      <w:r w:rsidRPr="009867C1">
        <w:t xml:space="preserve">. Finally, it has been noted that undeveloped soils (Regisols) processed salmon-N differently than more developed Podzols </w:t>
      </w:r>
      <w:r w:rsidRPr="009867C1">
        <w:fldChar w:fldCharType="begin"/>
      </w:r>
      <w:r w:rsidR="00AC0205">
        <w:instrText xml:space="preserve"> ADDIN ZOTERO_ITEM CSL_CITATION {"citationID":"JwIADYil","properties":{"formattedCitation":"(D\\uc0\\u8217{}Amore et al., 2011, 2020)","plainCitation":"(D’Amore et al., 2011, 2020)","noteIndex":0},"citationItems":[{"id":970,"uris":["http://zotero.org/users/2189142/items/SQPRJQMG"],"itemData":{"id":970,"type":"article-journal","abstract":"The influence of salmon-derived nutrients (SDN) is widely accepted as a potential factor in the maintenance of aquatic and terrestrial productivity in North American Coastal rainforests. Holocene alluvial landforms are intimately connected with the return of anadromous salmon, but the influence of the soils that occupy these landforms and support this important terrestrial–aquatic ecological coupling have not been examined in SDN studies. We used paleo-ecologic information, soil resource inventories and measurements of soil morphology to construct a soil-geomorphic model for alluvial landforms along salmon spawning channels on Prince of Wales Island, Southeast Alaska, USA. Post-glacial sea-level rise, crustal uplift and subsidence combined with Holocene sediment deposition have formed alluvial terraces and floodplains along rivers on Prince of Wales Island. These alluvial landforms have soils that are mapped as Entisols (Tonowek soil series) and Spodosols (Tuxekan soil series). We propose a soil-geomorphic model where the Spodosols located on terraces are estimated to derive from sediments deposited after the stabilization of landscape approximately 8 kybp to 6 kybp. The stability of these soils is reflected through mature soil development with organic matter accumulation and podzolization. Our model identifies Entisols on floodplains developed from alluvial deposition in the latter Holocene that have soil morphologic features consistent with recent deposition and limited soil development. We used this soil-geomorphic model to test the hypothesis that the terrestrial end-member value commonly used to quantify nitrogen (N) loading on soils through stable isotope analysis differs by soil type and found that the two soil types had significantly different N isotopic (δ15N) values more consistent with soil development than SDN loading. The use of a soil-geomorphic model provides a means to stratify alluvial landforms and constrain the natural variability encountered in studies of riparian nutrient cycles associated with the feedbacks between SDN and terrestrial ecosystems to improve estimates of the fate of SDN in soils and vegetation.","collection-title":"Geomorphology on Multiscale Feedbacks in Ecogeomorphology","container-title":"Geomorphology","DOI":"10.1016/j.geomorph.2010.04.014","ISSN":"0169-555X","issue":"3–4","journalAbbreviation":"Geomorphology","page":"377-386","source":"ScienceDirect","title":"Holocene soil-geomorphic surfaces influence the role of salmon-derived nutrients in the coastal temperate rainforest of Southeast Alaska","volume":"126","author":[{"family":"D'Amore","given":"David V."},{"family":"Bonzey","given":"Nicholas S."},{"family":"Berkowitz","given":"Jacob"},{"family":"Rüegg","given":"Janine"},{"family":"Bridgham","given":"Scott"}],"issued":{"date-parts":[["2011",3,15]]},"citation-key":"damore_2011"}},{"id":2083,"uris":["http://zotero.org/users/2189142/items/UL2T3I39"],"itemData":{"id":2083,"type":"article-journal","container-title":"Soil Science Society of America Journal","issue":"3","note":"publisher: Wiley Online Library","page":"877–887","source":"Google Scholar","title":"The nutrient legacy left by salmon tissue on riparian soils in Southeast Alaska","volume":"84","author":[{"family":"D'Amore","given":"David V."},{"family":"Chaloner","given":"Dominic T."},{"family":"Gerig","given":"Brandon S."},{"family":"Berkowitz","given":"Jacob F."},{"family":"Bridgham","given":"Scott D."}],"issued":{"date-parts":[["2020"]]},"citation-key":"damore_2020"}}],"schema":"https://github.com/citation-style-language/schema/raw/master/csl-citation.json"} </w:instrText>
      </w:r>
      <w:r w:rsidRPr="009867C1">
        <w:fldChar w:fldCharType="separate"/>
      </w:r>
      <w:r w:rsidR="0042141C" w:rsidRPr="009867C1">
        <w:t>(D’Amore et al., 2011, 2020)</w:t>
      </w:r>
      <w:r w:rsidRPr="009867C1">
        <w:fldChar w:fldCharType="end"/>
      </w:r>
      <w:r w:rsidRPr="009867C1">
        <w:t>, a point often overlooked in this literature but consistent with soil science’s understanding that different soil</w:t>
      </w:r>
      <w:r w:rsidR="00EE7E34">
        <w:t xml:space="preserve"> types</w:t>
      </w:r>
      <w:r w:rsidRPr="009867C1">
        <w:t xml:space="preserve"> have different nutrient dynamics. Collectively these studies demonstrate that nitrogen is associated with salmon carcass presence, but questions remain about the details of nitrogen cycling within soils, its form (NH</w:t>
      </w:r>
      <w:r w:rsidRPr="009867C1">
        <w:rPr>
          <w:vertAlign w:val="subscript"/>
        </w:rPr>
        <w:t>4</w:t>
      </w:r>
      <w:r w:rsidRPr="009867C1">
        <w:t>, NO</w:t>
      </w:r>
      <w:r w:rsidRPr="009867C1">
        <w:rPr>
          <w:vertAlign w:val="subscript"/>
        </w:rPr>
        <w:t>3</w:t>
      </w:r>
      <w:r w:rsidRPr="009867C1">
        <w:t xml:space="preserve">, </w:t>
      </w:r>
      <w:r w:rsidR="00447EAE">
        <w:t>dissolved organic nitrogen,</w:t>
      </w:r>
      <w:r w:rsidRPr="009867C1">
        <w:t xml:space="preserve"> efflux as N</w:t>
      </w:r>
      <w:r w:rsidRPr="009867C1">
        <w:rPr>
          <w:vertAlign w:val="subscript"/>
        </w:rPr>
        <w:t>2</w:t>
      </w:r>
      <w:r w:rsidRPr="009867C1">
        <w:t>O, etc.), and its fate (immobilized in the soil, leached, or volatilized)</w:t>
      </w:r>
      <w:r w:rsidR="00447EAE">
        <w:t>;</w:t>
      </w:r>
      <w:r w:rsidRPr="009867C1">
        <w:t xml:space="preserve"> as well as the interactions of </w:t>
      </w:r>
      <w:r w:rsidR="00EE7E34">
        <w:t xml:space="preserve">these </w:t>
      </w:r>
      <w:r w:rsidR="00447EAE">
        <w:t>factors</w:t>
      </w:r>
      <w:r w:rsidRPr="009867C1">
        <w:t xml:space="preserve"> with soil physical and biological context. Understanding the effects of MDN ultimately requires an understanding of nitrogen stocks and flows; this understanding has implications not only for N budgets but also for isotopic fractionation </w:t>
      </w:r>
      <w:r w:rsidR="008D5252">
        <w:t>factors</w:t>
      </w:r>
      <w:r w:rsidRPr="009867C1">
        <w:t xml:space="preserve">, without which interpretation of stable isotope data remains difficult </w:t>
      </w:r>
      <w:r w:rsidRPr="009867C1">
        <w:fldChar w:fldCharType="begin"/>
      </w:r>
      <w:r w:rsidR="00AC0205">
        <w:instrText xml:space="preserve"> ADDIN ZOTERO_ITEM CSL_CITATION {"citationID":"76A5bRwG","properties":{"formattedCitation":"(A. E. Morris et al., 2005a)","plainCitation":"(A. E. Morris et al., 2005a)","noteIndex":0},"citationItems":[{"id":1172,"uris":["http://zotero.org/users/2189142/items/T3H78Z53"],"itemData":{"id":1172,"type":"article-journal","container-title":"Canadian journal of forest research","issue":"7","page":"1604–1616","source":"Google Scholar","title":"Evaluation of isotopic fractionation error on calculations of marine-derived nitrogen in terrestrial ecosystems","volume":"35","author":[{"family":"Morris","given":"Arthur EL"},{"family":"Stark","given":"John M."},{"family":"Gilbert","given":"Barrie K."}],"issued":{"date-parts":[["2005"]]},"citation-key":"morris_2005"}}],"schema":"https://github.com/citation-style-language/schema/raw/master/csl-citation.json"} </w:instrText>
      </w:r>
      <w:r w:rsidRPr="009867C1">
        <w:fldChar w:fldCharType="separate"/>
      </w:r>
      <w:r w:rsidR="0042141C" w:rsidRPr="009867C1">
        <w:t>(A. E. Morris et al., 2005a)</w:t>
      </w:r>
      <w:r w:rsidRPr="009867C1">
        <w:fldChar w:fldCharType="end"/>
      </w:r>
      <w:r w:rsidRPr="009867C1">
        <w:t xml:space="preserve">. </w:t>
      </w:r>
      <w:r w:rsidR="00447EAE">
        <w:t>Because of this, w</w:t>
      </w:r>
      <w:r w:rsidRPr="009867C1">
        <w:t xml:space="preserve">e cannot confidently interpret stable isotope values without firmly understanding of the underlying soil chemistry in salmon-forest sites. </w:t>
      </w:r>
    </w:p>
    <w:p w14:paraId="41251C20" w14:textId="77A83815" w:rsidR="008832BF" w:rsidRPr="009867C1" w:rsidRDefault="008832BF" w:rsidP="008832BF">
      <w:pPr>
        <w:ind w:firstLine="720"/>
      </w:pPr>
      <w:r w:rsidRPr="009867C1">
        <w:t xml:space="preserve">Other important macronutrients </w:t>
      </w:r>
      <w:r w:rsidR="008378A8" w:rsidRPr="009867C1">
        <w:t xml:space="preserve">and parameters </w:t>
      </w:r>
      <w:r w:rsidRPr="009867C1">
        <w:t xml:space="preserve">have been rarely measured in soils influenced by salmon. pH, a ‘master variable’ in determining soil characteristics </w:t>
      </w:r>
      <w:r w:rsidRPr="009867C1">
        <w:fldChar w:fldCharType="begin"/>
      </w:r>
      <w:r w:rsidR="00AC0205">
        <w:instrText xml:space="preserve"> ADDIN ZOTERO_ITEM CSL_CITATION {"citationID":"JgtCr8hg","properties":{"formattedCitation":"(Strawn et al., 2020)","plainCitation":"(Strawn et al., 2020)","noteIndex":0},"citationItems":[{"id":113,"uris":["http://zotero.org/users/2189142/items/TKTKNWNC"],"itemData":{"id":113,"type":"book","abstract":"Provides comprehensive coverage of the chemical interactions among organic and inorganic solids, air, water, microorganisms, and the plant roots in soil This book focuses on the species and reaction processes of chemicals in soils, with applications to environmental and agricultural issues. Topics range from discussion of fundamental chemical processes to review of properties and reactions of chemicals in the environment. This new edition contains more examples, more illustrations, more details of calculations, and reorganized material within the chapters, including nearly 100 new equations and 51 new figures. Each section also ends with an important concepts overview as well as new questions for readers to answer.  Starting with an introduction to the subject, Soil Chemistry, 5th Edition offers in-depth coverage of properties of elements and molecules; characteristics of chemicals in soils; soil water chemistry; redox reactions in soils; mineralogy and weathering processes in soils; and chemistry of soil clays. The book also provides chapters that examine production and chemistry of soil organic matter; surface properties of soil colloids; adsorption processes in soils; measuring and predicting sorption processes in soils; soil acidity; and salt-affected soils.   Provides a basic description of important research and fundamental knowledge in the field of soil chemistry Contains more than 200 references provided in figure and table captions and at the end of the chapters Extensively revised with updated figures and tables   Soil Chemistry, 5th Edition is an excellent text for senior-level soil chemistry students.","edition":"5 edition","event-place":"Hoboken, NJ","ISBN":"978-1-119-51518-0","language":"English","number-of-pages":"376","publisher":"Wiley-Blackwell","publisher-place":"Hoboken, NJ","source":"Amazon","title":"Soil Chemistry, 5th edition","author":[{"family":"Strawn","given":"Daniel G."},{"family":"Bohn","given":"Hinrich L."},{"family":"O'Connor","given":"George A."}],"issued":{"date-parts":[["2020",1,28]]},"citation-key":"strawn_2020"}}],"schema":"https://github.com/citation-style-language/schema/raw/master/csl-citation.json"} </w:instrText>
      </w:r>
      <w:r w:rsidRPr="009867C1">
        <w:fldChar w:fldCharType="separate"/>
      </w:r>
      <w:r w:rsidR="0042141C" w:rsidRPr="009867C1">
        <w:rPr>
          <w:sz w:val="22"/>
        </w:rPr>
        <w:t>(Strawn et al., 2020)</w:t>
      </w:r>
      <w:r w:rsidRPr="009867C1">
        <w:fldChar w:fldCharType="end"/>
      </w:r>
      <w:r w:rsidRPr="009867C1">
        <w:t xml:space="preserve">, has only been reported in a single study </w:t>
      </w:r>
      <w:r w:rsidRPr="009867C1">
        <w:fldChar w:fldCharType="begin"/>
      </w:r>
      <w:r w:rsidR="00AC0205">
        <w:instrText xml:space="preserve"> ADDIN ZOTERO_ITEM CSL_CITATION {"citationID":"KpeYsbbs","properties":{"formattedCitation":"(Perry et al., 2017)","plainCitation":"(Perry et al., 2017)","noteIndex":0},"citationItems":[{"id":1599,"uris":["http://zotero.org/users/2189142/items/UCTPBSFV"],"itemData":{"id":1599,"type":"article-journal","abstract":"Riparian forest soils can be highly dynamic, due to frequent fluvial disturbance, erosion, and sediment deposition, but effects of dams on riparian soils are poorly understood. We examined soils along toposequences within three river segments located upstream, between, and downstream of two dams on the Elwha River to evaluate relationships between riparian soil development and forest age, succession, and channel proximity, explore dam effects on riparian soils, and provide a baseline for the largest dam removal in history. We found that older, later-successional forests and geomorphic surfaces contained soils with finer texture and greater depth to cobble, supporting greater forest floor mass, mineral soil nutrient levels, and cation exchange. Forest stand age was a better predictor than channel proximity for many soil characteristics, though elevation and distance from the channel were often also important, highlighting how complex interactions between fluvial disturbance, sediment deposition, and biotic retention regulate soil development in this ecosystem. Soils between the dams, and to a lesser extent below the lower dam, had finer textures and higher mineral soil carbon, nitrogen, and cation exchange than above the dams. These results suggested that decreased fluvial disturbance below the dams, due to reduced sediment supply and channel stabilization, accelerated soil development. In addition, reduced sediment supply below the dams may have decreased soil phosphorus. Soil δ15N suggested that salmon exclusion by the dams had no discernable effect on nitrogen inputs to upstream soils. Recent dam removal may alter riparian soils further, with ongoing implications for riparian ecosystems.","container-title":"Ecosystems","DOI":"10.1007/s10021-016-0080-1","ISSN":"1435-0629","issue":"1","journalAbbreviation":"Ecosystems","language":"en","page":"104-129","source":"Springer Link","title":"Riparian Soil Development Linked to Forest Succession Above and Below Dams Along the Elwha River, Washington, USA","volume":"20","author":[{"family":"Perry","given":"Laura G."},{"family":"Shafroth","given":"Patrick B."},{"family":"Perakis","given":"Steven S."}],"issued":{"date-parts":[["2017",1,1]]},"citation-key":"perry_2017"}}],"schema":"https://github.com/citation-style-language/schema/raw/master/csl-citation.json"} </w:instrText>
      </w:r>
      <w:r w:rsidRPr="009867C1">
        <w:fldChar w:fldCharType="separate"/>
      </w:r>
      <w:r w:rsidR="0042141C" w:rsidRPr="009867C1">
        <w:t>(Perry et al., 2017)</w:t>
      </w:r>
      <w:r w:rsidRPr="009867C1">
        <w:fldChar w:fldCharType="end"/>
      </w:r>
      <w:r w:rsidRPr="009867C1">
        <w:t xml:space="preserve"> where mineral soil pH </w:t>
      </w:r>
      <w:r w:rsidR="00447EAE">
        <w:t xml:space="preserve">was found to </w:t>
      </w:r>
      <w:r w:rsidRPr="009867C1">
        <w:t xml:space="preserve">increase with MDN. Phosphorus, a potentially limiting or co-limiting nutrient in forest systems, has only been measured in four studies, where it was found to increase with MDN in two studies </w:t>
      </w:r>
      <w:r w:rsidRPr="009867C1">
        <w:fldChar w:fldCharType="begin"/>
      </w:r>
      <w:r w:rsidR="00AC0205">
        <w:instrText xml:space="preserve"> ADDIN ZOTERO_ITEM CSL_CITATION {"citationID":"VWtL8gql","properties":{"formattedCitation":"(D\\uc0\\u8217{}Amore et al., 2020; Drake et al., 2005)","plainCitation":"(D’Amore et al., 2020; Drake et al., 2005)","noteIndex":0},"citationItems":[{"id":2083,"uris":["http://zotero.org/users/2189142/items/UL2T3I39"],"itemData":{"id":2083,"type":"article-journal","container-title":"Soil Science Society of America Journal","issue":"3","note":"publisher: Wiley Online Library","page":"877–887","source":"Google Scholar","title":"The nutrient legacy left by salmon tissue on riparian soils in Southeast Alaska","volume":"84","author":[{"family":"D'Amore","given":"David V."},{"family":"Chaloner","given":"Dominic T."},{"family":"Gerig","given":"Brandon S."},{"family":"Berkowitz","given":"Jacob F."},{"family":"Bridgham","given":"Scott D."}],"issued":{"date-parts":[["2020"]]},"citation-key":"damore_2020"}},{"id":795,"uris":["http://zotero.org/users/2189142/items/RN834UDP"],"itemData":{"id":795,"type":"article-journal","container-title":"Northwest Science","issue":"1","page":"61–71","source":"Google Scholar","title":"Salmon decay and nutrient contributions to riparian forest soils","volume":"79","author":[{"family":"Drake","given":"Deanne C."},{"family":"Smith","given":"Jaron V."},{"family":"Naiman","given":"Robert J."}],"issued":{"date-parts":[["2005"]]},"citation-key":"drake_2005"}}],"schema":"https://github.com/citation-style-language/schema/raw/master/csl-citation.json"} </w:instrText>
      </w:r>
      <w:r w:rsidRPr="009867C1">
        <w:fldChar w:fldCharType="separate"/>
      </w:r>
      <w:r w:rsidR="0042141C" w:rsidRPr="009867C1">
        <w:t>(D’Amore et al., 2020; Drake et al., 2005)</w:t>
      </w:r>
      <w:r w:rsidRPr="009867C1">
        <w:fldChar w:fldCharType="end"/>
      </w:r>
      <w:r w:rsidRPr="009867C1">
        <w:t xml:space="preserve">, not change in one </w:t>
      </w:r>
      <w:r w:rsidRPr="009867C1">
        <w:fldChar w:fldCharType="begin"/>
      </w:r>
      <w:r w:rsidR="00AC0205">
        <w:instrText xml:space="preserve"> ADDIN ZOTERO_ITEM CSL_CITATION {"citationID":"hmc8Ff0U","properties":{"formattedCitation":"(Bartz &amp; Naiman, 2005)","plainCitation":"(Bartz &amp; Naiman, 2005)","noteIndex":0},"citationItems":[{"id":979,"uris":["http://zotero.org/users/2189142/items/ZW3R5NUV"],"itemData":{"id":979,"type":"article-journal","container-title":"Ecosystems","issue":"5","page":"529–545","source":"Google Scholar","title":"Effects of salmon-borne nutrients on riparian soils and vegetation in southwest Alaska","volume":"8","author":[{"family":"Bartz","given":"Krista K."},{"family":"Naiman","given":"Robert J."}],"issued":{"date-parts":[["2005"]]},"citation-key":"bartz_2005"}}],"schema":"https://github.com/citation-style-language/schema/raw/master/csl-citation.json"} </w:instrText>
      </w:r>
      <w:r w:rsidRPr="009867C1">
        <w:fldChar w:fldCharType="separate"/>
      </w:r>
      <w:r w:rsidR="0042141C" w:rsidRPr="009867C1">
        <w:t>(Bartz &amp; Naiman, 2005)</w:t>
      </w:r>
      <w:r w:rsidRPr="009867C1">
        <w:fldChar w:fldCharType="end"/>
      </w:r>
      <w:r w:rsidRPr="009867C1">
        <w:t xml:space="preserve">, and decrease in another </w:t>
      </w:r>
      <w:r w:rsidRPr="009867C1">
        <w:fldChar w:fldCharType="begin"/>
      </w:r>
      <w:r w:rsidR="00AC0205">
        <w:instrText xml:space="preserve"> ADDIN ZOTERO_ITEM CSL_CITATION {"citationID":"VgTom4E7","properties":{"formattedCitation":"(Perry et al., 2017)","plainCitation":"(Perry et al., 2017)","noteIndex":0},"citationItems":[{"id":1599,"uris":["http://zotero.org/users/2189142/items/UCTPBSFV"],"itemData":{"id":1599,"type":"article-journal","abstract":"Riparian forest soils can be highly dynamic, due to frequent fluvial disturbance, erosion, and sediment deposition, but effects of dams on riparian soils are poorly understood. We examined soils along toposequences within three river segments located upstream, between, and downstream of two dams on the Elwha River to evaluate relationships between riparian soil development and forest age, succession, and channel proximity, explore dam effects on riparian soils, and provide a baseline for the largest dam removal in history. We found that older, later-successional forests and geomorphic surfaces contained soils with finer texture and greater depth to cobble, supporting greater forest floor mass, mineral soil nutrient levels, and cation exchange. Forest stand age was a better predictor than channel proximity for many soil characteristics, though elevation and distance from the channel were often also important, highlighting how complex interactions between fluvial disturbance, sediment deposition, and biotic retention regulate soil development in this ecosystem. Soils between the dams, and to a lesser extent below the lower dam, had finer textures and higher mineral soil carbon, nitrogen, and cation exchange than above the dams. These results suggested that decreased fluvial disturbance below the dams, due to reduced sediment supply and channel stabilization, accelerated soil development. In addition, reduced sediment supply below the dams may have decreased soil phosphorus. Soil δ15N suggested that salmon exclusion by the dams had no discernable effect on nitrogen inputs to upstream soils. Recent dam removal may alter riparian soils further, with ongoing implications for riparian ecosystems.","container-title":"Ecosystems","DOI":"10.1007/s10021-016-0080-1","ISSN":"1435-0629","issue":"1","journalAbbreviation":"Ecosystems","language":"en","page":"104-129","source":"Springer Link","title":"Riparian Soil Development Linked to Forest Succession Above and Below Dams Along the Elwha River, Washington, USA","volume":"20","author":[{"family":"Perry","given":"Laura G."},{"family":"Shafroth","given":"Patrick B."},{"family":"Perakis","given":"Steven S."}],"issued":{"date-parts":[["2017",1,1]]},"citation-key":"perry_2017"}}],"schema":"https://github.com/citation-style-language/schema/raw/master/csl-citation.json"} </w:instrText>
      </w:r>
      <w:r w:rsidRPr="009867C1">
        <w:fldChar w:fldCharType="separate"/>
      </w:r>
      <w:r w:rsidR="0042141C" w:rsidRPr="009867C1">
        <w:t>(Perry et al., 2017)</w:t>
      </w:r>
      <w:r w:rsidRPr="009867C1">
        <w:fldChar w:fldCharType="end"/>
      </w:r>
      <w:r w:rsidRPr="009867C1">
        <w:t xml:space="preserve">. Carbon is another ‘master variable’ in driving soil chemistry </w:t>
      </w:r>
      <w:r w:rsidRPr="009867C1">
        <w:fldChar w:fldCharType="begin"/>
      </w:r>
      <w:r w:rsidR="00AC0205">
        <w:instrText xml:space="preserve"> ADDIN ZOTERO_ITEM CSL_CITATION {"citationID":"0xOHn6UX","properties":{"formattedCitation":"(Tiessen et al., 1994)","plainCitation":"(Tiessen et al., 1994)","noteIndex":0},"citationItems":[{"id":2644,"uris":["http://zotero.org/users/2189142/items/38BQHR2Y"],"itemData":{"id":2644,"type":"article-journal","abstract":"MANY tropical soils are poor in inorganic nutrients and rely on the recycling of nutrients from soil organic matter to maintain fertility. In undisturbed rainforests such nutrients are recycled via the litter1; 'slash-and-burn' agriculture, meanwhile, depends on the mineralization of organic nutrients from the plant remains2,3 or on (short-lived) inputs from ash4. This dependence on organic nutrients in tropical soils has the result that tests of soil quality which only give isolated measures of inorganic nutrient status are unreliable5, and that the effects of fertilization can be inconsistent because of leaching or fixation of inorganic nutrients. Here we attempt to quantify the role of organic matter in sustaining the fertility of soils from three different climate zones. We estimate rates of carbon turnover from ecological measurements and 14C dating, and determine its relation to the soil carbon and nutrient budgets. We find that agriculture without supplementary fertilization was economical for 65 years on temperate prairie and for six years in a tropical semi-arid thorn forest. An extremely nutrient-poor Amazonian soil showed no potential for agriculture beyond the three-year lifespan of the forest litter mat, once biological nutrient cycles were interrupted by slash-burning. These observations suggest that quantification of organic-matter cycling may provide an important guide to the agricultural potential of soils.","container-title":"Nature","DOI":"10.1038/371783a0","ISSN":"1476-4687","issue":"6500","language":"en","note":"number: 6500\npublisher: Nature Publishing Group","page":"783-785","source":"www-nature-com.ezproxy.library.ubc.ca","title":"The role of soil organic matter in sustaining soil fertility","volume":"371","author":[{"family":"Tiessen","given":"H."},{"family":"Cuevas","given":"E."},{"family":"Chacon","given":"P."}],"issued":{"date-parts":[["1994",10]]},"citation-key":"tiessen_1994"}}],"schema":"https://github.com/citation-style-language/schema/raw/master/csl-citation.json"} </w:instrText>
      </w:r>
      <w:r w:rsidRPr="009867C1">
        <w:fldChar w:fldCharType="separate"/>
      </w:r>
      <w:r w:rsidR="0042141C" w:rsidRPr="009867C1">
        <w:t>(Tiessen et al., 1994)</w:t>
      </w:r>
      <w:r w:rsidRPr="009867C1">
        <w:fldChar w:fldCharType="end"/>
      </w:r>
      <w:r w:rsidR="00447EAE">
        <w:t>,</w:t>
      </w:r>
      <w:r w:rsidRPr="009867C1">
        <w:t xml:space="preserve"> but its relationship with MDN has only been measured in three studies. At two drier sites in Idaho, MDN increased soil carbon </w:t>
      </w:r>
      <w:r w:rsidRPr="009867C1">
        <w:fldChar w:fldCharType="begin"/>
      </w:r>
      <w:r w:rsidR="00AC0205">
        <w:instrText xml:space="preserve"> ADDIN ZOTERO_ITEM CSL_CITATION {"citationID":"dmr6WkeQ","properties":{"formattedCitation":"(T. A. Wheeler et al., 2014; T. A. Wheeler &amp; Kavanagh, 2017)","plainCitation":"(T. A. Wheeler et al., 2014; T. A. Wheeler &amp; Kavanagh, 2017)","noteIndex":0},"citationItems":[{"id":838,"uris":["http://zotero.org/users/2189142/items/G2C7ZEPI"],"itemData":{"id":838,"type":"article-journal","abstract":"Terrestrial salmon carcass decomposition and nutrient dynamics have been reported for coastal marine ecosystems of the Pacific Northwest but are lacking for semi-arid inland ecosystems of this region. Understanding these processes is a critical step in accurately understanding the biochemical responses to natural salmon deposition and appropriately mitigating for its loss. Additionally, the movement of carcasses for nutrient enhancement poses the risk of spreading pathogens and disease. Freezing and pasteurization of the carcasses reduces this risk. However, the effect of these treatments on decomposition processes is unknown. Decomposition rate and nutrient dynamics were investigated in semi-arid central Idaho by decomposing salmon carcasses in soil-filled microcosms. Rapid thermal accumulation in this semi-arid climate resulted in completion of soft tissue decomposition (skeletonization) in 16 days. Soil dissolved organic C (DOC) and dissolved total N (DTN) increased dramatically with respective increases from pretreatment concentrations of 7 and 48 fold by the time skeletonization occurred. Isotopic analysis of fluids beneath the carcasses revealed up to a 6‰ change in fluid δ13C and δ15N during decomposition as well as an overall 4‰ enrichment in mean fluid δ515N, relative to whole reference carcasses. Freezing and pasteurization of carcasses only yielded differences during the first few days of decomposition relative to the fresh carcasses. These results suggest that decomposition of carcasses in inland riparian forests proceeds very rapidly and that treated carcasses are suitable surrogates for fresh carcasses in semi-arid regions of central Idaho.","container-title":"Northwest Science","DOI":"10.3955/046.088.0206","ISSN":"0029-344X","issue":"2","journalAbbreviation":"Northwest Science","page":"106-119","source":"bioone.org.ezproxy.library.ubc.ca (Atypon)","title":"Terrestrial Salmon Carcass Decomposition: Nutrient and Isotopic Dynamics in Central Idaho","title-short":"Terrestrial Salmon Carcass Decomposition","volume":"88","author":[{"family":"Wheeler","given":"Tadd A."},{"family":"Kavanagh","given":"Kathleen L."},{"family":"Daanen","given":"Steven A."}],"issued":{"date-parts":[["2014",5,1]]},"citation-key":"wheeler_2014"}},{"id":1598,"uris":["http://zotero.org/users/2189142/items/DF4W6BUL"],"itemData":{"id":1598,"type":"article-journal","abstract":"The historic abundance of salmonids returning to natal streams of the inland Pacific Northwest, USA, may have constituted a major nutrient influx into these commonly oligotrophic ecosystems. Inland..., L’abondance historique des salmonidés qui reviennent vers les cours d’eau où ils ont vu le jour dans l’arrière-pays du Pacific Northwest aux États-Unis, ont pu constituer un apport majeur de nutrim...","container-title":"Canadian Journal of Forest Research","DOI":"10.1139/cjfr-2017-0194","ISSN":"0045-5067","issue":"11","journalAbbreviation":"Can. J. For. Res.","page":"1506-1516","source":"NRC Research Press","title":"Soil biogeochemical responses to the deposition of anadromous fish carcasses in inland riparian forests of the Pacific Northwest, USA","volume":"47","author":[{"family":"Wheeler","given":"Tadd A."},{"family":"Kavanagh","given":"Kathleen L."}],"issued":{"date-parts":[["2017",9,5]]},"citation-key":"wheeler_2017"}}],"schema":"https://github.com/citation-style-language/schema/raw/master/csl-citation.json"} </w:instrText>
      </w:r>
      <w:r w:rsidRPr="009867C1">
        <w:fldChar w:fldCharType="separate"/>
      </w:r>
      <w:r w:rsidR="0042141C" w:rsidRPr="009867C1">
        <w:t>(T. A. Wheeler et al., 2014; T. A. Wheeler &amp; Kavanagh, 2017)</w:t>
      </w:r>
      <w:r w:rsidRPr="009867C1">
        <w:fldChar w:fldCharType="end"/>
      </w:r>
      <w:r w:rsidRPr="009867C1">
        <w:t xml:space="preserve">, while sites along a series of dams in coastal Washington showed mixed results </w:t>
      </w:r>
      <w:r w:rsidRPr="009867C1">
        <w:fldChar w:fldCharType="begin"/>
      </w:r>
      <w:r w:rsidR="00AC0205">
        <w:instrText xml:space="preserve"> ADDIN ZOTERO_ITEM CSL_CITATION {"citationID":"c2QqZgJc","properties":{"formattedCitation":"(Perry et al., 2017)","plainCitation":"(Perry et al., 2017)","noteIndex":0},"citationItems":[{"id":1599,"uris":["http://zotero.org/users/2189142/items/UCTPBSFV"],"itemData":{"id":1599,"type":"article-journal","abstract":"Riparian forest soils can be highly dynamic, due to frequent fluvial disturbance, erosion, and sediment deposition, but effects of dams on riparian soils are poorly understood. We examined soils along toposequences within three river segments located upstream, between, and downstream of two dams on the Elwha River to evaluate relationships between riparian soil development and forest age, succession, and channel proximity, explore dam effects on riparian soils, and provide a baseline for the largest dam removal in history. We found that older, later-successional forests and geomorphic surfaces contained soils with finer texture and greater depth to cobble, supporting greater forest floor mass, mineral soil nutrient levels, and cation exchange. Forest stand age was a better predictor than channel proximity for many soil characteristics, though elevation and distance from the channel were often also important, highlighting how complex interactions between fluvial disturbance, sediment deposition, and biotic retention regulate soil development in this ecosystem. Soils between the dams, and to a lesser extent below the lower dam, had finer textures and higher mineral soil carbon, nitrogen, and cation exchange than above the dams. These results suggested that decreased fluvial disturbance below the dams, due to reduced sediment supply and channel stabilization, accelerated soil development. In addition, reduced sediment supply below the dams may have decreased soil phosphorus. Soil δ15N suggested that salmon exclusion by the dams had no discernable effect on nitrogen inputs to upstream soils. Recent dam removal may alter riparian soils further, with ongoing implications for riparian ecosystems.","container-title":"Ecosystems","DOI":"10.1007/s10021-016-0080-1","ISSN":"1435-0629","issue":"1","journalAbbreviation":"Ecosystems","language":"en","page":"104-129","source":"Springer Link","title":"Riparian Soil Development Linked to Forest Succession Above and Below Dams Along the Elwha River, Washington, USA","volume":"20","author":[{"family":"Perry","given":"Laura G."},{"family":"Shafroth","given":"Patrick B."},{"family":"Perakis","given":"Steven S."}],"issued":{"date-parts":[["2017",1,1]]},"citation-key":"perry_2017"}}],"schema":"https://github.com/citation-style-language/schema/raw/master/csl-citation.json"} </w:instrText>
      </w:r>
      <w:r w:rsidRPr="009867C1">
        <w:fldChar w:fldCharType="separate"/>
      </w:r>
      <w:r w:rsidR="0042141C" w:rsidRPr="009867C1">
        <w:t>(Perry et al., 2017)</w:t>
      </w:r>
      <w:r w:rsidRPr="009867C1">
        <w:fldChar w:fldCharType="end"/>
      </w:r>
      <w:r w:rsidRPr="009867C1">
        <w:t xml:space="preserve">. Potassium has only been reported in two studies, where it was found to increase with MDN in one study </w:t>
      </w:r>
      <w:r w:rsidRPr="009867C1">
        <w:fldChar w:fldCharType="begin"/>
      </w:r>
      <w:r w:rsidR="00AC0205">
        <w:instrText xml:space="preserve"> ADDIN ZOTERO_ITEM CSL_CITATION {"citationID":"rBHgwBKl","properties":{"formattedCitation":"(Drake et al., 2005)","plainCitation":"(Drake et al., 2005)","noteIndex":0},"citationItems":[{"id":795,"uris":["http://zotero.org/users/2189142/items/RN834UDP"],"itemData":{"id":795,"type":"article-journal","container-title":"Northwest Science","issue":"1","page":"61–71","source":"Google Scholar","title":"Salmon decay and nutrient contributions to riparian forest soils","volume":"79","author":[{"family":"Drake","given":"Deanne C."},{"family":"Smith","given":"Jaron V."},{"family":"Naiman","given":"Robert J."}],"issued":{"date-parts":[["2005"]]},"citation-key":"drake_2005"}}],"schema":"https://github.com/citation-style-language/schema/raw/master/csl-citation.json"} </w:instrText>
      </w:r>
      <w:r w:rsidRPr="009867C1">
        <w:fldChar w:fldCharType="separate"/>
      </w:r>
      <w:r w:rsidR="0042141C" w:rsidRPr="009867C1">
        <w:t>(Drake et al., 2005)</w:t>
      </w:r>
      <w:r w:rsidRPr="009867C1">
        <w:fldChar w:fldCharType="end"/>
      </w:r>
      <w:r w:rsidRPr="009867C1">
        <w:t xml:space="preserve"> and decrease in another </w:t>
      </w:r>
      <w:r w:rsidRPr="009867C1">
        <w:fldChar w:fldCharType="begin"/>
      </w:r>
      <w:r w:rsidR="00AC0205">
        <w:instrText xml:space="preserve"> ADDIN ZOTERO_ITEM CSL_CITATION {"citationID":"nKkoNnDB","properties":{"formattedCitation":"(Perry et al., 2017)","plainCitation":"(Perry et al., 2017)","noteIndex":0},"citationItems":[{"id":1599,"uris":["http://zotero.org/users/2189142/items/UCTPBSFV"],"itemData":{"id":1599,"type":"article-journal","abstract":"Riparian forest soils can be highly dynamic, due to frequent fluvial disturbance, erosion, and sediment deposition, but effects of dams on riparian soils are poorly understood. We examined soils along toposequences within three river segments located upstream, between, and downstream of two dams on the Elwha River to evaluate relationships between riparian soil development and forest age, succession, and channel proximity, explore dam effects on riparian soils, and provide a baseline for the largest dam removal in history. We found that older, later-successional forests and geomorphic surfaces contained soils with finer texture and greater depth to cobble, supporting greater forest floor mass, mineral soil nutrient levels, and cation exchange. Forest stand age was a better predictor than channel proximity for many soil characteristics, though elevation and distance from the channel were often also important, highlighting how complex interactions between fluvial disturbance, sediment deposition, and biotic retention regulate soil development in this ecosystem. Soils between the dams, and to a lesser extent below the lower dam, had finer textures and higher mineral soil carbon, nitrogen, and cation exchange than above the dams. These results suggested that decreased fluvial disturbance below the dams, due to reduced sediment supply and channel stabilization, accelerated soil development. In addition, reduced sediment supply below the dams may have decreased soil phosphorus. Soil δ15N suggested that salmon exclusion by the dams had no discernable effect on nitrogen inputs to upstream soils. Recent dam removal may alter riparian soils further, with ongoing implications for riparian ecosystems.","container-title":"Ecosystems","DOI":"10.1007/s10021-016-0080-1","ISSN":"1435-0629","issue":"1","journalAbbreviation":"Ecosystems","language":"en","page":"104-129","source":"Springer Link","title":"Riparian Soil Development Linked to Forest Succession Above and Below Dams Along the Elwha River, Washington, USA","volume":"20","author":[{"family":"Perry","given":"Laura G."},{"family":"Shafroth","given":"Patrick B."},{"family":"Perakis","given":"Steven S."}],"issued":{"date-parts":[["2017",1,1]]},"citation-key":"perry_2017"}}],"schema":"https://github.com/citation-style-language/schema/raw/master/csl-citation.json"} </w:instrText>
      </w:r>
      <w:r w:rsidRPr="009867C1">
        <w:fldChar w:fldCharType="separate"/>
      </w:r>
      <w:r w:rsidR="0042141C" w:rsidRPr="009867C1">
        <w:t>(Perry et al., 2017)</w:t>
      </w:r>
      <w:r w:rsidRPr="009867C1">
        <w:fldChar w:fldCharType="end"/>
      </w:r>
      <w:r w:rsidRPr="009867C1">
        <w:t xml:space="preserve">. Sulfur has only been reported once </w:t>
      </w:r>
      <w:r w:rsidRPr="009867C1">
        <w:fldChar w:fldCharType="begin"/>
      </w:r>
      <w:r w:rsidR="00AC0205">
        <w:instrText xml:space="preserve"> ADDIN ZOTERO_ITEM CSL_CITATION {"citationID":"2IAA3B2u","properties":{"formattedCitation":"(Drake et al., 2005)","plainCitation":"(Drake et al., 2005)","noteIndex":0},"citationItems":[{"id":795,"uris":["http://zotero.org/users/2189142/items/RN834UDP"],"itemData":{"id":795,"type":"article-journal","container-title":"Northwest Science","issue":"1","page":"61–71","source":"Google Scholar","title":"Salmon decay and nutrient contributions to riparian forest soils","volume":"79","author":[{"family":"Drake","given":"Deanne C."},{"family":"Smith","given":"Jaron V."},{"family":"Naiman","given":"Robert J."}],"issued":{"date-parts":[["2005"]]},"citation-key":"drake_2005"}}],"schema":"https://github.com/citation-style-language/schema/raw/master/csl-citation.json"} </w:instrText>
      </w:r>
      <w:r w:rsidRPr="009867C1">
        <w:fldChar w:fldCharType="separate"/>
      </w:r>
      <w:r w:rsidR="0042141C" w:rsidRPr="009867C1">
        <w:t>(Drake et al., 2005)</w:t>
      </w:r>
      <w:r w:rsidRPr="009867C1">
        <w:fldChar w:fldCharType="end"/>
      </w:r>
      <w:r w:rsidRPr="009867C1">
        <w:t xml:space="preserve"> and was positively correlated with MDN. These findings show that there remain large gaps in our knowledge of soil macronutrients that are important drivers of salmon-forest soil chemistry and plant health.</w:t>
      </w:r>
    </w:p>
    <w:p w14:paraId="47B4DA88" w14:textId="351C9CBC" w:rsidR="008832BF" w:rsidRPr="009867C1" w:rsidRDefault="008832BF" w:rsidP="008832BF">
      <w:pPr>
        <w:ind w:firstLine="720"/>
      </w:pPr>
      <w:r w:rsidRPr="009867C1">
        <w:t>Even larger gaps remain in our understanding of the effects of salmon on soil micronutrients that are important for soil fertility. Cations (Ca</w:t>
      </w:r>
      <w:r w:rsidR="006920FB" w:rsidRPr="006920FB">
        <w:rPr>
          <w:vertAlign w:val="superscript"/>
        </w:rPr>
        <w:t>2+</w:t>
      </w:r>
      <w:r w:rsidRPr="009867C1">
        <w:t>, Mg</w:t>
      </w:r>
      <w:r w:rsidR="006920FB" w:rsidRPr="006920FB">
        <w:rPr>
          <w:vertAlign w:val="superscript"/>
        </w:rPr>
        <w:t>2+</w:t>
      </w:r>
      <w:r w:rsidRPr="009867C1">
        <w:t>, Na</w:t>
      </w:r>
      <w:r w:rsidR="006920FB">
        <w:rPr>
          <w:vertAlign w:val="superscript"/>
        </w:rPr>
        <w:t>+</w:t>
      </w:r>
      <w:r w:rsidRPr="009867C1">
        <w:t xml:space="preserve">) are strongly associated with </w:t>
      </w:r>
      <w:r w:rsidR="008378A8" w:rsidRPr="009867C1">
        <w:t xml:space="preserve">both </w:t>
      </w:r>
      <w:r w:rsidRPr="009867C1">
        <w:t xml:space="preserve">soil fertility and nitrogen dynamics </w:t>
      </w:r>
      <w:r w:rsidRPr="009867C1">
        <w:fldChar w:fldCharType="begin"/>
      </w:r>
      <w:r w:rsidR="00AC0205">
        <w:instrText xml:space="preserve"> ADDIN ZOTERO_ITEM CSL_CITATION {"citationID":"MNKzN4z7","properties":{"formattedCitation":"(Perakis et al., 2006)","plainCitation":"(Perakis et al., 2006)","noteIndex":0},"citationItems":[{"id":1318,"uris":["http://zotero.org/users/2189142/items/3CDK9I3R"],"itemData":{"id":1318,"type":"article-journal","container-title":"Ecosystems","issue":"1","page":"63–74","source":"Google Scholar","title":"Coupled nitrogen and calcium cycles in forests of the Oregon Coast Range","volume":"9","author":[{"family":"Perakis","given":"Steven S."},{"family":"Maguire","given":"Douglas A."},{"family":"Bullen","given":"Thomas D."},{"family":"Cromack","given":"Kermit"},{"family":"Waring","given":"Richard H."},{"family":"Boyle","given":"James R."}],"issued":{"date-parts":[["2006"]]},"citation-key":"perakis_2006"}}],"schema":"https://github.com/citation-style-language/schema/raw/master/csl-citation.json"} </w:instrText>
      </w:r>
      <w:r w:rsidRPr="009867C1">
        <w:fldChar w:fldCharType="separate"/>
      </w:r>
      <w:r w:rsidR="0042141C" w:rsidRPr="009867C1">
        <w:t>(Perakis et al., 2006)</w:t>
      </w:r>
      <w:r w:rsidRPr="009867C1">
        <w:fldChar w:fldCharType="end"/>
      </w:r>
      <w:r w:rsidRPr="009867C1">
        <w:t xml:space="preserve">, but have only been reported twice, showing no change with MDN </w:t>
      </w:r>
      <w:r w:rsidRPr="009867C1">
        <w:fldChar w:fldCharType="begin"/>
      </w:r>
      <w:r w:rsidR="00AC0205">
        <w:instrText xml:space="preserve"> ADDIN ZOTERO_ITEM CSL_CITATION {"citationID":"mPI0xXYj","properties":{"formattedCitation":"(Drake et al., 2005)","plainCitation":"(Drake et al., 2005)","noteIndex":0},"citationItems":[{"id":795,"uris":["http://zotero.org/users/2189142/items/RN834UDP"],"itemData":{"id":795,"type":"article-journal","container-title":"Northwest Science","issue":"1","page":"61–71","source":"Google Scholar","title":"Salmon decay and nutrient contributions to riparian forest soils","volume":"79","author":[{"family":"Drake","given":"Deanne C."},{"family":"Smith","given":"Jaron V."},{"family":"Naiman","given":"Robert J."}],"issued":{"date-parts":[["2005"]]},"citation-key":"drake_2005"}}],"schema":"https://github.com/citation-style-language/schema/raw/master/csl-citation.json"} </w:instrText>
      </w:r>
      <w:r w:rsidRPr="009867C1">
        <w:fldChar w:fldCharType="separate"/>
      </w:r>
      <w:r w:rsidR="0042141C" w:rsidRPr="009867C1">
        <w:t>(Drake et al., 2005)</w:t>
      </w:r>
      <w:r w:rsidRPr="009867C1">
        <w:fldChar w:fldCharType="end"/>
      </w:r>
      <w:r w:rsidRPr="009867C1">
        <w:t xml:space="preserve"> or an increasing tendency </w:t>
      </w:r>
      <w:r w:rsidRPr="009867C1">
        <w:fldChar w:fldCharType="begin"/>
      </w:r>
      <w:r w:rsidR="00AC0205">
        <w:instrText xml:space="preserve"> ADDIN ZOTERO_ITEM CSL_CITATION {"citationID":"LJ0POzjL","properties":{"formattedCitation":"(Perry et al., 2017)","plainCitation":"(Perry et al., 2017)","noteIndex":0},"citationItems":[{"id":1599,"uris":["http://zotero.org/users/2189142/items/UCTPBSFV"],"itemData":{"id":1599,"type":"article-journal","abstract":"Riparian forest soils can be highly dynamic, due to frequent fluvial disturbance, erosion, and sediment deposition, but effects of dams on riparian soils are poorly understood. We examined soils along toposequences within three river segments located upstream, between, and downstream of two dams on the Elwha River to evaluate relationships between riparian soil development and forest age, succession, and channel proximity, explore dam effects on riparian soils, and provide a baseline for the largest dam removal in history. We found that older, later-successional forests and geomorphic surfaces contained soils with finer texture and greater depth to cobble, supporting greater forest floor mass, mineral soil nutrient levels, and cation exchange. Forest stand age was a better predictor than channel proximity for many soil characteristics, though elevation and distance from the channel were often also important, highlighting how complex interactions between fluvial disturbance, sediment deposition, and biotic retention regulate soil development in this ecosystem. Soils between the dams, and to a lesser extent below the lower dam, had finer textures and higher mineral soil carbon, nitrogen, and cation exchange than above the dams. These results suggested that decreased fluvial disturbance below the dams, due to reduced sediment supply and channel stabilization, accelerated soil development. In addition, reduced sediment supply below the dams may have decreased soil phosphorus. Soil δ15N suggested that salmon exclusion by the dams had no discernable effect on nitrogen inputs to upstream soils. Recent dam removal may alter riparian soils further, with ongoing implications for riparian ecosystems.","container-title":"Ecosystems","DOI":"10.1007/s10021-016-0080-1","ISSN":"1435-0629","issue":"1","journalAbbreviation":"Ecosystems","language":"en","page":"104-129","source":"Springer Link","title":"Riparian Soil Development Linked to Forest Succession Above and Below Dams Along the Elwha River, Washington, USA","volume":"20","author":[{"family":"Perry","given":"Laura G."},{"family":"Shafroth","given":"Patrick B."},{"family":"Perakis","given":"Steven S."}],"issued":{"date-parts":[["2017",1,1]]},"citation-key":"perry_2017"}}],"schema":"https://github.com/citation-style-language/schema/raw/master/csl-citation.json"} </w:instrText>
      </w:r>
      <w:r w:rsidRPr="009867C1">
        <w:fldChar w:fldCharType="separate"/>
      </w:r>
      <w:r w:rsidR="0042141C" w:rsidRPr="009867C1">
        <w:t>(Perry et al., 2017)</w:t>
      </w:r>
      <w:r w:rsidRPr="009867C1">
        <w:fldChar w:fldCharType="end"/>
      </w:r>
      <w:r w:rsidRPr="009867C1">
        <w:t xml:space="preserve">. Manganese has important implications in soil microbiome community structure </w:t>
      </w:r>
      <w:r w:rsidRPr="009867C1">
        <w:fldChar w:fldCharType="begin"/>
      </w:r>
      <w:r w:rsidR="00AC0205">
        <w:instrText xml:space="preserve"> ADDIN ZOTERO_ITEM CSL_CITATION {"citationID":"rFJAR8ay","properties":{"formattedCitation":"(Kranabetter, 2019)","plainCitation":"(Kranabetter, 2019)","noteIndex":0},"citationItems":[{"id":1577,"uris":["http://zotero.org/users/2189142/items/YWFNN8JM"],"itemData":{"id":1577,"type":"article-journal","abstract":"Forest floor carbon (C) sequestration has been negatively correlated with manganese (Mn) availability, possibly due to reduced efficacy of Mn-peridoxase enzymes produced by Agaricomycete fungi. I examined a soil C and Mn dataset from a podzolization gradient, along with fungal sporocarp Mn concentrations, to potentially corroborate this finding. An inverse power relationship between soil C and soil Mn content across temperate rainforests was confirmed, which provides further evidence of a Mn bottleneck in C turnover. Average Mn concentrations of saprotrophic sporocarps were greater than those of ectomycorrhizal fungi, and displayed a similar inverse correlation with increasing soil C. The absence or limited effectiveness of select saprotrophic fungi across Mn-depleted forest soils may be one mechanism behind impeded turnover of recalcitrant organic matter.","container-title":"Soil Biology and Biochemistry","DOI":"10.1016/j.soilbio.2018.11.001","ISSN":"0038-0717","journalAbbreviation":"Soil Biology and Biochemistry","language":"en","page":"179-181","source":"ScienceDirect","title":"Increasing soil carbon content with declining soil manganese in temperate rainforests: is there a link to fungal Mn?","title-short":"Increasing soil carbon content with declining soil manganese in temperate rainforests","volume":"128","author":[{"family":"Kranabetter","given":"J. M."}],"issued":{"date-parts":[["2019",1,1]]},"citation-key":"kranabetter_2019a"}}],"schema":"https://github.com/citation-style-language/schema/raw/master/csl-citation.json"} </w:instrText>
      </w:r>
      <w:r w:rsidRPr="009867C1">
        <w:fldChar w:fldCharType="separate"/>
      </w:r>
      <w:r w:rsidR="0042141C" w:rsidRPr="009867C1">
        <w:t>(Kranabetter, 2019)</w:t>
      </w:r>
      <w:r w:rsidRPr="009867C1">
        <w:fldChar w:fldCharType="end"/>
      </w:r>
      <w:r w:rsidRPr="009867C1">
        <w:t xml:space="preserve"> but has only been reported once where it increased with MDN </w:t>
      </w:r>
      <w:r w:rsidRPr="009867C1">
        <w:fldChar w:fldCharType="begin"/>
      </w:r>
      <w:r w:rsidR="00AC0205">
        <w:instrText xml:space="preserve"> ADDIN ZOTERO_ITEM CSL_CITATION {"citationID":"5c4dAHMX","properties":{"formattedCitation":"(Drake et al., 2005)","plainCitation":"(Drake et al., 2005)","noteIndex":0},"citationItems":[{"id":795,"uris":["http://zotero.org/users/2189142/items/RN834UDP"],"itemData":{"id":795,"type":"article-journal","container-title":"Northwest Science","issue":"1","page":"61–71","source":"Google Scholar","title":"Salmon decay and nutrient contributions to riparian forest soils","volume":"79","author":[{"family":"Drake","given":"Deanne C."},{"family":"Smith","given":"Jaron V."},{"family":"Naiman","given":"Robert J."}],"issued":{"date-parts":[["2005"]]},"citation-key":"drake_2005"}}],"schema":"https://github.com/citation-style-language/schema/raw/master/csl-citation.json"} </w:instrText>
      </w:r>
      <w:r w:rsidRPr="009867C1">
        <w:fldChar w:fldCharType="separate"/>
      </w:r>
      <w:r w:rsidR="0042141C" w:rsidRPr="009867C1">
        <w:t>(Drake et al., 2005)</w:t>
      </w:r>
      <w:r w:rsidRPr="009867C1">
        <w:fldChar w:fldCharType="end"/>
      </w:r>
      <w:r w:rsidRPr="009867C1">
        <w:t xml:space="preserve">. Finally, soil fertility is also impacted by the concentrations of certain metals, particularly aluminum and iron, and particularly in low-pH forest soils associated with conifer forests </w:t>
      </w:r>
      <w:r w:rsidRPr="009867C1">
        <w:fldChar w:fldCharType="begin"/>
      </w:r>
      <w:r w:rsidR="00AC0205">
        <w:instrText xml:space="preserve"> ADDIN ZOTERO_ITEM CSL_CITATION {"citationID":"aaShO6W0","properties":{"formattedCitation":"(Boj\\uc0\\u243{}rquez-Quintal et al., 2017; X. Q. Zhao et al., 2014)","plainCitation":"(Bojórquez-Quintal et al., 2017; X. Q. Zhao et al., 2014)","noteIndex":0},"citationItems":[{"id":1990,"uris":["http://zotero.org/users/2189142/items/LF3FBEWQ"],"itemData":{"id":1990,"type":"article-journal","abstract":"Aluminum (Al) is the most abundant metal in the earth's crust, but its availability depends on soil pH. Despite this abundance, Al is not considered an essential element and so far no experimental evidence has been put forward for a biological role. In plants and other organisms, Al can have a beneficial or toxic effect, depending on factors such as, the concentration of the metal, the chemical form of Al, growth conditions and plant species. Here we review recent advances in the study of Al in plants at physiological, biochemical and molecular levels, focusing mainly on the beneficial effect of aluminum in plants (stimulation of root growth, increased nutrient uptake, the increase in enzyme activity, etc.). In addition, we discuss the possible mechanisms involved in improving the growth of plants cultivated in soils with acid pH, as well as mechanisms of tolerance to the toxic effect of aluminum.","container-title":"Frontiers in Plant Science","DOI":"10.3389/fpls.2017.01767","ISSN":"1664-462X","journalAbbreviation":"Front. Plant Sci.","language":"English","note":"publisher: Frontiers","source":"Frontiers","title":"Aluminum, a Friend or Foe of Higher Plants in Acid Soils","URL":"https://www.frontiersin.org/articles/10.3389/fpls.2017.01767/full","volume":"8","author":[{"family":"Bojórquez-Quintal","given":"Emanuel"},{"family":"Escalante-Magaña","given":"Camilo"},{"family":"Echevarría-Machado","given":"Ileana"},{"family":"Martínez-Estévez","given":"Manuel"}],"accessed":{"date-parts":[["2020",4,30]]},"issued":{"date-parts":[["2017"]]},"citation-key":"bojorquez-quintal_2017"}},{"id":2020,"uris":["http://zotero.org/users/2189142/items/V28CWQU7"],"itemData":{"id":2020,"type":"article-journal","abstract":"Soil acidification is an increasing problem in agricultural production and ecological stability worldwide. An understanding of the mechanisms by which plants adapt to acidic soils would help address this problem. Poor plant growth in acidic soils results from a variety of factors, including proton toxicity; deficiencies in nitrogen, phosphorus, calcium, magnesium; and toxicities of various metals (aluminum (Al), manganese, iron). Aluminum toxicity is generally the primary limitation for plant growth in acidic soils. Although much research has focused on Al toxicity in recent decades, it is rarely the only limiting factor in acidic soils. The occurrence of Al toxicity depends on many other factors that coexist with Al in acidic soils. The interactions between Al and such factors are important determinants of Al toxicity to plants under field conditions. In this review, therefore, instead of focusing only on mechanisms of Al tolerance, we examine the effects of the interactions between Al and other limiting factors on plant adaptation to acidic soils. We summarize research on the interactions between Al and nitrogen, phosphorus, pH, and iron. Accordingly, three strategies are proposed to improve plant growth in acidic soils: a combined application of lime and nutrients, depending on the types of soils and plants; development of plant varieties tolerant to multiple stresses; and inoculation of plants with certain beneficial microbes. This review emphasizes the ability of plants to coadapt to multiple stresses in acidic soils.","container-title":"Soil Science","DOI":"10.1097/SS.0000000000000086","ISSN":"0038-075X","issue":"10-11","language":"en-US","page":"503–513","source":"journals-lww-com.ezproxy.library.ubc.ca","title":"Coadaptation of Plants to Multiple Stresses in Acidic Soils","volume":"179","author":[{"family":"Zhao","given":"Xue Qiang"},{"family":"Chen","given":"Rong Fu"},{"family":"Shen","given":"Ren Fang"}],"issued":{"date-parts":[["2014",11]]},"citation-key":"zhao_2014"}}],"schema":"https://github.com/citation-style-language/schema/raw/master/csl-citation.json"} </w:instrText>
      </w:r>
      <w:r w:rsidRPr="009867C1">
        <w:fldChar w:fldCharType="separate"/>
      </w:r>
      <w:r w:rsidR="0042141C" w:rsidRPr="009867C1">
        <w:t>(Bojórquez-Quintal et al., 2017; X. Q. Zhao et al., 2014)</w:t>
      </w:r>
      <w:r w:rsidRPr="009867C1">
        <w:fldChar w:fldCharType="end"/>
      </w:r>
      <w:r w:rsidRPr="009867C1">
        <w:t xml:space="preserve">. These elements frequently interact with soil nitrogen cycling and organic matter content </w:t>
      </w:r>
      <w:r w:rsidRPr="009867C1">
        <w:fldChar w:fldCharType="begin"/>
      </w:r>
      <w:r w:rsidR="00AC0205">
        <w:instrText xml:space="preserve"> ADDIN ZOTERO_ITEM CSL_CITATION {"citationID":"P8US1x6d","properties":{"formattedCitation":"(X. Q. Zhao &amp; Shen, 2018)","plainCitation":"(X. Q. Zhao &amp; Shen, 2018)","noteIndex":0},"citationItems":[{"id":2643,"uris":["http://zotero.org/users/2189142/items/YLHJ4HFT"],"itemData":{"id":2643,"type":"article-journal","abstract":"Aluminum (Al) is the most abundant metal in the Earth’s crust and is not an essential element for plant growth. In contrast, nitrogen (N) is the most important mineral element for plant growth, but this non-metal is often present at low levels in soils, and plants are often N deficient. Aluminum toxicity is dominant in acid soils, and so plants growing in acid soils have to overcome both Al toxicity and N limitation. Because of low N-use efficiency, large amounts of N fertilizers are applied to crop fields to achieve high yields, leading to soil acidification and potential Al toxicity. Aluminum lowers plant N uptake and N-use efficiency because Al inhibits root growth. Although numerous studies have investigated the interactions between Al and N, a complete review of these studies was lacking. This review describes: 1) the link between plant Al tolerance and ammonium/nitrate (NH4+/NO3-) preference; 2) the effects of NH4+/NO3- and pH on Al toxicity; 3) the effects of Al on soil N transformations; and 4) the effects of Al on NH4+/NO3- uptake and assimilation by plants. Acid soils are characterized chemically by a relatively high ratio of NH4+ to NO3- and high concentrations of toxic Al. Aluminum-tolerant plants generally prefer NH4+ as an N source, while Al-sensitive plants prefer NO3-. Compared with NO3-, NH4+ increases the solubilization of toxic Al into soil solutions, but NH4+ generally alleviates Al phytotoxicity under solution culture because the protons from NH4+ compete with Al3+ for adsorption sites on the root surface. Plant NO3- uptake and nitrate reductase activity are both inhibited by Al, while plant NH4+ uptake is inhibited to a smaller degree than NO3-. Together, the results of numerous studies indicate that there is a synergistic interaction between plant Al tolerance and NH4+ nutrition. This has important implications for the adaptation of plants to acid soils that are dominated chemically by toxic Al as well as NH4+. Finally, we discuss how this knowledge can be used to increase plant Al tolerance and N-use efficiency in acid soils.","container-title":"Frontiers in Plant Science","DOI":"10.3389/fpls.2018.00807","ISSN":"1664-462X","journalAbbreviation":"Front. Plant Sci.","language":"English","note":"publisher: Frontiers","source":"Frontiers","title":"Aluminum–Nitrogen Interactions in the Soil–Plant System","URL":"https://www.frontiersin.org/articles/10.3389/fpls.2018.00807/full","volume":"9","author":[{"family":"Zhao","given":"Xue Qiang"},{"family":"Shen","given":"Ren F."}],"accessed":{"date-parts":[["2020",3,26]]},"issued":{"date-parts":[["2018"]]},"citation-key":"zhao_2018"}}],"schema":"https://github.com/citation-style-language/schema/raw/master/csl-citation.json"} </w:instrText>
      </w:r>
      <w:r w:rsidRPr="009867C1">
        <w:fldChar w:fldCharType="separate"/>
      </w:r>
      <w:r w:rsidR="0042141C" w:rsidRPr="009867C1">
        <w:t>(X. Q. Zhao &amp; Shen, 2018)</w:t>
      </w:r>
      <w:r w:rsidRPr="009867C1">
        <w:fldChar w:fldCharType="end"/>
      </w:r>
      <w:r w:rsidRPr="009867C1">
        <w:t>, and hence may co</w:t>
      </w:r>
      <w:r w:rsidR="00F75D14">
        <w:t>-</w:t>
      </w:r>
      <w:r w:rsidRPr="009867C1">
        <w:t>vary with MDN loading. Despite this, the effects of salmon on soil aluminum ha</w:t>
      </w:r>
      <w:r w:rsidR="00CF6B65">
        <w:t>ve</w:t>
      </w:r>
      <w:r w:rsidRPr="009867C1">
        <w:t xml:space="preserve"> never been reported in the literature and iron only once, where it was correlated with MDN addition </w:t>
      </w:r>
      <w:r w:rsidRPr="009867C1">
        <w:fldChar w:fldCharType="begin"/>
      </w:r>
      <w:r w:rsidR="00AC0205">
        <w:instrText xml:space="preserve"> ADDIN ZOTERO_ITEM CSL_CITATION {"citationID":"AYHVhS8w","properties":{"formattedCitation":"(Drake et al., 2005)","plainCitation":"(Drake et al., 2005)","noteIndex":0},"citationItems":[{"id":795,"uris":["http://zotero.org/users/2189142/items/RN834UDP"],"itemData":{"id":795,"type":"article-journal","container-title":"Northwest Science","issue":"1","page":"61–71","source":"Google Scholar","title":"Salmon decay and nutrient contributions to riparian forest soils","volume":"79","author":[{"family":"Drake","given":"Deanne C."},{"family":"Smith","given":"Jaron V."},{"family":"Naiman","given":"Robert J."}],"issued":{"date-parts":[["2005"]]},"citation-key":"drake_2005"}}],"schema":"https://github.com/citation-style-language/schema/raw/master/csl-citation.json"} </w:instrText>
      </w:r>
      <w:r w:rsidRPr="009867C1">
        <w:fldChar w:fldCharType="separate"/>
      </w:r>
      <w:r w:rsidR="0042141C" w:rsidRPr="009867C1">
        <w:t>(Drake et al., 2005)</w:t>
      </w:r>
      <w:r w:rsidRPr="009867C1">
        <w:fldChar w:fldCharType="end"/>
      </w:r>
      <w:r w:rsidRPr="009867C1">
        <w:t>.</w:t>
      </w:r>
    </w:p>
    <w:p w14:paraId="00306442" w14:textId="3D0566F4" w:rsidR="008832BF" w:rsidRPr="009867C1" w:rsidRDefault="008832BF" w:rsidP="008832BF">
      <w:pPr>
        <w:ind w:firstLine="720"/>
      </w:pPr>
      <w:r w:rsidRPr="009867C1">
        <w:t xml:space="preserve">An often-neglected aspect of salmon nutrient subsidy is the concentration and transportation of persistent organic pollutants (POPs, including brominated flame retardants (PBDRs), diclorodiphenyltrichloroethanes (DDTs), and polychlorinated biphenyls (PCBs), among others) </w:t>
      </w:r>
      <w:r w:rsidRPr="009867C1">
        <w:fldChar w:fldCharType="begin"/>
      </w:r>
      <w:r w:rsidR="00AC0205">
        <w:instrText xml:space="preserve"> ADDIN ZOTERO_ITEM CSL_CITATION {"citationID":"u92WKvFe","properties":{"formattedCitation":"(Kr\\uc0\\u252{}mmel et al., 2003)","plainCitation":"(Krümmel et al., 2003)","noteIndex":0},"citationItems":[{"id":1221,"uris":["http://zotero.org/users/2189142/items/J7CWJAQD"],"itemData":{"id":1221,"type":"article-journal","abstract":"Pollutants are widely distributed by the atmosphere and the oceans. Contaminants can also be transported by salmon and amplified through the food chain. Here we show that groups of migrating sockeye salmon (Oncorhynchus nerka) can act as bulk-transport vectors of persistent industrial pollutants known as polychlorinated biphenyls (PCBs), which they assimilate from the ocean and then convey over vast distances back to their natal spawning lakes. After spawning, the fish die in their thousands — delivering their toxic cargo to the lake sediment and increasing its PCB content by more than sevenfold when the density of returning salmon is high.","container-title":"Nature","DOI":"10.1038/425255a","ISSN":"0028-0836","issue":"6955","journalAbbreviation":"Nature","page":"255-256","source":"www.nature.com.ezproxy.library.ubc.ca","title":"Aquatic ecology: Delivery of pollutants by spawning salmon","title-short":"Aquatic ecology","volume":"425","author":[{"family":"Krümmel","given":"E. M."},{"family":"Macdonald","given":"R. W."},{"family":"Kimpe","given":"L. E."},{"family":"Gregory-Eaves","given":"I."},{"family":"Demers","given":"M. J."},{"family":"Smol","given":"J. P."},{"family":"Finney","given":"B."},{"family":"Blais","given":"J. M."}],"issued":{"date-parts":[["2003",9,18]]},"citation-key":"krummel_2003"}}],"schema":"https://github.com/citation-style-language/schema/raw/master/csl-citation.json"} </w:instrText>
      </w:r>
      <w:r w:rsidRPr="009867C1">
        <w:fldChar w:fldCharType="separate"/>
      </w:r>
      <w:r w:rsidR="0042141C" w:rsidRPr="009867C1">
        <w:t>(Krümmel et al., 2003)</w:t>
      </w:r>
      <w:r w:rsidRPr="009867C1">
        <w:fldChar w:fldCharType="end"/>
      </w:r>
      <w:r w:rsidRPr="009867C1">
        <w:t xml:space="preserve">. POPs have been found to be deposited by salmon in Alaska </w:t>
      </w:r>
      <w:r w:rsidRPr="009867C1">
        <w:fldChar w:fldCharType="begin"/>
      </w:r>
      <w:r w:rsidR="00AC0205">
        <w:instrText xml:space="preserve"> ADDIN ZOTERO_ITEM CSL_CITATION {"citationID":"eX4d4JGn","properties":{"formattedCitation":"(Ewald et al., 1998)","plainCitation":"(Ewald et al., 1998)","noteIndex":0},"citationItems":[{"id":1220,"uris":["http://zotero.org/users/2189142/items/V6GM2JCA"],"itemData":{"id":1220,"type":"article-journal","abstract":"Persistent organic pollutants such as polychlorinated biphenyls (PCBs) and the pesticide DDT, known to harm wildlife, have been shown to reach pristine Subarctic and Arctic areas by global atmospheric transport. Another transport route for pollutant entry into these ecosystems is provided by migrating salmon. Pollutant transport was studied in a population of sockeye salmon (Oncorhynchus nerka) in the Copper River, Alaska during their 410 km spawning mighration. Pollutants accumulated by the salmon during their ocean life stage were not eliminated during migration, but were transported to the spawning lakes and accumulated in the freshwater food web there. The influence of the biotransported pollutants was investigated by comparing pollutant levels and compositions in atmospheric deposition as well in two different populations of arctic grayling (Thymallus arcticus). One grayling population was in the salmon spawning lake and the other in a nearby lake not hosting anadromous fish, but receiving pollutants only via atmospheric deposition. The grayling in the salmon spawning lake were found to have concentrations of organic pollutants more than two times higher than those of the grayling in the salmon-free lake, and the pollutant composition resembled that found in salmon. Thus, in the studied Alaska river system, biotransport was found to have a far greater influence than atmospheric input on the PCB and DDT levels in lake biota.   Key words: biotransport, Pacific salmon, Oncorhynchus nerka, arctic grayling, Thymallus arcticus, organic pollutants, PCB, DDT, lipids, Copper River, Alaska","container-title":"ARCTIC","DOI":"10.14430/arctic1043","ISSN":"1923-1245","issue":"1","page":"40-47","source":"arctic.journalhosting.ucalgary.ca.ezproxy.library.ubc.ca","title":"Biotransport of Organic Pollutants to an Inland Alaska Lake by Migrating Sockeye Salmon ( Oncorhynchus nerka )","volume":"51","author":[{"family":"Ewald","given":"Göran"},{"family":"Larsson","given":"Per"},{"family":"Linge","given":"Henric"},{"family":"Okla","given":"Lennart"},{"family":"Szarzi","given":"Nicole"}],"issued":{"date-parts":[["1998",1,1]]},"citation-key":"ewald_1998"}}],"schema":"https://github.com/citation-style-language/schema/raw/master/csl-citation.json"} </w:instrText>
      </w:r>
      <w:r w:rsidRPr="009867C1">
        <w:fldChar w:fldCharType="separate"/>
      </w:r>
      <w:r w:rsidR="0042141C" w:rsidRPr="009867C1">
        <w:t>(Ewald et al., 1998)</w:t>
      </w:r>
      <w:r w:rsidRPr="009867C1">
        <w:fldChar w:fldCharType="end"/>
      </w:r>
      <w:r w:rsidRPr="009867C1">
        <w:t xml:space="preserve">, the Fraser basin </w:t>
      </w:r>
      <w:r w:rsidRPr="009867C1">
        <w:fldChar w:fldCharType="begin"/>
      </w:r>
      <w:r w:rsidR="00AC0205">
        <w:instrText xml:space="preserve"> ADDIN ZOTERO_ITEM CSL_CITATION {"citationID":"qBm2E9UC","properties":{"formattedCitation":"(Kelly et al., 2007)","plainCitation":"(Kelly et al., 2007)","noteIndex":0},"citationItems":[{"id":1214,"uris":["http://zotero.org/users/2189142/items/P76SCQQH"],"itemData":{"id":1214,"type":"article-journal","abstract":"Pacific sockeye salmon (Oncorhynchus nerka) can travel several hundred kilometers to reach native spawning grounds and fulfill semelparous reproduction. The dramatic changes in lipid reserves during upstream migration can greatly affect internal toxicokinetics of persistent organic pollutants (POPs) such as PCBs, PCDDs, and PCDFs. We measured lipid content changes and contaminant concentrations in tissues (liver, muscle, roe/gonads) and biomarker responses (ethoxyresorufin O-deethylase or EROD activity and CYP1A levels) in two Pacific sockeye salmon stocks sampled at several locations along their spawning migration in the Fraser River, British Columbia. Muscle lipid contents declined significantly with increasing upstream migration distance and corresponded to elevated lipid normalized concentrations of PCBs and PCDD/Fs in spawning sockeye. Post-migration magnification factors (MFs) in spawning sockeye ranged between 3 and 12 and were comparable to model-predicted MFs. ΣPCBs (150−500 ng·g-1 lipid), ΣPCDD/Fs (1−1000 pg·g-1 lipid) and 2,3,7,8-TCDD toxic equivalent or TEQ levels (0.1−15 pg·g-1 lipid) in spawning sockeye were relatively low and did not affect hepatic EROD activity/CYP1A induction. Despite a 3-fold magnification, TEQ levels in eggs of spawning Fraser River sockeye did not exceed 0.3 pg·g-1 wet wt, a threshold level associated with 30% egg mortality in salmonids. PCBs in Fraser River sockeye are comparable to previous levels in Pacific sockeye. In contrast to Pacific sockeye from more remote coastal locations, PCDDs and PCDFs in Fraser River sockeye were generally minor components (&lt;25%) of TEQ levels, compared to dioxin like PCB contributions (&gt;75%). The data suggest that (i) the Fraser River is not a major contamination source of PCBs or PCDD/Fs and (ii) marine contaminant distribution, food-chain dynamics, and ocean-migration pathway are likely important factors controlling levels and patterns of POPs in returning Pacific sockeye. We estimate an annual chemical flux entering the Fraser River of up to 150 g for ∑PCBs and 40 mg for ∑PCDD/Fs via returning sockeye. The results indicate that historical concentrations of PCBs and PCDD/Fs remain a potential threat to organism and ecosystem health on the west coast of Canada.","container-title":"Environmental Science &amp; Technology","DOI":"10.1021/es061559n","ISSN":"0013-936X","issue":"9","journalAbbreviation":"Environ. Sci. Technol.","page":"3083-3089","source":"ACS Publications","title":"Lipid Reserve Dynamics and Magnification of Persistent Organic Pollutants in Spawning Sockeye Salmon (Oncorhynchus nerka) from the Fraser River, British Columbia","volume":"41","author":[{"family":"Kelly","given":"Barry C."},{"family":"Gray","given":"Samantha L."},{"family":"Ikonomou","given":"Michael G."},{"family":"Macdonald","given":"J. Steve"},{"family":"Bandiera","given":"Stelvio M."},{"family":"Hrycay","given":"Eugene G."}],"issued":{"date-parts":[["2007",5,1]]},"citation-key":"kelly_2007"}}],"schema":"https://github.com/citation-style-language/schema/raw/master/csl-citation.json"} </w:instrText>
      </w:r>
      <w:r w:rsidRPr="009867C1">
        <w:fldChar w:fldCharType="separate"/>
      </w:r>
      <w:r w:rsidR="0042141C" w:rsidRPr="009867C1">
        <w:t>(Kelly et al., 2007)</w:t>
      </w:r>
      <w:r w:rsidRPr="009867C1">
        <w:fldChar w:fldCharType="end"/>
      </w:r>
      <w:r w:rsidRPr="009867C1">
        <w:t xml:space="preserve">, and </w:t>
      </w:r>
      <w:r w:rsidR="00447EAE">
        <w:t xml:space="preserve">have been </w:t>
      </w:r>
      <w:r w:rsidRPr="009867C1">
        <w:t xml:space="preserve">associated with </w:t>
      </w:r>
      <w:r w:rsidR="006920FB">
        <w:t>s</w:t>
      </w:r>
      <w:r w:rsidRPr="009867C1">
        <w:t xml:space="preserve">ockeye hatcheries in BC </w:t>
      </w:r>
      <w:r w:rsidRPr="009867C1">
        <w:fldChar w:fldCharType="begin"/>
      </w:r>
      <w:r w:rsidR="00AC0205">
        <w:instrText xml:space="preserve"> ADDIN ZOTERO_ITEM CSL_CITATION {"citationID":"9LQICSyY","properties":{"formattedCitation":"(Kelly et al., 2008)","plainCitation":"(Kelly et al., 2008)","noteIndex":0},"citationItems":[{"id":1213,"uris":["http://zotero.org/users/2189142/items/8NVIRADK"],"itemData":{"id":1213,"type":"article-journal","abstract":"Recent studies have reported the occurrence of persistent organic pollutants (POPs) in commercial feeds used by fish hatcheries and aquaculture facilities. We measured levels of polychlorinated biphenyls (PCBs), polychlorinated dibenzo-p-dioxins (PCDDs), polychlorinated dibenzo furans (PCDFs), as well as several organochlorine pesticides (OCPs) in several aquafeeds as well as fry and smolts collected from four federal salmonid hatcheries from coastal British Columbia. ΣPCBs in aquafeed samples (n = 22) averaged 270 ± 136 ng/g lipid. ΣDDTs, ΣToxaphene, ΣChlordanes, ΣChlorobenzenes, ΣHexachlorocyclohexanes, dieldrin, endrin and pentachloroanisole in feeds ranged between 0.6 and 200 ng/g lipid. ΣPCDD/F levels in feed samples were relatively low (77 ± 50 pg/g lipid). In some cases, contaminant levels and patterns varied between different feed brands (i.e., Moore–Clarke, EWOS and OMP). ∑PCB concentrations (ng/g lipid) in Moore–Clarke (154.3 ± 88.9) were significantly lower (p &amp;lt; 0.05) than ∑PCBs in OMP (319.8 ± 101) and EWOS (376.3 ± 88.2) feeds, which is likely due to different constituent composition in the Moore–Clarke feed. As young hatchery salmon smolts are sequentially introduced to increasingly lipid-rich starter feeds (which contain higher contaminant burdens), dietary exposure of POPs generally increases during the rearing process. However, tissue residue concentrations of POPs in smolts remained relatively low compared to feed, as denoted by the relatively low biomagnification factors of the various POPs (BMFs between 0.2 and 3). 2,3,7,8 TCCD toxic equivalent concentrations (TEQs) in smolts (0.21 ± 0.19 pg/g wet wt.) were generally below levels associated with dioxin-like toxic effects. The highest TEQ was observed in Robertson Creek smolts (0.38 ± 0.11 pg/g wet wt). Biochemical response measurements (EROD activity and CYPIA levels) in liver tissue of those smolts did not show any indication of negative impacts associated with aryl hydrocarbon (Ah) receptor inducers such as dioxins/furans and dioxin-like PCBs.","container-title":"Aquaculture","DOI":"10.1016/j.aquaculture.2008.08.035","ISSN":"0044-8486","issue":"1–4","journalAbbreviation":"Aquaculture","page":"224-233","source":"ScienceDirect","title":"Persistent organic pollutants in aquafeed and Pacific salmon smolts from fish hatcheries in British Columbia, Canada","volume":"285","author":[{"family":"Kelly","given":"Barry C."},{"family":"Fernandez","given":"Marc P."},{"family":"Ikonomou","given":"Michael G."},{"family":"Knapp","given":"Wayne"}],"issued":{"date-parts":[["2008",12,7]]},"citation-key":"kelly_2008"}}],"schema":"https://github.com/citation-style-language/schema/raw/master/csl-citation.json"} </w:instrText>
      </w:r>
      <w:r w:rsidRPr="009867C1">
        <w:fldChar w:fldCharType="separate"/>
      </w:r>
      <w:r w:rsidR="0042141C" w:rsidRPr="009867C1">
        <w:t>(Kelly et al., 2008)</w:t>
      </w:r>
      <w:r w:rsidRPr="009867C1">
        <w:fldChar w:fldCharType="end"/>
      </w:r>
      <w:r w:rsidRPr="009867C1">
        <w:t>. Evidence of POP contamination via salmon pathways ha</w:t>
      </w:r>
      <w:r w:rsidR="00CF6B65">
        <w:t>s</w:t>
      </w:r>
      <w:r w:rsidRPr="009867C1">
        <w:t xml:space="preserve"> been found on the BC Central Coast in American dippers </w:t>
      </w:r>
      <w:r w:rsidRPr="009867C1">
        <w:fldChar w:fldCharType="begin"/>
      </w:r>
      <w:r w:rsidR="00AC0205">
        <w:instrText xml:space="preserve"> ADDIN ZOTERO_ITEM CSL_CITATION {"citationID":"vkqm4Fw1","properties":{"formattedCitation":"(Morrissey et al., 2012)","plainCitation":"(Morrissey et al., 2012)","noteIndex":0},"citationItems":[{"id":1354,"uris":["http://zotero.org/users/2189142/items/CWJIUEJ3"],"itemData":{"id":1354,"type":"article-journal","abstract":"Migrating salmon can increase productivity in Pacific Northwestern streams and lakes through the deposition of nutrients from their decomposing carcasses after spawning. Several studies also report simultaneous biotransport of persistent organic pollutants that have contaminated lake food webs, although no similar effect has been shown conclusively in rivers. We tested the prediction that salmon enhance contaminants in river food webs using the American dipper (Cinclus mexicanus), an aquatic songbird and a recognized indicator of stream quality. Over 3 years, we analyzed 29 dipper eggs and aquatic invertebrate samples from 14 different rivers in 10 catchments in southern British Columbia, Canada to assess whether variations in autumn spawning density of Pacific salmon were reflected in dipper egg contamination or stable carbon and nitrogen isotopes. δ13C isotope signatures, but not δ15N, in aquatic invertebrates and dipper eggs increased among catchments in proportion to the average density of spawning salmon. Concentrations of brominated flame retardants (PBDEs), dichlorodiphenyltrichloroethane metabolites (DDTs), and chlordane compounds were related in part to the δ13C measure of salmon density, but mercury, chlorobenzenes, and polychlorinated biphenyls (PCBs) were explained better by dipper trophic level. We conclude that spawning Pacific salmon result in the increased availability of salmon fry as dipper prey and salmon are a significant source of PBDEs, DDTs, and chlordanes to river ecosystems. However, contrary to lake studies, postspawn concentrations of legacy PCBs in river birds, even in salmon-rich rivers, were not significantly higher than would be expected from atmospheric deposition alone. We recommend using δ13C isotopes to trace salmon-derived lipids which may persist over winter particularly in rivers, and are potentially a better reflection of lipophilic contaminant transfer.","container-title":"Environmental Science &amp; Technology","DOI":"10.1021/es2028058","ISSN":"0013-936X","issue":"2","journalAbbreviation":"Environ. Sci. Technol.","page":"1153-1162","source":"ACS Publications","title":"American Dippers Indicate Contaminant Biotransport by Pacific Salmon","volume":"46","author":[{"family":"Morrissey","given":"Christy A."},{"family":"Pollet","given":"Ingrid L."},{"family":"Ormerod","given":"Steve J."},{"family":"Elliott","given":"John E."}],"issued":{"date-parts":[["2012",1,17]]},"citation-key":"morrissey_2012"}}],"schema":"https://github.com/citation-style-language/schema/raw/master/csl-citation.json"} </w:instrText>
      </w:r>
      <w:r w:rsidRPr="009867C1">
        <w:fldChar w:fldCharType="separate"/>
      </w:r>
      <w:r w:rsidR="0042141C" w:rsidRPr="009867C1">
        <w:t>(Morrissey et al., 2012)</w:t>
      </w:r>
      <w:r w:rsidRPr="009867C1">
        <w:fldChar w:fldCharType="end"/>
      </w:r>
      <w:r w:rsidRPr="009867C1">
        <w:t xml:space="preserve">, and these bio-accumulating pollutants may have detrimental effects </w:t>
      </w:r>
      <w:r w:rsidR="00CF6B65">
        <w:t>on</w:t>
      </w:r>
      <w:r w:rsidRPr="009867C1">
        <w:t xml:space="preserve"> predators at higher trophic levels such as bears </w:t>
      </w:r>
      <w:r w:rsidRPr="009867C1">
        <w:fldChar w:fldCharType="begin"/>
      </w:r>
      <w:r w:rsidR="00AC0205">
        <w:instrText xml:space="preserve"> ADDIN ZOTERO_ITEM CSL_CITATION {"citationID":"knbGp5TM","properties":{"formattedCitation":"(Christensen, 2008)","plainCitation":"(Christensen, 2008)","noteIndex":0},"citationItems":[{"id":1216,"uris":["http://zotero.org/users/2189142/items/BQUXJFRT"],"itemData":{"id":1216,"type":"thesis","abstract":"This thesis characterizes major factors influencing the accumulation of polychlorinated biphenyls (PCBs), organochlorine (OC) pesticides, and polybrominated diphenyl ethers (PBDEs), in grizzly bears.  \nDietary differences among grizzly bears have significant implications for contaminant concentrations and patterns.  While salmon-eating bears were dominated by lipophilic PCBs, OC pesticides, and lower-brominated PBDEs, non-salmon-eating bears were dominated by the more volatile PCBs and OC pesticides and higher-brominated PBDEs (e.g. BDE-209).  Overall, the ocean-salmon-bear pathway appeared to preferentially select for those contaminants with an intermediate log Kow ~6.5, with salmon delivering up to 70% of OC pesticides, 85% of PBDEs and 90% of PCBs to grizzly bears.\nFat utilization by grizzly bears during hibernation results in significant contaminant concentration increases in residual fat (“concentration effect”).  Overall, total PCBs increased by 2.21 times from pre- to post-hibernation, and total PBDEs by 1.58 times.  Interestingly, the patterns of the two distinct pre-hibernation grizzly bear feeding ecologies (salmon- and non-salmon-eating) converged during hibernation, suggesting that shared metabolic capacities drive POP patterns during hibernation.\nRelative to salmon, grizzly bears have extremely low biomagnification factors (BMFs) for PCBs (0.147), compared to other marine mammals.  Low BMF values were a result of &gt;90% depuration (loss) of PCBs through contaminant metabolism and excretion.  The results suggest that grizzly bears only metabolize PCB congeners with meta- and para- vicinal hydrogen (H) atoms, suggesting that they have active cytochrome (CYP) P450 2B/3A-like metabolic enzymes.  However, congeners structurally resistant to metabolic biotransformation, and those with ortho- and meta- vicinal H atoms, were not readily metabolized, but rather were lost through excretion.  This was evidenced by a significant relationship between total retention (Rtotal) of those congeners and log Kow, as well as a lack of change in that relationship during hibernation.\nVegetation and the terrestrial food web were dominated by PBDEs and volatile OC pesticides and PCBs, while salmon and the marine food web were dominated by lipophilic PCBs and OC pesticides, mirroring patterns in grizzly bears within their respective food web.  Following consumption of these various foods by the grizzly bears, fecal material closely resembled food in contaminant pattern, suggesting that many of the contaminants may go unabsorbed.  \nWhile previous work identified major factors (e.g. age, sex, diet) influencing POP behaviour in wildlife and food webs, this research highlights the need to refine our ideas about those factors in order to better assess chemical health risk in wildlife by considering: 1) individual differences in feeding behaviour; 2) integrated dietary histories (temporal changes); 3) unique biological traits affecting POP fate; 4) modes of POP loss other than metabolism; 5) selection of the most recalcitrant congener for more robust analysis of POP behaviour; 6) use of non-invasive techniques to study diet and POP exposure; and, 7) tissue residue guidelines underestimate health risks.  Our results also suggest that PBDEs show POP-type characteristics as defined under the Stockholm Convention, and thus should be regulated.","genre":"Thesis","language":"en","source":"dspace.library.uvic.ca:8443","title":"Factors affecting persistent organic pollutant (POP) accumulation in British Columbia grizzly bears (Ursus arctos horribilis)","URL":"https://dspace.library.uvic.ca//handle/1828/890","author":[{"family":"Christensen","given":"Jennie R."}],"accessed":{"date-parts":[["2017",4,7]]},"issued":{"date-parts":[["2008"]]},"citation-key":"christensen_2008"}}],"schema":"https://github.com/citation-style-language/schema/raw/master/csl-citation.json"} </w:instrText>
      </w:r>
      <w:r w:rsidRPr="009867C1">
        <w:fldChar w:fldCharType="separate"/>
      </w:r>
      <w:r w:rsidR="0042141C" w:rsidRPr="009867C1">
        <w:t>(Christensen, 2008)</w:t>
      </w:r>
      <w:r w:rsidRPr="009867C1">
        <w:fldChar w:fldCharType="end"/>
      </w:r>
      <w:r w:rsidRPr="009867C1">
        <w:t xml:space="preserve"> and killer whales </w:t>
      </w:r>
      <w:r w:rsidRPr="009867C1">
        <w:fldChar w:fldCharType="begin"/>
      </w:r>
      <w:r w:rsidR="00AC0205">
        <w:instrText xml:space="preserve"> ADDIN ZOTERO_ITEM CSL_CITATION {"citationID":"fgLuEB3d","properties":{"formattedCitation":"(Cullon et al., 2009)","plainCitation":"(Cullon et al., 2009)","noteIndex":0},"citationItems":[{"id":1218,"uris":["http://zotero.org/users/2189142/items/MISWEXKV"],"itemData":{"id":1218,"type":"article-journal","abstract":"We measured persistent organic pollutant (POP) concentrations in chinook salmon (Oncorhynchus tshawytscha) in order to characterize dietary exposure in the highly contaminated, salmon-eating northeastern Pacific resident killer whales. We estimate that 97 to 99% of polychlorinated biphenyls (PCBs), polychlorinated dibenzo-p-dioxins (PCDDs), polychlorinated dibenzofurans (PCDFs), dichlorodiphenyltrichloroethane (DDT), and hexachlorocyclohexane (HCH) in returning adult chinook were acquired during their time at sea. Highest POP concentrations (including PCBs, PCDDs, PCDFs, and DDT) and lowest lipids were observed in the more southerly chinook sampled. While feeding by salmon as they enter some more POP-contaminated near-shore environments inevitably contribute to their contamination, relationships observed between POP patterns and both lipid content and δ13C also suggest a migration-related metabolism and loss of the less-chlorinated PCB congeners. This has implications for killer whales, with the more PCB-contaminated salmon stocks in the south partly explaining the 4.0 to 6.6 times higher estimated daily intake for ΣPCBs in southern resident killer whales compared to northern residents. We hypothesize that the lower lipid content of southerly chinook stocks may cause southern resident killer whales to increase their salmon consumption by as much as 50%, which would further increase their exposure to POPs.","container-title":"Environmental Toxicology and Chemistry","DOI":"10.1897/08-125.1","ISSN":"1552-8618","issue":"1","journalAbbreviation":"Environmental Toxicology and Chemistry","language":"en","page":"148-161","source":"Wiley Online Library","title":"Persistent organic pollutants in chinook salmon (Oncorhynchus tshawytscha): Implications for resident killer whales of british columbia and adjacent waters","title-short":"Persistent organic pollutants in chinook salmon (Oncorhynchus tshawytscha)","volume":"28","author":[{"family":"Cullon","given":"Donna L."},{"family":"Yunker","given":"Mark B."},{"family":"Alleyne","given":"Carl"},{"family":"Dangerfield","given":"Neil J."},{"family":"O'Neill","given":"Sandra"},{"family":"Whiticar","given":"Michael J."},{"family":"Ross","given":"Peter S."}],"issued":{"date-parts":[["2009",1,1]]},"citation-key":"cullon_2009"}}],"schema":"https://github.com/citation-style-language/schema/raw/master/csl-citation.json"} </w:instrText>
      </w:r>
      <w:r w:rsidRPr="009867C1">
        <w:fldChar w:fldCharType="separate"/>
      </w:r>
      <w:r w:rsidR="0042141C" w:rsidRPr="009867C1">
        <w:t>(Cullon et al., 2009)</w:t>
      </w:r>
      <w:r w:rsidRPr="009867C1">
        <w:fldChar w:fldCharType="end"/>
      </w:r>
      <w:r w:rsidRPr="009867C1">
        <w:t>. These pollutants are important to quantify not only for the management of animal and human health, but they may also be</w:t>
      </w:r>
      <w:r w:rsidR="00CF6B65">
        <w:t xml:space="preserve"> (somewhat perversely)</w:t>
      </w:r>
      <w:r w:rsidRPr="009867C1">
        <w:t xml:space="preserve"> leveraged as chemical tracer</w:t>
      </w:r>
      <w:r w:rsidR="00CF6B65">
        <w:t>s</w:t>
      </w:r>
      <w:r w:rsidRPr="009867C1">
        <w:t xml:space="preserve"> to complement stable-isotope inferences of MDN ecosystem contributions </w:t>
      </w:r>
      <w:r w:rsidRPr="009867C1">
        <w:fldChar w:fldCharType="begin"/>
      </w:r>
      <w:r w:rsidR="00AC0205">
        <w:instrText xml:space="preserve"> ADDIN ZOTERO_ITEM CSL_CITATION {"citationID":"HTaLabCL","properties":{"formattedCitation":"(O\\uc0\\u8217{}Neill et al., 2020)","plainCitation":"(O’Neill et al., 2020)","noteIndex":0},"citationItems":[{"id":2383,"uris":["http://zotero.org/users/2189142/items/KA2H86PY"],"itemData":{"id":2383,"type":"article-journal","abstract":"Understanding the spatial extent, magnitude, and source of contaminant exposure in biota is necessary to formulate appropriate conservation measures to reduce or remediate contaminant exposure. However, obtaining such information for migratory animals is challenging. Juvenile Chinook salmon (Oncorhynchus tshawytscha), a threatened species throughout the US Pacific Northwest, are exposed to persistent organic pollutants (POPs), including polybrominated diphenyl ether (PBDE) flame retardants and polychlorinated biphenyls (PCBs), in many developed rivers and estuaries. This study used three types of complementary chemical tracer data (contaminant concentrations, POP fingerprints, and stable isotopes), to determine the location and source of contaminant exposure for natural- and hatchery-origin Chinook salmon migrating seaward through a developed watershed with multiple contaminant sources. Concentration data revealed that salmon were exposed to and accumulated predominantly PBDEs and PCBs in the lower mainstem region of the river, with higher PBDEs in natural- than hatchery-origin fish but similar PCBs in both groups, associated with differences in contaminant inputs and/or habitat use. The POP fingerprints of the natural-origin-fish captured from this region were also distinct from other region and origin sample groups, with much higher proportions of PBDEs in the total POP concentration, indicating a different contaminant source or habitat use than the hatchery-origin fish. Stable isotopes, independent tracers of food sources and habitat use, revealed that natural-origin fish from this region also had depleted δ15N signatures compared to other sample groups, associated with exposure to nutrient-rich wastewater. The PBDE-enhanced POP fingerprints in these salmon were correlated with the degree of depletion in nitrogen stable isotopes of the fish, suggesting a common wastewater source for both the PBDEs and the nitrogen. Identification of the location and source of contaminant exposure allows environmental managers to establish conservation measures to control contaminant inputs, necessary steps to improve the health of Chinook salmon and enhance their marine survival.","container-title":"Science of The Total Environment","DOI":"10.1016/j.scitotenv.2019.135516","ISSN":"0048-9697","journalAbbreviation":"Science of The Total Environment","language":"en","page":"135516","source":"ScienceDirect","title":"Chemical tracers guide identification of the location and source of persistent organic pollutants in juvenile Chinook salmon (Oncorhynchus tshawytscha), migrating seaward through an estuary with multiple contaminant inputs","volume":"712","author":[{"family":"O'Neill","given":"Sandra M."},{"family":"Carey","given":"Andrea J."},{"family":"Harding","given":"Louisa B."},{"family":"West","given":"James E."},{"family":"Ylitalo","given":"Gina M."},{"family":"Chamberlin","given":"Joshua W."}],"issued":{"date-parts":[["2020",4,10]]},"citation-key":"oneill_2020"}}],"schema":"https://github.com/citation-style-language/schema/raw/master/csl-citation.json"} </w:instrText>
      </w:r>
      <w:r w:rsidRPr="009867C1">
        <w:fldChar w:fldCharType="separate"/>
      </w:r>
      <w:r w:rsidR="0042141C" w:rsidRPr="009867C1">
        <w:t>(O’Neill et al., 2020)</w:t>
      </w:r>
      <w:r w:rsidRPr="009867C1">
        <w:fldChar w:fldCharType="end"/>
      </w:r>
      <w:r w:rsidRPr="009867C1">
        <w:t xml:space="preserve">.  </w:t>
      </w:r>
    </w:p>
    <w:p w14:paraId="5B82EB14" w14:textId="58016B75" w:rsidR="008832BF" w:rsidRPr="009867C1" w:rsidRDefault="008832BF" w:rsidP="008832BF">
      <w:pPr>
        <w:ind w:firstLine="720"/>
      </w:pPr>
      <w:r w:rsidRPr="009867C1">
        <w:t xml:space="preserve">Finally, soil chemistry is deeply influenced by vegetation, through litterfall, root exudates, and mycorrhizal and bacterial communities </w:t>
      </w:r>
      <w:r w:rsidRPr="009867C1">
        <w:fldChar w:fldCharType="begin"/>
      </w:r>
      <w:r w:rsidR="00AC0205">
        <w:instrText xml:space="preserve"> ADDIN ZOTERO_ITEM CSL_CITATION {"citationID":"vogrPwlX","properties":{"formattedCitation":"(Prescott, 2002; Prescott &amp; Grayston, 2013)","plainCitation":"(Prescott, 2002; Prescott &amp; Grayston, 2013)","noteIndex":0},"citationItems":[{"id":1964,"uris":["http://zotero.org/users/2189142/items/HPNRHDB8"],"itemData":{"id":1964,"type":"article-journal","container-title":"Tree Physiology","DOI":"10.1093/treephys/22.15-16.1193","ISSN":"0829-318X","issue":"15-16","journalAbbreviation":"Tree Physiol","page":"1193-1200","source":"academic-oup-com.ezproxy.library.ubc.ca","title":"The influence of the forest canopy on nutrient cycling","volume":"22","author":[{"family":"Prescott","given":"Cindy"}],"issued":{"date-parts":[["2002",11,1]]},"citation-key":"prescott_2002"}},{"id":194,"uris":["http://zotero.org/users/2189142/items/JKMR8VK5"],"itemData":{"id":194,"type":"article-journal","abstract":"Microbial communities in litter and soil are the functional link through which the tree species occupying a site may alter rates of soil processes fundamental to nutrient cycling and carbon flux. Through differences in the nature of their litter, their mycorrhizal fungal associates and the exudates they release into the rhizo/mycorrhizosphere, different tree species may give rise to distinct microbial communities in litter and soil. We examine the evidence that tree species influence the composition of the microbial communities in decomposing litter, forest floors, soil and the rhizo/mycorrhizosphere. The microbial communities considered in this review include bacteria, archaea, fungi and both free-living and symbiotic organisms. There is evidence that distinct microbial communities develop on decomposing leaf litters of different tree species, however, given the well-documented succession of microbes on decomposing litter, comparisons amongst tree species of microbial communities in litters and forest floors at the same stage of decay are needed to definitively deduce the influence of tree species. Distinct microbial communities have been reported in forest floors under different tree species; differences are most pronounced in the F layer. Distinctions in microbial communities in mineral soil under different tree species have been determined in several common garden experiments. The main factors associated with differences in microbial communities in litter, forest floors and soil are the pH and base cation content of the litter and whether the trees are broadleaf or coniferous. Identified differences in microbial communities in the rhizospheres of different tree species are more likely to be differences in the mycorrhizospheres and hyphospheres, given the predominance of associations with mycorrhizal fungi. Distinct microbial communities have been identified in the mycorrhizosphere under different tree species; these are influenced both by the tree species and by the mycorrhizal fungi with which the tree associates. Heightened attention during sampling to ensure comparison of ‘like with like’ could improve our ability to distinguish influence of tree species in decomposing litter, forest floors and soil. A significant remaining challenge is characterizing exudates from different tree-mycorrhizal fungi associations and understanding interactions between mycorrhizal fungi and microbial communities in the hyphosphere. A complete tapestry of the linkages between tree species and soil microbial communities requires that we also weave in the effects of soil fauna.","collection-title":"Influence of tree species on forest soils: New evidence from field studies","container-title":"Forest Ecology and Management","DOI":"10.1016/j.foreco.2013.02.034","ISSN":"0378-1127","journalAbbreviation":"Forest Ecology and Management","page":"19-27","source":"ScienceDirect","title":"Tree species influence on microbial communities in litter and soil: Current knowledge and research needs","title-short":"Tree species influence on microbial communities in litter and soil","volume":"309","author":[{"family":"Prescott","given":"Cindy"},{"family":"Grayston","given":"Sue J."}],"issued":{"date-parts":[["2013",12,1]]},"citation-key":"prescott_2013a"}}],"schema":"https://github.com/citation-style-language/schema/raw/master/csl-citation.json"} </w:instrText>
      </w:r>
      <w:r w:rsidRPr="009867C1">
        <w:fldChar w:fldCharType="separate"/>
      </w:r>
      <w:r w:rsidR="0042141C" w:rsidRPr="009867C1">
        <w:t>(Prescott, 2002; Prescott &amp; Grayston, 2013)</w:t>
      </w:r>
      <w:r w:rsidRPr="009867C1">
        <w:fldChar w:fldCharType="end"/>
      </w:r>
      <w:r w:rsidRPr="009867C1">
        <w:t xml:space="preserve">. To </w:t>
      </w:r>
      <w:r w:rsidR="006920FB">
        <w:t>my</w:t>
      </w:r>
      <w:r w:rsidRPr="009867C1">
        <w:t xml:space="preserve"> knowledge, no study has investigated the role of indirect effects of MDN deposition on salmon-forest soils due to known changes in vegetation community structure </w:t>
      </w:r>
      <w:r w:rsidRPr="009867C1">
        <w:fldChar w:fldCharType="begin"/>
      </w:r>
      <w:r w:rsidR="00AC0205">
        <w:instrText xml:space="preserve"> ADDIN ZOTERO_ITEM CSL_CITATION {"citationID":"zs0PimjX","properties":{"formattedCitation":"(Hocking &amp; Reynolds, 2011; Hurteau et al., 2016)","plainCitation":"(Hocking &amp; Reynolds, 2011; Hurteau et al., 2016)","noteIndex":0},"citationItems":[{"id":550,"uris":["http://zotero.org/users/2189142/items/JR362H46"],"itemData":{"id":550,"type":"article-journal","abstract":"The study of natural gradients in nutrient subsidies between ecosystems allows for predictions of how changes in one system can affect biodiversity in another. We performed a large-scale empirical test of the role of Pacific salmon (Oncorhynchus spp.) in structuring riparian plant communities. A comparison of 50 watersheds in the remote Great Bear Rainforest of British Columbia’s central coast in Canada shows that salmon influence nutrient loading to plants, shifting plant communities toward nutrient-rich species, which in turn decreases plant diversity. These effects are mediated by interactions between salmon density and the physical characteristics of watersheds. Predicting how salmon affect terrestrial ecosystems is central to conservation plans that aim to better integrate ecosystem values into resource management.","container-title":"Science","DOI":"10.1126/science.1201079","ISSN":"0036-8075, 1095-9203","issue":"6024","journalAbbreviation":"Science","language":"en","note":"PMID: 21442794","page":"1609-1612","source":"www.sciencemag.org.ezproxy.library.ubc.ca","title":"Impacts of Salmon on Riparian Plant Diversity","volume":"331","author":[{"family":"Hocking","given":"Morgan D."},{"family":"Reynolds","given":"John D."}],"issued":{"date-parts":[["2011",3,25]]},"citation-key":"hocking_2011"}},{"id":798,"uris":["http://zotero.org/users/2189142/items/PERQ85X5"],"itemData":{"id":798,"type":"article-journal","abstract":"A signature of nonrandom phylogenetic community structure has been interpreted as indicating community assembly processes. Significant clustering within the phylogenetic structure of a community can be caused by habitat filtering due to low nutrient availability. Nutrient limitation in temperate Pacific coastal rainforests can be alleviated to some extent by marine nutrient subsidies introduced by migrating salmon, which leave a quantitative signature on the makeup of plant communities near spawning streams. Thus, nutrient-mediated habitat filtering could be reduced by salmon nutrients. Here, we ask how salmon abundance affects the phylogenetic structure of riparian flowering plant assemblages across 50 watersheds in the Great Bear Rainforest of British Columbia, Canada. Based on a regional pool of 60 plant species, we found that assemblages become more phylogenetically dispersed and species poor adjacent to streams with higher salmon spawning density. In contrast, increased phylogenetic clumping and species richness was seen in sites with low salmon density, with steeper slopes, further from the stream edge, and within smaller watersheds. These observations are all consistent with abiotic habitat filtering and biotic competitive exclusion acting together across local and landscape-scale gradients in nutrient availability to structure assembly of riparian flowering plants. In this case, rich salmon nutrients appear to release riparian flowering-plant assemblages from the confines of a low-nutrient habitat filter that drives phylogenetic clustering.","container-title":"Ecology","DOI":"10.1890/15-0379.1","ISSN":"1939-9170","issue":"2","journalAbbreviation":"Ecology","language":"en","page":"450-460","source":"Wiley Online Library","title":"Salmon nutrients are associated with the phylogenetic dispersion of riparian flowering-plant assemblages","volume":"97","author":[{"family":"Hurteau","given":"Leslie A."},{"family":"Mooers","given":"Arne Ø."},{"family":"Reynolds","given":"John D."},{"family":"Hocking","given":"Morgan D."}],"issued":{"date-parts":[["2016",2,1]]},"citation-key":"hurteau_2016"}}],"schema":"https://github.com/citation-style-language/schema/raw/master/csl-citation.json"} </w:instrText>
      </w:r>
      <w:r w:rsidRPr="009867C1">
        <w:fldChar w:fldCharType="separate"/>
      </w:r>
      <w:r w:rsidR="0042141C" w:rsidRPr="009867C1">
        <w:t>(Hocking &amp; Reynolds, 2011; Hurteau et al., 2016)</w:t>
      </w:r>
      <w:r w:rsidRPr="009867C1">
        <w:fldChar w:fldCharType="end"/>
      </w:r>
      <w:r w:rsidRPr="009867C1">
        <w:t xml:space="preserve">. This may be particularly salient given the importance of mycorrhizal fungi and soil bacterial communities in soil N cycling, retention, and distribution </w:t>
      </w:r>
      <w:r w:rsidRPr="009867C1">
        <w:fldChar w:fldCharType="begin"/>
      </w:r>
      <w:r w:rsidR="00AC0205">
        <w:instrText xml:space="preserve"> ADDIN ZOTERO_ITEM CSL_CITATION {"citationID":"yraIKw7p","properties":{"formattedCitation":"(Jin et al., 2012; Simard et al., 2015)","plainCitation":"(Jin et al., 2012; Simard et al., 2015)","noteIndex":0},"citationItems":[{"id":409,"uris":["http://zotero.org/users/2189142/items/AKBBAVG7"],"itemData":{"id":409,"type":"article-journal","abstract":"Arbuscular mycorrhizal (AM) fungi are obligate symbionts that colonize the roots of more than 80% of land plants. Experiments on the relationship between the host plant and AM in soil or in sterile root-organ culture have provided clear evidence that the extraradical mycelia of AM fungi uptake various forms of nitrogen (N) and transport the assimilated N to the roots of the host plant. However, the uptake mechanisms of various forms of N and its translocation and transfer from the fungus to the host are virtually unknown. Therefore, there is a dearth of integrated models describing the movement of N through the AM fungal hyphae. Recent studies examined Ri T-DNA-transformed carrot roots colonized with AM fungi in 15N tracer experiments. In these experiments, the activities of key enzymes were determined, and expressions of genes related to N assimilation and translocation pathways were quantified. This review summarizes and discusses the results of recent research on the forms of N uptake, transport, degradation, and transfer to the roots of the host plant and the underlying mechanisms, as well as research on the forms of N and carbon used by germinating spores and their effects on amino acid metabolism. Finally, a pathway model summarizing the entire mechanism of N metabolism in AM fungi is outlined.","container-title":"Science China Life Sciences","DOI":"10.1007/s11427-012-4330-y","ISSN":"1674-7305, 1869-1889","issue":"6","journalAbbreviation":"Sci. China Life Sci.","language":"en","page":"474-482","source":"link.springer.com.ezproxy.library.ubc.ca","title":"Forms of nitrogen uptake, translocation, and transfer via arbuscular mycorrhizal fungi: A review","title-short":"Forms of nitrogen uptake, translocation, and transfer via arbuscular mycorrhizal fungi","volume":"55","author":[{"family":"Jin","given":"HaiRu"},{"family":"Liu","given":"Jie"},{"family":"Liu","given":"Jing"},{"family":"Huang","given":"XiaoWei"}],"issued":{"date-parts":[["2012",6,29]]},"citation-key":"jin_2012"}},{"id":875,"uris":["http://zotero.org/users/2189142/items/P5D8ETEA"],"itemData":{"id":875,"type":"article-journal","source":"Google Scholar","title":"Resource transfer between plants through ectomycorrhizal fungal networks","URL":"http://www.researchgate.net/profile/Xinhua_He3/publication/272567309_Resource_transfer_between_plants_through_ectomycorrhizal_fungal_networks/links/54e98e850cf25ba91c7f21ba.pdf","author":[{"family":"Simard","given":"Suzanne W."},{"family":"Asay","given":"Amanda"},{"family":"Beiler","given":"Kevin"},{"family":"Bingham","given":"Marcus"},{"family":"Deslippe","given":"Julie"},{"family":"He","given":"Xinhua"},{"family":"Philip","given":"Leanne"},{"family":"Song","given":"Yuanyuan"},{"family":"Teste","given":"François"}],"accessed":{"date-parts":[["2015",7,18]]},"issued":{"date-parts":[["2015"]]},"citation-key":"simard_2015"}}],"schema":"https://github.com/citation-style-language/schema/raw/master/csl-citation.json"} </w:instrText>
      </w:r>
      <w:r w:rsidRPr="009867C1">
        <w:fldChar w:fldCharType="separate"/>
      </w:r>
      <w:r w:rsidR="0042141C" w:rsidRPr="009867C1">
        <w:t>(Jin et al., 2012; Simard et al., 2015)</w:t>
      </w:r>
      <w:r w:rsidRPr="009867C1">
        <w:fldChar w:fldCharType="end"/>
      </w:r>
      <w:r w:rsidRPr="009867C1">
        <w:t>.</w:t>
      </w:r>
    </w:p>
    <w:p w14:paraId="48813376" w14:textId="77777777" w:rsidR="008832BF" w:rsidRPr="009867C1" w:rsidRDefault="008832BF" w:rsidP="008832BF">
      <w:pPr>
        <w:pStyle w:val="Heading3"/>
      </w:pPr>
      <w:bookmarkStart w:id="34" w:name="_Toc99385410"/>
      <w:r w:rsidRPr="009867C1">
        <w:t>Soil metabolism</w:t>
      </w:r>
      <w:bookmarkEnd w:id="34"/>
      <w:r w:rsidRPr="009867C1">
        <w:t xml:space="preserve"> </w:t>
      </w:r>
    </w:p>
    <w:p w14:paraId="1FA00BE3" w14:textId="20F75F95" w:rsidR="008832BF" w:rsidRPr="009867C1" w:rsidRDefault="008832BF" w:rsidP="008832BF">
      <w:pPr>
        <w:ind w:firstLine="720"/>
      </w:pPr>
      <w:r w:rsidRPr="009867C1">
        <w:t xml:space="preserve">Soils are perhaps the most complex environments on the planet </w:t>
      </w:r>
      <w:r w:rsidRPr="009867C1">
        <w:fldChar w:fldCharType="begin"/>
      </w:r>
      <w:r w:rsidR="00AC0205">
        <w:instrText xml:space="preserve"> ADDIN ZOTERO_ITEM CSL_CITATION {"citationID":"axKCLjtg","properties":{"formattedCitation":"(Baldrian, 2017; Binkley &amp; Fisher, 2019; Coleman, 2008)","plainCitation":"(Baldrian, 2017; Binkley &amp; Fisher, 2019; Coleman, 2008)","noteIndex":0},"citationItems":[{"id":36,"uris":["http://zotero.org/users/2189142/items/99YXEVTY"],"itemData":{"id":36,"type":"article-journal","abstract":"Globally, forests represent highly productive ecosystems that act as carbon sinks where soil organic matter is formed from residuals after biomass decomposition as well as from rhizodeposited carbon. Forests exhibit a high level of spatial heterogeneity and the importance of trees, the dominant primary producers, for their structure and functioning. Fungi, bacteria and archaea inhabit various forest habitats: foliage, the wood of living trees, the bark surface, ground vegetation, roots and the rhizosphere, litter, soil, deadwood, rock surfaces, invertebrates, wetlands or the atmosphere, each of which has its own specific features, such as nutrient availability or temporal dynamicy and specific drivers that affect microbial abundance, the level of dominance of bacteria or fungi as well as the composition of their communities. However, several microorganisms, and in particular fungi, inhabit or even connect multiple habitats, and most ecosystem processes affect multiple habitats. Forests are dynamic on a broad temporal scale with processes ranging from short-term events over seasonal ecosystem dynamics to long-term stand development after disturbances such as fires or insect outbreaks. The understanding of these processes can be only achieved by the exploration of the complex ‘ecosystem microbiome’ and its functioning using focused, integrative microbiological and ecological research performed across multiple habitats.","container-title":"FEMS Microbiology Reviews","DOI":"10.1093/femsre/fuw040","ISSN":"0168-6445","issue":"2","journalAbbreviation":"FEMS Microbiology Reviews","page":"109-130","source":"Silverchair","title":"Forest microbiome: diversity, complexity and dynamics","title-short":"Forest microbiome","volume":"41","author":[{"family":"Baldrian","given":"Petr"}],"issued":{"date-parts":[["2017",3,1]]},"citation-key":"baldrian_2017"}},{"id":2361,"uris":["http://zotero.org/users/2189142/items/BQP7LR5R"],"itemData":{"id":2361,"type":"book","call-number":"SD390","edition":"Fifth edition","event-place":"Hoboken, NJ, USA","ISBN":"978-1-119-45571-4","language":"en","number-of-pages":"1","publisher":"Wiley-Blackwell","publisher-place":"Hoboken, NJ, USA","source":"Library of Congress ISBN","title":"Ecology and management of forest soils","author":[{"family":"Binkley","given":"Dan"},{"family":"Fisher","given":"Richard F."}],"issued":{"date-parts":[["2019"]]},"citation-key":"binkley_2019"}},{"id":690,"uris":["http://zotero.org/users/2189142/items/RZJT46HA"],"itemData":{"id":690,"type":"article-journal","abstract":"Soils and their biota have been studied by a variety of observational and experimental methods that have allowed biologists to infer their structural and functional interactions. Viewing progress made over the last 10 years, it is apparent that an increasing diversity of analytical and chemical methods are providing much more detailed information about feeding preferences and niche overlaps of speciose groups such as oribatid mites.\n\nOther topics in which considerable progress has been made include new advances in knowledge of root and mycorrhiza production and turnover and their impacts on soil ecosystems; soil biota, exudations and secretions and soil aggregation phenomena; the biology of invasive species in soils; soil biodiversity, legacies and linkages to soil processes; and soil biodiversity and ecosystem functional responses. Throughout the review I suggest ways for new progress to be made in future research.","container-title":"Soil Biology and Biochemistry","DOI":"10.1016/j.soilbio.2007.08.005","ISSN":"0038-0717","issue":"2","journalAbbreviation":"Soil Biology and Biochemistry","page":"271-289","source":"ScienceDirect","title":"From peds to paradoxes: Linkages between soil biota and their influences on ecological processes","title-short":"From peds to paradoxes","volume":"40","author":[{"family":"Coleman","given":"David C."}],"issued":{"date-parts":[["2008",2]]},"citation-key":"coleman_2008"}}],"schema":"https://github.com/citation-style-language/schema/raw/master/csl-citation.json"} </w:instrText>
      </w:r>
      <w:r w:rsidRPr="009867C1">
        <w:fldChar w:fldCharType="separate"/>
      </w:r>
      <w:r w:rsidR="0042141C" w:rsidRPr="009867C1">
        <w:t>(Baldrian, 2017; Binkley &amp; Fisher, 2019; Coleman, 2008)</w:t>
      </w:r>
      <w:r w:rsidRPr="009867C1">
        <w:fldChar w:fldCharType="end"/>
      </w:r>
      <w:r w:rsidRPr="009867C1">
        <w:t xml:space="preserve">. They have solid, liquid, and gaseous phases; consist of a wide diversity of chemical elements and compounds; and vary considerably in space and time. Fluctuating water tables, changing </w:t>
      </w:r>
      <w:r w:rsidR="008378A8" w:rsidRPr="009867C1">
        <w:t>oxygen</w:t>
      </w:r>
      <w:r w:rsidRPr="009867C1">
        <w:t xml:space="preserve"> conditions, and reactions with soil parent material create a highly variable redox environment that drives many important soil processes </w:t>
      </w:r>
      <w:r w:rsidRPr="009867C1">
        <w:fldChar w:fldCharType="begin"/>
      </w:r>
      <w:r w:rsidR="00AC0205">
        <w:instrText xml:space="preserve"> ADDIN ZOTERO_ITEM CSL_CITATION {"citationID":"TF0eCTqy","properties":{"formattedCitation":"(Strawn et al., 2020)","plainCitation":"(Strawn et al., 2020)","noteIndex":0},"citationItems":[{"id":113,"uris":["http://zotero.org/users/2189142/items/TKTKNWNC"],"itemData":{"id":113,"type":"book","abstract":"Provides comprehensive coverage of the chemical interactions among organic and inorganic solids, air, water, microorganisms, and the plant roots in soil This book focuses on the species and reaction processes of chemicals in soils, with applications to environmental and agricultural issues. Topics range from discussion of fundamental chemical processes to review of properties and reactions of chemicals in the environment. This new edition contains more examples, more illustrations, more details of calculations, and reorganized material within the chapters, including nearly 100 new equations and 51 new figures. Each section also ends with an important concepts overview as well as new questions for readers to answer.  Starting with an introduction to the subject, Soil Chemistry, 5th Edition offers in-depth coverage of properties of elements and molecules; characteristics of chemicals in soils; soil water chemistry; redox reactions in soils; mineralogy and weathering processes in soils; and chemistry of soil clays. The book also provides chapters that examine production and chemistry of soil organic matter; surface properties of soil colloids; adsorption processes in soils; measuring and predicting sorption processes in soils; soil acidity; and salt-affected soils.   Provides a basic description of important research and fundamental knowledge in the field of soil chemistry Contains more than 200 references provided in figure and table captions and at the end of the chapters Extensively revised with updated figures and tables   Soil Chemistry, 5th Edition is an excellent text for senior-level soil chemistry students.","edition":"5 edition","event-place":"Hoboken, NJ","ISBN":"978-1-119-51518-0","language":"English","number-of-pages":"376","publisher":"Wiley-Blackwell","publisher-place":"Hoboken, NJ","source":"Amazon","title":"Soil Chemistry, 5th edition","author":[{"family":"Strawn","given":"Daniel G."},{"family":"Bohn","given":"Hinrich L."},{"family":"O'Connor","given":"George A."}],"issued":{"date-parts":[["2020",1,28]]},"citation-key":"strawn_2020"}}],"schema":"https://github.com/citation-style-language/schema/raw/master/csl-citation.json"} </w:instrText>
      </w:r>
      <w:r w:rsidRPr="009867C1">
        <w:fldChar w:fldCharType="separate"/>
      </w:r>
      <w:r w:rsidR="0042141C" w:rsidRPr="009867C1">
        <w:t>(Strawn et al., 2020)</w:t>
      </w:r>
      <w:r w:rsidRPr="009867C1">
        <w:fldChar w:fldCharType="end"/>
      </w:r>
      <w:r w:rsidRPr="009867C1">
        <w:t xml:space="preserve">. </w:t>
      </w:r>
      <w:r w:rsidR="00447EAE">
        <w:t>Biologically, s</w:t>
      </w:r>
      <w:r w:rsidRPr="009867C1">
        <w:t xml:space="preserve">oils are home to a multitude of micro- and macro-biota: bacteria, archaea, protists, fungi, plants, and animals all interact to change the physical and chemical environments around them. These organisms interact holistically to perform chemical and physical work and nutrient transformations </w:t>
      </w:r>
      <w:r w:rsidRPr="009867C1">
        <w:fldChar w:fldCharType="begin"/>
      </w:r>
      <w:r w:rsidR="00AC0205">
        <w:instrText xml:space="preserve"> ADDIN ZOTERO_ITEM CSL_CITATION {"citationID":"PcznQh7o","properties":{"formattedCitation":"(Vandenkoornhuyse et al., 2015)","plainCitation":"(Vandenkoornhuyse et al., 2015)","noteIndex":0},"citationItems":[{"id":1015,"uris":["http://zotero.org/users/2189142/items/7ZVJTMVF"],"itemData":{"id":1015,"type":"article-journal","abstract":"1196\n\n\nI.\n\n1196\n\n\nII.\n\n1197\n\n\nIII.\n\n1198\n\n\nIV.\n\n1200\n\n\nV.\n\n1201\n\n\nVI.\n\n1204\n\n\n\n\n1204\n\n\n\nReferences\n1204\n\n\n\n\n\n\n\n\nSummary\n\nPlants can no longer be considered as standalone entities and a more holistic perception is needed. Indeed, plants harbor a wide diversity of microorganisms both inside and outside their tissues, in the endosphere and ectosphere, respectively. These microorganisms, which mostly belong to Bacteria and Fungi, are involved in major functions such as plant nutrition and plant resistance to biotic and abiotic stresses. Hence, the microbiota impact plant growth and survival, two key components of fitness. Plant fitness is therefore a consequence of the plant per se and its microbiota, which collectively form a holobiont. Complementary to the reductionist perception of evolutionary pressures acting on plant or symbiotic compartments, the plant holobiont concept requires a novel perception of evolution. The interlinkages between the plant holobiont components are explored here in the light of current ecological and evolutionary theories. Microbiome complexity and the rules of microbiotic community assemblage are not yet fully understood. It is suggested that the plant can modulate its microbiota to dynamically adjust to its environment. To better understand the level of plant dependence on the microbiotic components, the core microbiota need to be determined at different hierarchical scales of ecology while pan-microbiome analyses would improve characterization of the functions displayed.","container-title":"New Phytologist","DOI":"10.1111/nph.13312","ISSN":"1469-8137","issue":"4","journalAbbreviation":"New Phytol","language":"en","page":"1196-1206","source":"Wiley Online Library","title":"The importance of the microbiome of the plant holobiont","volume":"206","author":[{"family":"Vandenkoornhuyse","given":"Philippe"},{"family":"Quaiser","given":"Achim"},{"family":"Duhamel","given":"Marie"},{"family":"Le Van","given":"Amandine"},{"family":"Dufresne","given":"Alexis"}],"issued":{"date-parts":[["2015",6,1]]},"citation-key":"vandenkoornhuyse_2015"}}],"schema":"https://github.com/citation-style-language/schema/raw/master/csl-citation.json"} </w:instrText>
      </w:r>
      <w:r w:rsidRPr="009867C1">
        <w:fldChar w:fldCharType="separate"/>
      </w:r>
      <w:r w:rsidR="0042141C" w:rsidRPr="009867C1">
        <w:t>(Vandenkoornhuyse et al., 2015)</w:t>
      </w:r>
      <w:r w:rsidRPr="009867C1">
        <w:fldChar w:fldCharType="end"/>
      </w:r>
      <w:r w:rsidRPr="009867C1">
        <w:t xml:space="preserve">. These multi-faceted processes lead to emergent behaviour and novel chemical pathways, able to process complex molecules in multi-step transformations that are beyond the capabilities of individual species </w:t>
      </w:r>
      <w:r w:rsidRPr="009867C1">
        <w:fldChar w:fldCharType="begin"/>
      </w:r>
      <w:r w:rsidR="00AC0205">
        <w:instrText xml:space="preserve"> ADDIN ZOTERO_ITEM CSL_CITATION {"citationID":"g9ur4Jdi","properties":{"formattedCitation":"(Baveye et al., 2018; Saleem et al., 2019; B. Wang &amp; Allison, 2019)","plainCitation":"(Baveye et al., 2018; Saleem et al., 2019; B. Wang &amp; Allison, 2019)","noteIndex":0},"citationItems":[{"id":98,"uris":["http://zotero.org/users/2189142/items/P6FBVAHF"],"itemData":{"id":98,"type":"article-journal","abstract":"Over the last 60 years, soil microbiologists have accumulated a wealth of experimental data showing that the usual bulk, macroscopic parameters used to characterize soils (e.g., granulometry, pH, soil organic matter and biomass contents) provide insufficient information to describe quantitatively the activity of soil microorganisms and some of its outcomes, like the emission of greenhouse gases. Clearly, new, more appropriate macroscopic parameters are needed, which reflect better the spatial heterogeneity of soils at the microscale (i.e., the pore scale). For a long time, spectroscopic and microscopic tools were lacking to quantify processes at that scale, but major technological advances over the last 15 years have made suitable equipment available to researchers. In this context, the objective of the present article is to review progress achieved to date in the significant research program that has ensued. This program can be rationalized as a sequence of steps, namely the quantification and modeling of the physical-, (bio)chemical-, and microbiological properties of soils, the integration of these different perspectives into a unified theory, its upscaling to the macroscopic scale, and, eventually, the development of new approaches to measure macroscopic soil characteristics. At this stage, significant progress has been achieved on the physical front, and to a lesser extent on the (bio)chemical one as well, both in terms of experiments and modeling. In terms of microbial aspects, whereas a lot of work has been devoted to the modeling of bacterial and fungal activity in soils at the pore scale, the appropriateness of model assumptions cannot be readily assessed because relevant experimental data are extremely scarce. For the overall research to move forward, it will be crucial to make sure that research on the microbial components of soil systems does not keep lagging behind the work on the physical and (bio)chemical characteristics. Concerning the subsequent steps in the program, very little integration of the various disciplinary perspectives has occurred so far, and, as a result, researchers have not yet been able to tackle the scaling up to the macroscopic level. Many challenges, some of them daunting, remain on the path ahead.","container-title":"Frontiers in Microbiology","DOI":"10.3389/fmicb.2018.01929","ISSN":"1664-302X","journalAbbreviation":"Front. Microbiol.","language":"English","note":"publisher: Frontiers","source":"Frontiers","title":"Emergent Properties of Microbial Activity in Heterogeneous Soil Microenvironments: Different Research Approaches Are Slowly Converging, Yet Major Challenges Remain","title-short":"Emergent Properties of Microbial Activity in Heterogeneous Soil Microenvironments","URL":"https://www.frontiersin.org/articles/10.3389/fmicb.2018.01929/full?report=reader","volume":"9","author":[{"family":"Baveye","given":"Philippe C."},{"family":"Otten","given":"Wilfred"},{"family":"Kravchenko","given":"Alexandra"},{"family":"Balseiro-Romero","given":"María"},{"family":"Beckers","given":"Éléonore"},{"family":"Chalhoub","given":"Maha"},{"family":"Darnault","given":"Christophe"},{"family":"Eickhorst","given":"Thilo"},{"family":"Garnier","given":"Patricia"},{"family":"Hapca","given":"Simona"},{"family":"Kiranyaz","given":"Serkan"},{"family":"Monga","given":"Olivier"},{"family":"Mueller","given":"Carsten W."},{"family":"Nunan","given":"Naoise"},{"family":"Pot","given":"Valérie"},{"family":"Schlüter","given":"Steffen"},{"family":"Schmidt","given":"Hannes"},{"family":"Vogel","given":"Hans-Jörg"}],"accessed":{"date-parts":[["2021",1,18]]},"issued":{"date-parts":[["2018"]]},"citation-key":"baveye_2018"}},{"id":69,"uris":["http://zotero.org/users/2189142/items/87YVGSDF"],"itemData":{"id":69,"type":"article-journal","container-title":"Annual Review of Ecology, Evolution, and Systematics","note":"publisher: Annual Reviews","page":"145–168","source":"Google Scholar","title":"More than the sum of its parts: microbiome biodiversity as a driver of plant growth and soil health","title-short":"More than the sum of its parts","volume":"50","author":[{"family":"Saleem","given":"Muhammad"},{"family":"Hu","given":"Jie"},{"family":"Jousset","given":"Alexandre"}],"issued":{"date-parts":[["2019"]]},"citation-key":"saleem_2019"}},{"id":2637,"uris":["http://zotero.org/users/2189142/items/H6GXHL4X"],"itemData":{"id":2637,"type":"article-journal","abstract":"Plant residues and soil organic matter are predominantly decomposed by exoenzymes. Many soil carbon models now represent enzymatic decomposition, but the mathematical formulation of this process has been debated over the last 15 years. Some models apply the traditional “forward” Michaelis-Menten equation to represent enzyme kinetics, whereas others apply the “reverse” Michaelis-Menten equation, which assumes that kinetic rates saturate at high enzyme concentrations. Recently the equilibrium chemistry approximation (ECA) has been proposed as an alternative to both Michaelis-Menten formulations. However, because of methodological limitations, in-situ enzyme kinetics—especially in the context of soil system heterogeneity—have been difficult to verify experimentally. Therefore, the overarching goal of our study was to evaluate different enzyme kinetic formulations using model-based evidence at microbial to ecosystem scales. We used a spatially explicit individual- and trait-based microbial model, DEMENT, to circumvent methodological challenges. Although DEMENT assumes forward Michaelis-Menten kinetics at local scales, at the grid scale we found saturating relationships between degradation rate and both substrate concentrations and enzyme concentrations that fit the forward and reverse Michaelis-Menten equations, respectively, at specific successional stages during decomposition. Although forward and reverse Michaelis-Menten equations emerged under some conditions, only the ECA adequately represented decay rates emerging from the spatial-temporal variation in substrate and enzyme concentrations throughout the decomposition process. Our results support a more widespread adoption of the ECA equation in soil biogeochemical modelling at ecosystem scales.","container-title":"Soil Biology and Biochemistry","DOI":"10.1016/j.soilbio.2019.107522","ISSN":"0038-0717","journalAbbreviation":"Soil Biology and Biochemistry","language":"en","page":"107522","source":"ScienceDirect","title":"Emergent properties of organic matter decomposition by soil enzymes","volume":"136","author":[{"family":"Wang","given":"Bin"},{"family":"Allison","given":"Steven D."}],"issued":{"date-parts":[["2019",9,1]]},"citation-key":"wang_2019a"}}],"schema":"https://github.com/citation-style-language/schema/raw/master/csl-citation.json"} </w:instrText>
      </w:r>
      <w:r w:rsidRPr="009867C1">
        <w:fldChar w:fldCharType="separate"/>
      </w:r>
      <w:r w:rsidR="0042141C" w:rsidRPr="009867C1">
        <w:t>(Baveye et al., 2018; Saleem et al., 2019; B. Wang &amp; Allison, 2019)</w:t>
      </w:r>
      <w:r w:rsidRPr="009867C1">
        <w:fldChar w:fldCharType="end"/>
      </w:r>
      <w:r w:rsidRPr="009867C1">
        <w:t xml:space="preserve">. </w:t>
      </w:r>
    </w:p>
    <w:p w14:paraId="59F4CB05" w14:textId="7789D04F" w:rsidR="008832BF" w:rsidRPr="009867C1" w:rsidRDefault="008832BF" w:rsidP="008832BF">
      <w:pPr>
        <w:ind w:firstLine="720"/>
      </w:pPr>
      <w:r w:rsidRPr="009867C1">
        <w:t xml:space="preserve">Recent development of next-generation sequencing technologies has allowed for the quantification and identification of cryptic soil communities. These innovations have revealed an incredible density and diversity of organisms </w:t>
      </w:r>
      <w:r w:rsidRPr="009867C1">
        <w:fldChar w:fldCharType="begin"/>
      </w:r>
      <w:r w:rsidR="00AC0205">
        <w:instrText xml:space="preserve"> ADDIN ZOTERO_ITEM CSL_CITATION {"citationID":"ACdP0q1N","properties":{"formattedCitation":"(Delgado-Baquerizo et al., 2018; Thakur et al., 2020)","plainCitation":"(Delgado-Baquerizo et al., 2018; Thakur et al., 2020)","noteIndex":0},"citationItems":[{"id":51,"uris":["http://zotero.org/users/2189142/items/H9NXE7QF"],"itemData":{"id":51,"type":"article-journal","abstract":"A global map of soil bacteria\nSoil bacteria play key roles in regulating terrestrial carbon dynamics, nutrient cycles, and plant productivity. However, the natural histories and distributions of these organisms remain largely undocumented. Delgado-Baquerizo et al. provide a survey of the dominant bacterial taxa found around the world. In soil collections from six continents, they found that only 2% of bacterial taxa account for nearly half of the soil bacterial communities across the globe. These dominant taxa could be clustered into ecological groups of co-occurring bacteria that share habitat preferences. The findings will allow for a more predictive understanding of soil bacterial diversity and distribution.\nScience, this issue p. 320\nThe immense diversity of soil bacterial communities has stymied efforts to characterize individual taxa and document their global distributions. We analyzed soils from 237 locations across six continents and found that only 2% of bacterial phylotypes (~500 phylotypes) consistently accounted for almost half of the soil bacterial communities worldwide. Despite the overwhelming diversity of bacterial communities, relatively few bacterial taxa are abundant in soils globally. We clustered these dominant taxa into ecological groups to build the first global atlas of soil bacterial taxa. Our study narrows down the immense number of bacterial taxa to a “most wanted” list that will be fruitful targets for genomic and cultivation-based efforts aimed at improving our understanding of soil microbes and their contributions to ecosystem functioning.\nRelatively few soil bacterial taxa dominate terrestrial ecosystems worldwide, with predictable distributions and ecology.\nRelatively few soil bacterial taxa dominate terrestrial ecosystems worldwide, with predictable distributions and ecology.","container-title":"Science","DOI":"10.1126/science.aap9516","ISSN":"0036-8075, 1095-9203","issue":"6373","language":"en","note":"publisher: American Association for the Advancement of Science\nsection: Report\nPMID: 29348236","page":"320-325","source":"science-sciencemag-org.ezproxy.library.ubc.ca","title":"A global atlas of the dominant bacteria found in soil","volume":"359","author":[{"family":"Delgado-Baquerizo","given":"Manuel"},{"family":"Oliverio","given":"Angela M."},{"family":"Brewer","given":"Tess E."},{"family":"Benavent-González","given":"Alberto"},{"family":"Eldridge","given":"David J."},{"family":"Bardgett","given":"Richard D."},{"family":"Maestre","given":"Fernando T."},{"family":"Singh","given":"Brajesh K."},{"family":"Fierer","given":"Noah"}],"issued":{"date-parts":[["2018",1,19]]},"citation-key":"delgado-baquerizo_2018"}},{"id":104,"uris":["http://zotero.org/users/2189142/items/N7AY649G"],"itemData":{"id":104,"type":"article-journal","abstract":"Soil is one of the most biodiverse terrestrial habitats. Yet, we lack an integrative conceptual framework for understanding the patterns and mechanisms driving soil biodiversity. One of the underlying reasons for our poor understanding of soil biodiversity patterns relates to whether key biodiversity theories (historically developed for aboveground and aquatic organisms) are applicable to patterns of soil biodiversity. Here, we present a systematic literature review to investigate whether and how key biodiversity theories (species–energy relationship, theory of island biogeography, metacommunity theory, niche theory and neutral theory) can explain observed patterns of soil biodiversity. We then discuss two spatial compartments nested within soil at which biodiversity theories can be applied to acknowledge the scale-dependent nature of soil biodiversity.","container-title":"Biological Reviews","DOI":"10.1111/brv.12567","ISSN":"1469-185X","issue":"2","language":"en","note":"_eprint: https://onlinelibrary.wiley.com/doi/pdf/10.1111/brv.12567","page":"350-364","source":"Wiley Online Library","title":"Towards an integrative understanding of soil biodiversity","volume":"95","author":[{"family":"Thakur","given":"Madhav P."},{"family":"Phillips","given":"Helen R. P."},{"family":"Brose","given":"Ulrich"},{"family":"Vries","given":"Franciska T. De"},{"family":"Lavelle","given":"Patrick"},{"family":"Loreau","given":"Michel"},{"family":"Mathieu","given":"Jerome"},{"family":"Mulder","given":"Christian"},{"family":"Putten","given":"Wim H. Van","dropping-particle":"der"},{"family":"Rillig","given":"Matthias C."},{"family":"Wardle","given":"David A."},{"family":"Bach","given":"Elizabeth M."},{"family":"Bartz","given":"Marie L. C."},{"family":"Bennett","given":"Joanne M."},{"family":"Briones","given":"Maria J. I."},{"family":"Brown","given":"George"},{"family":"Decaëns","given":"Thibaud"},{"family":"Eisenhauer","given":"Nico"},{"family":"Ferlian","given":"Olga"},{"family":"Guerra","given":"Carlos António"},{"family":"König‐Ries","given":"Birgitta"},{"family":"Orgiazzi","given":"Alberto"},{"family":"Ramirez","given":"Kelly S."},{"family":"Russell","given":"David J."},{"family":"Rutgers","given":"Michiel"},{"family":"Wall","given":"Diana H."},{"family":"Cameron","given":"Erin K."}],"issued":{"date-parts":[["2020"]]},"citation-key":"thakur_2020"}}],"schema":"https://github.com/citation-style-language/schema/raw/master/csl-citation.json"} </w:instrText>
      </w:r>
      <w:r w:rsidRPr="009867C1">
        <w:fldChar w:fldCharType="separate"/>
      </w:r>
      <w:r w:rsidR="0042141C" w:rsidRPr="009867C1">
        <w:t>(Delgado-Baquerizo et al., 2018; Thakur et al., 2020)</w:t>
      </w:r>
      <w:r w:rsidRPr="009867C1">
        <w:fldChar w:fldCharType="end"/>
      </w:r>
      <w:r w:rsidRPr="009867C1">
        <w:t xml:space="preserve">. On global and continental scales, microbiome diversity is driven by latitude, pH, temperature, and water availability </w:t>
      </w:r>
      <w:r w:rsidRPr="009867C1">
        <w:fldChar w:fldCharType="begin"/>
      </w:r>
      <w:r w:rsidR="00AC0205">
        <w:instrText xml:space="preserve"> ADDIN ZOTERO_ITEM CSL_CITATION {"citationID":"vvHiBCmm","properties":{"formattedCitation":"(Delgado-Baquerizo et al., 2018)","plainCitation":"(Delgado-Baquerizo et al., 2018)","noteIndex":0},"citationItems":[{"id":51,"uris":["http://zotero.org/users/2189142/items/H9NXE7QF"],"itemData":{"id":51,"type":"article-journal","abstract":"A global map of soil bacteria\nSoil bacteria play key roles in regulating terrestrial carbon dynamics, nutrient cycles, and plant productivity. However, the natural histories and distributions of these organisms remain largely undocumented. Delgado-Baquerizo et al. provide a survey of the dominant bacterial taxa found around the world. In soil collections from six continents, they found that only 2% of bacterial taxa account for nearly half of the soil bacterial communities across the globe. These dominant taxa could be clustered into ecological groups of co-occurring bacteria that share habitat preferences. The findings will allow for a more predictive understanding of soil bacterial diversity and distribution.\nScience, this issue p. 320\nThe immense diversity of soil bacterial communities has stymied efforts to characterize individual taxa and document their global distributions. We analyzed soils from 237 locations across six continents and found that only 2% of bacterial phylotypes (~500 phylotypes) consistently accounted for almost half of the soil bacterial communities worldwide. Despite the overwhelming diversity of bacterial communities, relatively few bacterial taxa are abundant in soils globally. We clustered these dominant taxa into ecological groups to build the first global atlas of soil bacterial taxa. Our study narrows down the immense number of bacterial taxa to a “most wanted” list that will be fruitful targets for genomic and cultivation-based efforts aimed at improving our understanding of soil microbes and their contributions to ecosystem functioning.\nRelatively few soil bacterial taxa dominate terrestrial ecosystems worldwide, with predictable distributions and ecology.\nRelatively few soil bacterial taxa dominate terrestrial ecosystems worldwide, with predictable distributions and ecology.","container-title":"Science","DOI":"10.1126/science.aap9516","ISSN":"0036-8075, 1095-9203","issue":"6373","language":"en","note":"publisher: American Association for the Advancement of Science\nsection: Report\nPMID: 29348236","page":"320-325","source":"science-sciencemag-org.ezproxy.library.ubc.ca","title":"A global atlas of the dominant bacteria found in soil","volume":"359","author":[{"family":"Delgado-Baquerizo","given":"Manuel"},{"family":"Oliverio","given":"Angela M."},{"family":"Brewer","given":"Tess E."},{"family":"Benavent-González","given":"Alberto"},{"family":"Eldridge","given":"David J."},{"family":"Bardgett","given":"Richard D."},{"family":"Maestre","given":"Fernando T."},{"family":"Singh","given":"Brajesh K."},{"family":"Fierer","given":"Noah"}],"issued":{"date-parts":[["2018",1,19]]},"citation-key":"delgado-baquerizo_2018"}}],"schema":"https://github.com/citation-style-language/schema/raw/master/csl-citation.json"} </w:instrText>
      </w:r>
      <w:r w:rsidRPr="009867C1">
        <w:fldChar w:fldCharType="separate"/>
      </w:r>
      <w:r w:rsidR="0042141C" w:rsidRPr="009867C1">
        <w:t>(Delgado-Baquerizo et al., 2018)</w:t>
      </w:r>
      <w:r w:rsidRPr="009867C1">
        <w:fldChar w:fldCharType="end"/>
      </w:r>
      <w:r w:rsidRPr="009867C1">
        <w:t xml:space="preserve">. On regional scales topography, site history, and soil stoichiometry are important </w:t>
      </w:r>
      <w:r w:rsidRPr="009867C1">
        <w:fldChar w:fldCharType="begin"/>
      </w:r>
      <w:r w:rsidR="00AC0205">
        <w:instrText xml:space="preserve"> ADDIN ZOTERO_ITEM CSL_CITATION {"citationID":"9mvIHKJ1","properties":{"formattedCitation":"(Delgado\\uc0\\u8208{}Baquerizo et al., 2017)","plainCitation":"(Delgado‐Baquerizo et al., 2017)","noteIndex":0},"citationItems":[{"id":2632,"uris":["http://zotero.org/users/2189142/items/6H8EM62J"],"itemData":{"id":2632,"type":"article-journal","abstract":"It is well established that resource quantity and elemental stoichiometry play major roles in shaping below and aboveground plant biodiversity, but their importance for shaping microbial diversity in soil remains unclear. Here, we used statistical modeling on a regional database covering 179 locations and six ecosystem types across Scotland to evaluate the roles of total carbon (C), nitrogen (N) and phosphorus (P) availabilities and ratios, together with land use, climate and biotic and abiotic factors, in determining regional scale patterns of soil bacterial diversity. We found that bacterial diversity and composition were primarily driven by variation in soil resource stoichiometry (total C:N:P ratios), itself linked to different land uses, and secondarily driven by other important biodiversity drivers such as climate, soil spatial heterogeneity, soil pH, root influence (plant-soil microbe interactions) and microbial biomass (soil microbe-microbe interactions). In aggregate, these findings provide evidence that nutrient stoichiometry is a strong predictor of bacterial diversity and composition at a regional scale.","container-title":"Environmental Microbiology","DOI":"https://doi.org/10.1111/1462-2920.13642","ISSN":"1462-2920","issue":"3","language":"en","note":"_eprint: https://onlinelibrary.wiley.com/doi/pdf/10.1111/1462-2920.13642","page":"1176-1188","source":"Wiley Online Library","title":"It is elemental: soil nutrient stoichiometry drives bacterial diversity","title-short":"It is elemental","volume":"19","author":[{"family":"Delgado‐Baquerizo","given":"Manuel"},{"family":"Reich","given":"Peter B."},{"family":"Khachane","given":"Amit N."},{"family":"Campbell","given":"Colin D."},{"family":"Thomas","given":"Nadine"},{"family":"Freitag","given":"Thomas E."},{"family":"Al‐Soud","given":"Waleed Abu"},{"family":"Sørensen","given":"Søren"},{"family":"Bardgett","given":"Richard D."},{"family":"Singh","given":"Brajesh K."}],"issued":{"date-parts":[["2017"]]},"citation-key":"delgado-baquerizo_2017"}}],"schema":"https://github.com/citation-style-language/schema/raw/master/csl-citation.json"} </w:instrText>
      </w:r>
      <w:r w:rsidRPr="009867C1">
        <w:fldChar w:fldCharType="separate"/>
      </w:r>
      <w:r w:rsidR="0042141C" w:rsidRPr="009867C1">
        <w:t>(Delgado‐Baquerizo et al., 2017)</w:t>
      </w:r>
      <w:r w:rsidRPr="009867C1">
        <w:fldChar w:fldCharType="end"/>
      </w:r>
      <w:r w:rsidRPr="009867C1">
        <w:t xml:space="preserve">, and on single sites diversity can vary on spatial scales as small as a few µm in response to chemical and physical factors </w:t>
      </w:r>
      <w:r w:rsidRPr="009867C1">
        <w:fldChar w:fldCharType="begin"/>
      </w:r>
      <w:r w:rsidR="00AC0205">
        <w:instrText xml:space="preserve"> ADDIN ZOTERO_ITEM CSL_CITATION {"citationID":"VvkKXoga","properties":{"formattedCitation":"(Bach et al., 2018)","plainCitation":"(Bach et al., 2018)","noteIndex":0},"citationItems":[{"id":20,"uris":["http://zotero.org/users/2189142/items/I6QU79L9"],"itemData":{"id":20,"type":"article-journal","abstract":"Microbial interactions occur in habitats much smaller than those generally captured in homogenized soil cores sampled across a plot or field. This study uses soil aggregates to examine soil microbial community composition and structure of both bacteria and fungi at a microbially-relevant scale. Aggregates were isolated from three land management systems in central Iowa, USA to test if aggregate-level microbial responses were sensitive to large-scale shifts in plant community and management practices. Bacteria and fungi exhibited similar patterns of community structure and diversity among soil aggregates, regardless of land management. Microaggregates supported more diverse microbial communities, and Fimbriimonadales, Acidimicrobiales, Actinomycetales, Alteromonodales, Burkholderiales, Gemmatimonadales, Rhodobacterales, Soligubrobacterales, Sphingobacteriales, Sphingomonodales, Spirobacillaes, Onygenales, Chaetosphaeriales, and Trichosporanales were indicator taxa for microaggregate communities. Large macroaggregates contained greater abundance of Pedosphaerales, Planctomycetales, Syntrophobacterales, and Glomeromycota (arbuscular mycorrhizal fungi). To demonstrate the potential for additional insights into soil microbial diversity, we calculated of a weighted proportional whole soil diversity, which accounted for microbes found in aggregate fractions and resulted in 65% greater bacterial richness and 100% greater fungal richness over independently sampled whole soil (i.e. bulk soil). Our results show microaggregates support highly diverse microbial communities, including several unidentified genera. Isolating aggregates with a microbially sensitive approach provides new opportunities to explore soil microbial communities and the factors shaping them at relevant spatial scales.","container-title":"Soil Biology and Biochemistry","DOI":"10.1016/j.soilbio.2017.12.018","ISSN":"0038-0717","journalAbbreviation":"Soil Biology and Biochemistry","language":"en","page":"217-226","source":"ScienceDirect","title":"Greatest soil microbial diversity found in micro-habitats","volume":"118","author":[{"family":"Bach","given":"Elizabeth M."},{"family":"Williams","given":"Ryan J."},{"family":"Hargreaves","given":"Sarah K."},{"family":"Yang","given":"Fan"},{"family":"Hofmockel","given":"Kirsten S."}],"issued":{"date-parts":[["2018",3,1]]},"citation-key":"bach_2018"}}],"schema":"https://github.com/citation-style-language/schema/raw/master/csl-citation.json"} </w:instrText>
      </w:r>
      <w:r w:rsidRPr="009867C1">
        <w:fldChar w:fldCharType="separate"/>
      </w:r>
      <w:r w:rsidR="0042141C" w:rsidRPr="009867C1">
        <w:t>(Bach et al., 2018)</w:t>
      </w:r>
      <w:r w:rsidRPr="009867C1">
        <w:fldChar w:fldCharType="end"/>
      </w:r>
      <w:r w:rsidRPr="009867C1">
        <w:t xml:space="preserve">. Neighbouring vegetation </w:t>
      </w:r>
      <w:r w:rsidR="00367F32">
        <w:t>is</w:t>
      </w:r>
      <w:r w:rsidRPr="009867C1">
        <w:t xml:space="preserve"> important, as litterfall and root exudates interact with soil communities </w:t>
      </w:r>
      <w:r w:rsidRPr="009867C1">
        <w:fldChar w:fldCharType="begin"/>
      </w:r>
      <w:r w:rsidR="00AC0205">
        <w:instrText xml:space="preserve"> ADDIN ZOTERO_ITEM CSL_CITATION {"citationID":"sjYuZbEF","properties":{"formattedCitation":"(Prescott &amp; Grayston, 2013; Tedersoo et al., 2020; Vries et al., 2012)","plainCitation":"(Prescott &amp; Grayston, 2013; Tedersoo et al., 2020; Vries et al., 2012)","noteIndex":0},"citationItems":[{"id":194,"uris":["http://zotero.org/users/2189142/items/JKMR8VK5"],"itemData":{"id":194,"type":"article-journal","abstract":"Microbial communities in litter and soil are the functional link through which the tree species occupying a site may alter rates of soil processes fundamental to nutrient cycling and carbon flux. Through differences in the nature of their litter, their mycorrhizal fungal associates and the exudates they release into the rhizo/mycorrhizosphere, different tree species may give rise to distinct microbial communities in litter and soil. We examine the evidence that tree species influence the composition of the microbial communities in decomposing litter, forest floors, soil and the rhizo/mycorrhizosphere. The microbial communities considered in this review include bacteria, archaea, fungi and both free-living and symbiotic organisms. There is evidence that distinct microbial communities develop on decomposing leaf litters of different tree species, however, given the well-documented succession of microbes on decomposing litter, comparisons amongst tree species of microbial communities in litters and forest floors at the same stage of decay are needed to definitively deduce the influence of tree species. Distinct microbial communities have been reported in forest floors under different tree species; differences are most pronounced in the F layer. Distinctions in microbial communities in mineral soil under different tree species have been determined in several common garden experiments. The main factors associated with differences in microbial communities in litter, forest floors and soil are the pH and base cation content of the litter and whether the trees are broadleaf or coniferous. Identified differences in microbial communities in the rhizospheres of different tree species are more likely to be differences in the mycorrhizospheres and hyphospheres, given the predominance of associations with mycorrhizal fungi. Distinct microbial communities have been identified in the mycorrhizosphere under different tree species; these are influenced both by the tree species and by the mycorrhizal fungi with which the tree associates. Heightened attention during sampling to ensure comparison of ‘like with like’ could improve our ability to distinguish influence of tree species in decomposing litter, forest floors and soil. A significant remaining challenge is characterizing exudates from different tree-mycorrhizal fungi associations and understanding interactions between mycorrhizal fungi and microbial communities in the hyphosphere. A complete tapestry of the linkages between tree species and soil microbial communities requires that we also weave in the effects of soil fauna.","collection-title":"Influence of tree species on forest soils: New evidence from field studies","container-title":"Forest Ecology and Management","DOI":"10.1016/j.foreco.2013.02.034","ISSN":"0378-1127","journalAbbreviation":"Forest Ecology and Management","page":"19-27","source":"ScienceDirect","title":"Tree species influence on microbial communities in litter and soil: Current knowledge and research needs","title-short":"Tree species influence on microbial communities in litter and soil","volume":"309","author":[{"family":"Prescott","given":"Cindy"},{"family":"Grayston","given":"Sue J."}],"issued":{"date-parts":[["2013",12,1]]},"citation-key":"prescott_2013a"}},{"id":2630,"uris":["http://zotero.org/users/2189142/items/6Q5PJPMK"],"itemData":{"id":2630,"type":"article-journal","abstract":"Soil microbiome has a pivotal role in ecosystem function, yet little is known about its build-up from local to regional scales. In a multi-year survey involving 1251 plots and long-read third-generation sequencing, we found that soil pH has the strongest effect on the diversity of fungi and its multiple taxonomic and functional groups. The pH effects were typically unimodal, usually both direct and indirect through tree species, soil nutrients or mold abundance. Individual tree species, particularly Pinus sylvestris, Picea abies and Populus x wettsteinii, and overall ectomycorrhizal plant proportion had relatively stronger effects on the diversity of biotrophic fungi than saprotrophic fungi. In contrast to expectations, diversity of soil fungi tended to be higher in forest island habitats potentially due to the edge effect, but fungal richness declined with island distance and in response to forest fragmentation. Virgin forests supported somewhat higher fungal diversity than old non-pristine forests, but there were no differences in richness between natural and anthropogenic habitats such as parks and coppiced gardens. Diversity of most fungal groups suffered from management of seminatural woodlands and parks and forests, but especially for forests the results depended on fungal group and time of partial harvesting. We conclude that the positive effects of tree diversity on overall fungal richness represent a combined niche effect of soil properties and intimate associations.","container-title":"Frontiers in Microbiology","DOI":"10.3389/fmicb.2020.01953","ISSN":"1664-302X","journalAbbreviation":"Front. Microbiol.","language":"English","note":"publisher: Frontiers","source":"Frontiers","title":"Regional-Scale In-Depth Analysis of Soil Fungal Diversity Reveals Strong pH and Plant Species Effects in Northern Europe","URL":"https://www.frontiersin.org/articles/10.3389/fmicb.2020.01953/full?report=reader","volume":"11","author":[{"family":"Tedersoo","given":"Leho"},{"family":"Anslan","given":"Sten"},{"family":"Bahram","given":"Mohammad"},{"family":"Drenkhan","given":"Rein"},{"family":"Pritsch","given":"Karin"},{"family":"Buegger","given":"Franz"},{"family":"Padari","given":"Allar"},{"family":"Hagh-Doust","given":"Niloufar"},{"family":"Mikryukov","given":"Vladimir"},{"family":"Gohar","given":"Daniyal"},{"family":"Amiri","given":"Rasekh"},{"family":"Hiiesalu","given":"Indrek"},{"family":"Lutter","given":"Reimo"},{"family":"Rosenvald","given":"Raul"},{"family":"Rähn","given":"Elisabeth"},{"family":"Adamson","given":"Kalev"},{"family":"Drenkhan","given":"Tiia"},{"family":"Tullus","given":"Hardi"},{"family":"Jürimaa","given":"Katrin"},{"family":"Sibul","given":"Ivar"},{"family":"Otsing","given":"Eveli"},{"family":"Põlme","given":"Sergei"},{"family":"Metslaid","given":"Marek"},{"family":"Loit","given":"Kaire"},{"family":"Agan","given":"Ahto"},{"family":"Puusepp","given":"Rasmus"},{"family":"Varik","given":"Inge"},{"family":"Kõljalg","given":"Urmas"},{"family":"Abarenkov","given":"Kessy"}],"accessed":{"date-parts":[["2021",3,26]]},"issued":{"date-parts":[["2020"]]},"citation-key":"tedersoo_2020"}},{"id":153,"uris":["http://zotero.org/users/2189142/items/4JRAWE92"],"itemData":{"id":153,"type":"article-journal","abstract":"The controls on aboveground community composition and diversity have been extensively studied, but our understanding of the drivers of belowground microbial communities is relatively lacking, despite their importance for ecosystem functioning. In this study, we fitted statistical models to explain landscape-scale variation in soil microbial community composition using data from 180 sites covering a broad range of grassland types, soil and climatic conditions in England. We found that variation in soil microbial communities was explained by abiotic factors like climate, pH and soil properties. Biotic factors, namely community-weighted means (CWM) of plant functional traits, also explained variation in soil microbial communities. In particular, more bacterial-dominated microbial communities were associated with exploitative plant traits versus fungal-dominated communities with resource-conservative traits, showing that plant functional traits and soil microbial communities are closely related at the landscape scale.","container-title":"Ecology Letters","DOI":"10.1111/j.1461-0248.2012.01844.x","ISSN":"1461-0248","issue":"11","language":"en","note":"_eprint: https://onlinelibrary.wiley.com/doi/pdf/10.1111/j.1461-0248.2012.01844.x","page":"1230-1239","source":"Wiley Online Library","title":"Abiotic drivers and plant traits explain landscape-scale patterns in soil microbial communities","volume":"15","author":[{"family":"Vries","given":"Franciska T.","dropping-particle":"de"},{"family":"Manning","given":"Pete"},{"family":"Tallowin","given":"Jerry R. B."},{"family":"Mortimer","given":"Simon R."},{"family":"Pilgrim","given":"Emma S."},{"family":"Harrison","given":"Kathryn A."},{"family":"Hobbs","given":"Phil J."},{"family":"Quirk","given":"Helen"},{"family":"Shipley","given":"Bill"},{"family":"Cornelissen","given":"Johannes H. C."},{"family":"Kattge","given":"Jens"},{"family":"Bardgett","given":"Richard D."}],"issued":{"date-parts":[["2012"]]},"citation-key":"vries_2012"}}],"schema":"https://github.com/citation-style-language/schema/raw/master/csl-citation.json"} </w:instrText>
      </w:r>
      <w:r w:rsidRPr="009867C1">
        <w:fldChar w:fldCharType="separate"/>
      </w:r>
      <w:r w:rsidR="0042141C" w:rsidRPr="009867C1">
        <w:t>(Prescott &amp; Grayston, 2013; Tedersoo et al., 2020; Vries et al., 2012)</w:t>
      </w:r>
      <w:r w:rsidRPr="009867C1">
        <w:fldChar w:fldCharType="end"/>
      </w:r>
      <w:r w:rsidRPr="009867C1">
        <w:t>. In turn, these factors on community composition feed</w:t>
      </w:r>
      <w:r w:rsidR="008378A8" w:rsidRPr="009867C1">
        <w:t>-</w:t>
      </w:r>
      <w:r w:rsidRPr="009867C1">
        <w:t xml:space="preserve">back to </w:t>
      </w:r>
      <w:r w:rsidR="001470A3">
        <w:t>influence</w:t>
      </w:r>
      <w:r w:rsidRPr="009867C1">
        <w:t xml:space="preserve"> ecosystem function </w:t>
      </w:r>
      <w:r w:rsidRPr="009867C1">
        <w:fldChar w:fldCharType="begin"/>
      </w:r>
      <w:r w:rsidR="00AC0205">
        <w:instrText xml:space="preserve"> ADDIN ZOTERO_ITEM CSL_CITATION {"citationID":"VhSd4iXZ","properties":{"formattedCitation":"(Wagg et al., 2014)","plainCitation":"(Wagg et al., 2014)","noteIndex":0},"citationItems":[{"id":105,"uris":["http://zotero.org/users/2189142/items/NJ7J3C9M"],"itemData":{"id":105,"type":"article-journal","abstract":"Biodiversity loss has become a global concern as evidence accumulates that it will negatively affect ecosystem services on which society depends. So far, most studies have focused on the ecological consequences of above-ground biodiversity loss; yet a large part of Earth’s biodiversity is literally hidden below ground. Whether reductions of biodiversity in soil communities below ground have consequences for the overall performance of an ecosystem remains unresolved. It is important to investigate this in view of recent observations that soil biodiversity is declining and that soil communities are changing upon land use intensification. We established soil communities differing in composition and diversity and tested their impact on eight ecosystem functions in model grassland communities. We show that soil biodiversity loss and simplification of soil community composition impair multiple ecosystem functions, including plant diversity, decomposition, nutrient retention, and nutrient cycling. The average response of all measured ecosystem functions (ecosystem multifunctionality) exhibited a strong positive linear relationship to indicators of soil biodiversity, suggesting that soil community composition is a key factor in regulating ecosystem functioning. Our results indicate that changes in soil communities and the loss of soil biodiversity threaten ecosystem multifunctionality and sustainability.","container-title":"Proceedings of the National Academy of Sciences","DOI":"10.1073/pnas.1320054111","ISSN":"0027-8424, 1091-6490","issue":"14","journalAbbreviation":"PNAS","language":"en","note":"publisher: National Academy of Sciences\nsection: Biological Sciences\nPMID: 24639507","page":"5266-5270","source":"www.pnas.org","title":"Soil biodiversity and soil community composition determine ecosystem multifunctionality","volume":"111","author":[{"family":"Wagg","given":"Cameron"},{"family":"Bender","given":"S. Franz"},{"family":"Widmer","given":"Franco"},{"family":"Heijden","given":"Marcel G. A.","dropping-particle":"van der"}],"issued":{"date-parts":[["2014",4,8]]},"citation-key":"wagg_2014"}}],"schema":"https://github.com/citation-style-language/schema/raw/master/csl-citation.json"} </w:instrText>
      </w:r>
      <w:r w:rsidRPr="009867C1">
        <w:fldChar w:fldCharType="separate"/>
      </w:r>
      <w:r w:rsidR="0042141C" w:rsidRPr="009867C1">
        <w:t>(Wagg et al., 2014)</w:t>
      </w:r>
      <w:r w:rsidRPr="009867C1">
        <w:fldChar w:fldCharType="end"/>
      </w:r>
      <w:r w:rsidRPr="009867C1">
        <w:t xml:space="preserve">. </w:t>
      </w:r>
    </w:p>
    <w:p w14:paraId="1F1D6A91" w14:textId="6883701B" w:rsidR="008832BF" w:rsidRPr="009867C1" w:rsidRDefault="008832BF" w:rsidP="008832BF">
      <w:pPr>
        <w:ind w:firstLine="720"/>
      </w:pPr>
      <w:r w:rsidRPr="009867C1">
        <w:t>Particularly important for soil nitrogen metabolism in forest soils are fungi. Fungi are often separated by ‘trophic mode’ – primarily parasitic, endophytic, saprophobic, or mycorrhizal (i</w:t>
      </w:r>
      <w:r w:rsidR="00367F32">
        <w:t>.</w:t>
      </w:r>
      <w:r w:rsidRPr="009867C1">
        <w:t xml:space="preserve">e. symbiotrophic) </w:t>
      </w:r>
      <w:r w:rsidRPr="009867C1">
        <w:fldChar w:fldCharType="begin"/>
      </w:r>
      <w:r w:rsidR="00AC0205">
        <w:instrText xml:space="preserve"> ADDIN ZOTERO_ITEM CSL_CITATION {"citationID":"FZsVKD73","properties":{"formattedCitation":"(Nguyen et al., 2016)","plainCitation":"(Nguyen et al., 2016)","noteIndex":0},"citationItems":[{"id":287,"uris":["http://zotero.org/users/2189142/items/2LCXHEY3"],"itemData":{"id":287,"type":"article-journal","abstract":"Fungi typically live in highly diverse communities composed of multiple ecological guilds. Although high-throughput sequencing has greatly increased the ability to quantify the diversity of fungi in environmental samples, researchers currently lack a simple and consistent way to sort large sequence pools into ecologically meaningful categories. We address this issue by introducing FUNGuild, a tool that can be used to taxonomically parse fungal OTUs by ecological guild independent of sequencing platform or analysis pipeline. Using a database and an accompanying bioinformatics script, we demonstrate the application of FUNGuild to three high-throughput sequencing datasets from different habitats: forest soils, grassland soils, and decomposing wood. We found that guilds characteristic of each habitat (i.e., saprotrophic and ectomycorrhizal fungi in forest soils, saprotrophic and arbuscular mycorrhizal fungi in grassland soils, saprotrophic, wood decomposer, and plant pathogenic fungi in decomposing wood) were each well represented. The example datasets demonstrate that while we could quickly and efficiently assign a large portion of the data to guilds, another large portion could not be assigned, reflecting the need to expand and improve the database as well as to gain a better understanding of natural history for many described and undescribed fungal species. As a community resource, FUNGuild is dependent on third-party annotation, so we invite researchers to populate it with new categories and records as well as refine those already in existence.","container-title":"Fungal Ecology","DOI":"10.1016/j.funeco.2015.06.006","ISSN":"1754-5048","journalAbbreviation":"Fungal Ecology","page":"241-248","source":"ScienceDirect","title":"FUNGuild: An open annotation tool for parsing fungal community datasets by ecological guild","title-short":"FUNGuild","volume":"20","author":[{"family":"Nguyen","given":"Nhu H."},{"family":"Song","given":"Zewei"},{"family":"Bates","given":"Scott T."},{"family":"Branco","given":"Sara"},{"family":"Tedersoo","given":"Leho"},{"family":"Menke","given":"Jon"},{"family":"Schilling","given":"Jonathan S."},{"family":"Kennedy","given":"Peter G."}],"issued":{"date-parts":[["2016",4,1]]},"citation-key":"nguyen_2016"}}],"schema":"https://github.com/citation-style-language/schema/raw/master/csl-citation.json"} </w:instrText>
      </w:r>
      <w:r w:rsidRPr="009867C1">
        <w:fldChar w:fldCharType="separate"/>
      </w:r>
      <w:r w:rsidR="0042141C" w:rsidRPr="009867C1">
        <w:t>(Nguyen et al., 2016)</w:t>
      </w:r>
      <w:r w:rsidRPr="009867C1">
        <w:fldChar w:fldCharType="end"/>
      </w:r>
      <w:r w:rsidRPr="009867C1">
        <w:t xml:space="preserve">. Saprobes play important roles in recycling nutrients from wood, litter, and animal carcasses to labile forms that are easily taken up by plant roots and microbial communities </w:t>
      </w:r>
      <w:r w:rsidRPr="009867C1">
        <w:fldChar w:fldCharType="begin"/>
      </w:r>
      <w:r w:rsidR="00AC0205">
        <w:instrText xml:space="preserve"> ADDIN ZOTERO_ITEM CSL_CITATION {"citationID":"SCI4uFLi","properties":{"formattedCitation":"(Bu\\uc0\\u233{}e et al., 2007; M. S. Foster et al., 2004)","plainCitation":"(Buée et al., 2007; M. S. Foster et al., 2004)","noteIndex":0},"citationItems":[{"id":563,"uris":["http://zotero.org/users/2189142/items/RX48EHW8"],"itemData":{"id":563,"type":"article-journal","abstract":"The species of an ectomycorrhizal (ECM) community were investigated in a temperate oak forest by morphotyping and ITS rDNA sequencing. Thirty-six ECM morphotypes were found at the site. The niche effect (as organic soil, mineral soil or dead woody debris artificially introduced in the soil) on the ECM community structure and on the potential catabolic activities of the most abundant morphotypes was studied. The morphotypes in each niche were subjected to enzymatic tests developed for hydrolytic and oxidative enzymes involved in the decomposition of organic compounds. The ECM community structure varied widely depending on the soil horizon or habitat patch. The species richness was higher in the A1 horizon than in the other niches. Different ECM species had different activity patterns for the eight enzymatic tests while co-occurring in the same niche. Catabolic activities also changed within species between niches. Dead woody debris were extensively colonized by two saprotrophic fungi (Megacollybia platyphylla and Armillaria sp.) and, in this particular niche, ECM morphotypes predominantly belonged to the genera Lactarius and Tomentella. These morphotypes showed high chitinase activities. This study suggested also that some ECM fungi could obtain nutrients via the chitin degradation of dead or live saprobes.","container-title":"Soil Biology and Biochemistry","DOI":"10.1016/j.soilbio.2007.02.016","ISSN":"0038-0717","issue":"8","journalAbbreviation":"Soil Biology and Biochemistry","page":"1947-1955","source":"ScienceDirect","title":"Soil niche effect on species diversity and catabolic activities in an ectomycorrhizal fungal community","volume":"39","author":[{"family":"Buée","given":"M."},{"family":"Courty","given":"P. E."},{"family":"Mignot","given":"D."},{"family":"Garbaye","given":"J."}],"issued":{"date-parts":[["2007",8]]},"citation-key":"buee_2007"}},{"id":2605,"uris":["http://zotero.org/users/2189142/items/G5QR354I"],"itemData":{"id":2605,"type":"book","abstract":"Biodiversity of Fungi is essential for anyone collecting and/or monitoring any fungi. Fascinating and beautiful, fungi are vital components of nearly all ecosystems and impact human health and our economy in a myriad of ways. Standardized methods for documenting diversity and distribution have been lacking. A wealth of information, especially regrading sampling protocols, compiled by an international team of fungal biologists, make Biodiversity of Fungi an incredible and fundamental resource for the study of organismal biodiversity. Chapters cover everything from what is a fungus, to maintaining and organizing a permanent study collection with associated databases; from protocols for sampling slime molds to insect associated fungi; from fungi growing on and in animals and plants to mushrooms and truffles. The chapters are arranged both ecologically and by sampling method rather than by taxonomic group for ease of use. The information presented here is intended for everyone interested in fungi, anyone who needs tools to study them in nature including naturalists, land managers, ecologists, mycologists, and even citizen scientists and sophiscated amateurs. Covers all groups of fungi - from molds to mushrooms, even slime moldsDescribes sampling protocols for many groups of fungiArranged by sampling method and ecology to coincide with users needsBeautifully illustrated to document the range of fungi treated and techniques discussedNatural history data are provided for each group of fungi to enable users to modify suggested protocols to meet their needs","edition":"1st edition","event-place":"Amsterdam ; Boston","ISBN":"978-0-12-509551-8","language":"English","number-of-pages":"777","publisher":"Academic Press","publisher-place":"Amsterdam ; Boston","source":"Amazon","title":"Biodiversity of Fungi: Inventory and Monitoring Methods","title-short":"Biodiversity of Fungi","editor":[{"family":"Foster","given":"Mercedes S."},{"family":"Bills","given":"Gerald F."},{"family":"Mueller","given":"Greg M."}],"issued":{"date-parts":[["2004",6,24]]},"citation-key":"foster_2004"}}],"schema":"https://github.com/citation-style-language/schema/raw/master/csl-citation.json"} </w:instrText>
      </w:r>
      <w:r w:rsidRPr="009867C1">
        <w:fldChar w:fldCharType="separate"/>
      </w:r>
      <w:r w:rsidR="0042141C" w:rsidRPr="009867C1">
        <w:t>(Buée et al., 2007; M. S. Foster et al., 2004)</w:t>
      </w:r>
      <w:r w:rsidRPr="009867C1">
        <w:fldChar w:fldCharType="end"/>
      </w:r>
      <w:r w:rsidRPr="009867C1">
        <w:t xml:space="preserve">. Mycorrhizal fungi lack the genetic capacity to degrade lignin and cellulose </w:t>
      </w:r>
      <w:r w:rsidRPr="009867C1">
        <w:fldChar w:fldCharType="begin"/>
      </w:r>
      <w:r w:rsidR="00AC0205">
        <w:instrText xml:space="preserve"> ADDIN ZOTERO_ITEM CSL_CITATION {"citationID":"y0lJBwmA","properties":{"formattedCitation":"(Miyauchi et al., 2020)","plainCitation":"(Miyauchi et al., 2020)","noteIndex":0},"citationItems":[{"id":2615,"uris":["http://zotero.org/users/2189142/items/37UFP2I8"],"itemData":{"id":2615,"type":"article-journal","abstract":"Mycorrhizal fungi are mutualists that play crucial roles in nutrient acquisition in terrestrial ecosystems. Mycorrhizal symbioses arose repeatedly across multiple lineages of Mucoromycotina, Ascomycota, and Basidiomycota. Considerable variation exists in the capacity of mycorrhizal fungi to acquire carbon from soil organic matter. Here, we present a combined analysis of 135 fungal genomes from 73 saprotrophic, endophytic and pathogenic species, and 62 mycorrhizal species, including 29 new mycorrhizal genomes. This study samples ecologically dominant fungal guilds for which there were previously no symbiotic genomes available, including ectomycorrhizal Russulales, Thelephorales and Cantharellales. Our analyses show that transitions from saprotrophy to symbiosis involve (1) widespread losses of degrading enzymes acting on lignin and cellulose, (2) co-option of genes present in saprotrophic ancestors to fulfill new symbiotic functions, (3) diversification of novel, lineage-specific symbiosis-induced genes, (4) proliferation of transposable elements and (5) divergent genetic innovations underlying the convergent origins of the ectomycorrhizal guild.","container-title":"Nature Communications","DOI":"10.1038/s41467-020-18795-w","ISSN":"2041-1723","issue":"1","language":"en","note":"number: 1\npublisher: Nature Publishing Group","page":"5125","source":"www-nature-com.ezproxy.library.ubc.ca","title":"Large-scale genome sequencing of mycorrhizal fungi provides insights into the early evolution of symbiotic traits","volume":"11","author":[{"family":"Miyauchi","given":"Shingo"},{"family":"Kiss","given":"Enikő"},{"family":"Kuo","given":"Alan"},{"family":"Drula","given":"Elodie"},{"family":"Kohler","given":"Annegret"},{"family":"Sánchez-García","given":"Marisol"},{"family":"Morin","given":"Emmanuelle"},{"family":"Andreopoulos","given":"Bill"},{"family":"Barry","given":"Kerrie W."},{"family":"Bonito","given":"Gregory"},{"family":"Buée","given":"Marc"},{"family":"Carver","given":"Akiko"},{"family":"Chen","given":"Cindy"},{"family":"Cichocki","given":"Nicolas"},{"family":"Clum","given":"Alicia"},{"family":"Culley","given":"David"},{"family":"Crous","given":"Pedro W."},{"family":"Fauchery","given":"Laure"},{"family":"Girlanda","given":"Mariangela"},{"family":"Hayes","given":"Richard D."},{"family":"Kéri","given":"Zsófia"},{"family":"LaButti","given":"Kurt"},{"family":"Lipzen","given":"Anna"},{"family":"Lombard","given":"Vincent"},{"family":"Magnuson","given":"Jon"},{"family":"Maillard","given":"François"},{"family":"Murat","given":"Claude"},{"family":"Nolan","given":"Matt"},{"family":"Ohm","given":"Robin A."},{"family":"Pangilinan","given":"Jasmyn"},{"family":"Pereira","given":"Maíra de Freitas"},{"family":"Perotto","given":"Silvia"},{"family":"Peter","given":"Martina"},{"family":"Pfister","given":"Stephanie"},{"family":"Riley","given":"Robert"},{"family":"Sitrit","given":"Yaron"},{"family":"Stielow","given":"J. Benjamin"},{"family":"Szöllősi","given":"Gergely"},{"family":"Žifčáková","given":"Lucia"},{"family":"Štursová","given":"Martina"},{"family":"Spatafora","given":"Joseph W."},{"family":"Tedersoo","given":"Leho"},{"family":"Vaario","given":"Lu-Min"},{"family":"Yamada","given":"Akiyoshi"},{"family":"Yan","given":"Mi"},{"family":"Wang","given":"Pengfei"},{"family":"Xu","given":"Jianping"},{"family":"Bruns","given":"Tom"},{"family":"Baldrian","given":"Petr"},{"family":"Vilgalys","given":"Rytas"},{"family":"Dunand","given":"Christophe"},{"family":"Henrissat","given":"Bernard"},{"family":"Grigoriev","given":"Igor V."},{"family":"Hibbett","given":"David"},{"family":"Nagy","given":"László G."},{"family":"Martin","given":"Francis M."}],"issued":{"date-parts":[["2020",10,12]]},"citation-key":"miyauchi_2020"}}],"schema":"https://github.com/citation-style-language/schema/raw/master/csl-citation.json"} </w:instrText>
      </w:r>
      <w:r w:rsidRPr="009867C1">
        <w:fldChar w:fldCharType="separate"/>
      </w:r>
      <w:r w:rsidR="0042141C" w:rsidRPr="009867C1">
        <w:t>(Miyauchi et al., 2020)</w:t>
      </w:r>
      <w:r w:rsidRPr="009867C1">
        <w:fldChar w:fldCharType="end"/>
      </w:r>
      <w:r w:rsidRPr="009867C1">
        <w:t xml:space="preserve">, but nevertheless are important drivers of soil organic matter dynamics </w:t>
      </w:r>
      <w:r w:rsidRPr="009867C1">
        <w:fldChar w:fldCharType="begin"/>
      </w:r>
      <w:r w:rsidR="00AC0205">
        <w:instrText xml:space="preserve"> ADDIN ZOTERO_ITEM CSL_CITATION {"citationID":"X9Qp2hrp","properties":{"formattedCitation":"(Bunn et al., 2019; Frey, 2019)","plainCitation":"(Bunn et al., 2019; Frey, 2019)","noteIndex":0},"citationItems":[{"id":2625,"uris":["http://zotero.org/users/2189142/items/F6B9DD86"],"itemData":{"id":2625,"type":"article-journal","container-title":"The ISME Journal","DOI":"10.1038/s41396-019-0403-2","ISSN":"1751-7370","issue":"8","language":"en","note":"number: 8\npublisher: Nature Publishing Group","page":"1891-1898","source":"www-nature-com.ezproxy.library.ubc.ca","title":"Revisiting the ‘direct mineral cycling’ hypothesis: arbuscular mycorrhizal fungi colonize leaf litter, but why?","title-short":"Revisiting the ‘direct mineral cycling’ hypothesis","volume":"13","author":[{"family":"Bunn","given":"Rebecca A."},{"family":"Simpson","given":"Dylan T."},{"family":"Bullington","given":"Lorinda S."},{"family":"Lekberg","given":"Ylva"},{"family":"Janos","given":"David P."}],"issued":{"date-parts":[["2019",8]]},"citation-key":"bunn_2019"}},{"id":2614,"uris":["http://zotero.org/users/2189142/items/23982JGZ"],"itemData":{"id":2614,"type":"article-journal","abstract":"Inhabiting the interface between plant roots and soil, mycorrhizal fungi play a unique but underappreciated role in soil organic matter (SOM) dynamics. Their hyphae provide an efficient mechanism for distributing plant carbon throughout the soil, facilitating its deposition into soil pores and onto mineral surfaces, where it can be protected from microbial attack. Mycorrhizal exudates and dead tissues contribute to the microbial necromass pool now known to play a dominant role in SOM formation and stabilization. While mycorrhizal fungi lack the genetic capacity to act as saprotrophs, they use several strategies to access nutrients locked in SOM and thereby promote its decay, including direct enzymatic breakdown, oxidation via Fenton chemistry, and stimulation of heterotrophic microorganisms through carbon provision to the rhizosphere. An additional mechanism, competition with free-living saprotrophs, potentially suppresses SOM decomposition, leading to its accumulation. How these various nutrient acquisition strategies differentially influence SOM formation, stabilization, and loss is an area of critical research need.","container-title":"Annual Review of Ecology, Evolution, and Systematics","DOI":"10.1146/annurev-ecolsys-110617-062331","issue":"1","note":"_eprint: https://doi.org/10.1146/annurev-ecolsys-110617-062331","page":"237-259","source":"Annual Reviews","title":"Mycorrhizal Fungi as Mediators of Soil Organic Matter Dynamics","volume":"50","author":[{"family":"Frey","given":"Serita D."}],"issued":{"date-parts":[["2019"]]},"citation-key":"frey_2019a"}}],"schema":"https://github.com/citation-style-language/schema/raw/master/csl-citation.json"} </w:instrText>
      </w:r>
      <w:r w:rsidRPr="009867C1">
        <w:fldChar w:fldCharType="separate"/>
      </w:r>
      <w:r w:rsidR="0042141C" w:rsidRPr="009867C1">
        <w:t>(Bunn et al., 2019; Frey, 2019)</w:t>
      </w:r>
      <w:r w:rsidRPr="009867C1">
        <w:fldChar w:fldCharType="end"/>
      </w:r>
      <w:r w:rsidRPr="009867C1">
        <w:t xml:space="preserve">. </w:t>
      </w:r>
    </w:p>
    <w:p w14:paraId="468DF7CB" w14:textId="77777777" w:rsidR="008832BF" w:rsidRPr="009867C1" w:rsidRDefault="008832BF" w:rsidP="008832BF">
      <w:pPr>
        <w:pStyle w:val="Heading4"/>
      </w:pPr>
      <w:bookmarkStart w:id="35" w:name="_Toc425853169"/>
      <w:bookmarkStart w:id="36" w:name="_Toc99385411"/>
      <w:r w:rsidRPr="009867C1">
        <w:t>Mycorrhizal Fungi</w:t>
      </w:r>
      <w:bookmarkEnd w:id="35"/>
      <w:bookmarkEnd w:id="36"/>
      <w:r w:rsidRPr="009867C1">
        <w:tab/>
      </w:r>
    </w:p>
    <w:p w14:paraId="4F680CA6" w14:textId="7059C77E" w:rsidR="008832BF" w:rsidRPr="009867C1" w:rsidRDefault="008832BF" w:rsidP="008832BF">
      <w:pPr>
        <w:ind w:firstLine="720"/>
      </w:pPr>
      <w:r w:rsidRPr="009867C1">
        <w:t xml:space="preserve">Mycorrhizal fungi grow in symbiotic relationship with plant roots. This relationship is an old one, with the oldest land plant fossils showing evidence of mycorrhizal colonization </w:t>
      </w:r>
      <w:r w:rsidRPr="009867C1">
        <w:fldChar w:fldCharType="begin"/>
      </w:r>
      <w:r w:rsidR="00AC0205">
        <w:instrText xml:space="preserve"> ADDIN ZOTERO_ITEM CSL_CITATION {"citationID":"TB03888F","properties":{"formattedCitation":"(Redecker et al., 2000)","plainCitation":"(Redecker et al., 2000)","noteIndex":0},"citationItems":[{"id":911,"uris":["http://zotero.org/users/2189142/items/2R6BWZPU"],"itemData":{"id":911,"type":"article-journal","abstract":"Fossilized fungal hyphae and spores from the Ordovician of Wisconsin (with an age of about 460 million years) strongly resemble modern arbuscular mycorrhizal fungi (Glomales, Zygomycetes). These fossils indicate that Glomales-like fungi were present at a time when the land flora most likely only consisted of plants on the bryophytic level. Thus, these fungi may have played a crucial role in facilitating the colonization of land by plants, and the fossils support molecular estimates of fungal phylogeny that place the origin of the major groups of terrestrial fungi (Ascomycota, Basidiomycota, and Glomales) around 600 million years ago.","container-title":"Science","DOI":"10.1126/science.289.5486.1920","ISSN":"0036-8075, 1095-9203","issue":"5486","journalAbbreviation":"Science","language":"en","note":"PMID: 10988069","page":"1920-1921","source":"www.sciencemag.org.ezproxy.library.ubc.ca","title":"Glomalean Fungi from the Ordovician","volume":"289","author":[{"family":"Redecker","given":"Dirk"},{"family":"Kodner","given":"Robin"},{"family":"Graham","given":"Linda E."}],"issued":{"date-parts":[["2000",9,15]]},"citation-key":"redecker_2000"}}],"schema":"https://github.com/citation-style-language/schema/raw/master/csl-citation.json"} </w:instrText>
      </w:r>
      <w:r w:rsidRPr="009867C1">
        <w:fldChar w:fldCharType="separate"/>
      </w:r>
      <w:r w:rsidR="0042141C" w:rsidRPr="009867C1">
        <w:t>(Redecker et al., 2000)</w:t>
      </w:r>
      <w:r w:rsidRPr="009867C1">
        <w:fldChar w:fldCharType="end"/>
      </w:r>
      <w:r w:rsidRPr="009867C1">
        <w:t xml:space="preserve">. This has led to a very long period (at least 460 million years) of coevolution, resulting in an entanglement of form, function and diversity that has led biologists to call the fungi-plant pair a ‘holobiont’ – an association which must be looked at together as a whole in order to understand its functioning </w:t>
      </w:r>
      <w:r w:rsidRPr="009867C1">
        <w:fldChar w:fldCharType="begin"/>
      </w:r>
      <w:r w:rsidR="00AC0205">
        <w:instrText xml:space="preserve"> ADDIN ZOTERO_ITEM CSL_CITATION {"citationID":"RdHc4Usq","properties":{"formattedCitation":"(Vandenkoornhuyse et al., 2015)","plainCitation":"(Vandenkoornhuyse et al., 2015)","noteIndex":0},"citationItems":[{"id":1015,"uris":["http://zotero.org/users/2189142/items/7ZVJTMVF"],"itemData":{"id":1015,"type":"article-journal","abstract":"1196\n\n\nI.\n\n1196\n\n\nII.\n\n1197\n\n\nIII.\n\n1198\n\n\nIV.\n\n1200\n\n\nV.\n\n1201\n\n\nVI.\n\n1204\n\n\n\n\n1204\n\n\n\nReferences\n1204\n\n\n\n\n\n\n\n\nSummary\n\nPlants can no longer be considered as standalone entities and a more holistic perception is needed. Indeed, plants harbor a wide diversity of microorganisms both inside and outside their tissues, in the endosphere and ectosphere, respectively. These microorganisms, which mostly belong to Bacteria and Fungi, are involved in major functions such as plant nutrition and plant resistance to biotic and abiotic stresses. Hence, the microbiota impact plant growth and survival, two key components of fitness. Plant fitness is therefore a consequence of the plant per se and its microbiota, which collectively form a holobiont. Complementary to the reductionist perception of evolutionary pressures acting on plant or symbiotic compartments, the plant holobiont concept requires a novel perception of evolution. The interlinkages between the plant holobiont components are explored here in the light of current ecological and evolutionary theories. Microbiome complexity and the rules of microbiotic community assemblage are not yet fully understood. It is suggested that the plant can modulate its microbiota to dynamically adjust to its environment. To better understand the level of plant dependence on the microbiotic components, the core microbiota need to be determined at different hierarchical scales of ecology while pan-microbiome analyses would improve characterization of the functions displayed.","container-title":"New Phytologist","DOI":"10.1111/nph.13312","ISSN":"1469-8137","issue":"4","journalAbbreviation":"New Phytol","language":"en","page":"1196-1206","source":"Wiley Online Library","title":"The importance of the microbiome of the plant holobiont","volume":"206","author":[{"family":"Vandenkoornhuyse","given":"Philippe"},{"family":"Quaiser","given":"Achim"},{"family":"Duhamel","given":"Marie"},{"family":"Le Van","given":"Amandine"},{"family":"Dufresne","given":"Alexis"}],"issued":{"date-parts":[["2015",6,1]]},"citation-key":"vandenkoornhuyse_2015"}}],"schema":"https://github.com/citation-style-language/schema/raw/master/csl-citation.json"} </w:instrText>
      </w:r>
      <w:r w:rsidRPr="009867C1">
        <w:fldChar w:fldCharType="separate"/>
      </w:r>
      <w:r w:rsidR="0042141C" w:rsidRPr="009867C1">
        <w:t>(Vandenkoornhuyse et al., 2015)</w:t>
      </w:r>
      <w:r w:rsidRPr="009867C1">
        <w:fldChar w:fldCharType="end"/>
      </w:r>
      <w:r w:rsidRPr="009867C1">
        <w:t xml:space="preserve">. The ancestral association takes diverse physical manifestations of growth form known as endomycorrhizal (EM), where the hypha of the fungi penetrate the cell walls of plant roots, setting up networks of branching hyphae which present large surface areas for substance exchange. Endomycorrhizal forms have further been divided into arbuscular, arbutoid, ericoid, monotropoid and orchid mycorrhiza; each associates with different guilds of hosts and </w:t>
      </w:r>
      <w:r w:rsidR="001470A3">
        <w:t>have had</w:t>
      </w:r>
      <w:r w:rsidRPr="009867C1">
        <w:t xml:space="preserve"> different physiological and evolutionary trajectories (</w:t>
      </w:r>
      <w:r w:rsidRPr="009867C1">
        <w:fldChar w:fldCharType="begin"/>
      </w:r>
      <w:r w:rsidR="00AC0205">
        <w:instrText xml:space="preserve"> ADDIN ZOTERO_ITEM CSL_CITATION {"citationID":"B3Qm8DqG","properties":{"formattedCitation":"(Peterson, Massicotte, and Melville 2004)","plainCitation":"(Peterson, Massicotte, and Melville 2004)","dontUpdate":true,"noteIndex":0},"citationItems":[{"id":1005,"uris":["http://zotero.org/users/2189142/items/N6CFHQME"],"itemData":{"id":1005,"type":"book","abstract":"Symbiotic relations between roots and fungi (mycorrhizas) are the most prevalent symbiotic systems on earth. For example, mycorrhizas increase nutrient uptake from soil, assist in the biocontrol of pathogenic fungi and nematodes, and have a positive effect on the establishment of plant communities. Mycorrhizal associations can be found in all ecosystems and in important forest and crop species. This book provides a summary of all the mycorrhizal categories from a morphological and anatomical perspective.","edition":"First edition","event-place":"Ottawa : Wallingford, Oxon, UK","ISBN":"978-0-85199-901-2","language":"English","number-of-pages":"196","publisher":"CABI","publisher-place":"Ottawa : Wallingford, Oxon, UK","source":"Amazon","title":"Mycorrhizas: Anatomy and Cell Biology","title-short":"Mycorrhizas","author":[{"family":"Peterson","given":"R. L."},{"family":"Massicotte","given":"H. B."},{"family":"Melville","given":"L. H."}],"issued":{"date-parts":[["2004",8]]},"citation-key":"peterson_2004"}}],"schema":"https://github.com/citation-style-language/schema/raw/master/csl-citation.json"} </w:instrText>
      </w:r>
      <w:r w:rsidRPr="009867C1">
        <w:fldChar w:fldCharType="separate"/>
      </w:r>
      <w:r w:rsidRPr="009867C1">
        <w:t>Peterson, Massicotte, and Melville 2004</w:t>
      </w:r>
      <w:r w:rsidRPr="009867C1">
        <w:fldChar w:fldCharType="end"/>
      </w:r>
      <w:r w:rsidRPr="009867C1">
        <w:t xml:space="preserve">).  Approximately 100-200 million years ago </w:t>
      </w:r>
      <w:r w:rsidRPr="009867C1">
        <w:fldChar w:fldCharType="begin"/>
      </w:r>
      <w:r w:rsidR="00AC0205">
        <w:instrText xml:space="preserve"> ADDIN ZOTERO_ITEM CSL_CITATION {"citationID":"bqHLM94S","properties":{"formattedCitation":"(Cairney, 2000)","plainCitation":"(Cairney, 2000)","noteIndex":0},"citationItems":[{"id":982,"uris":["http://zotero.org/users/2189142/items/I6DPJ5FK"],"itemData":{"id":982,"type":"article-journal","container-title":"Naturwissenschaften","issue":"11","page":"467–475","source":"Google Scholar","title":"Evolution of mycorrhiza systems","volume":"87","author":[{"family":"Cairney","given":"J. W. G."}],"issued":{"date-parts":[["2000"]]},"citation-key":"cairney_2000"}}],"schema":"https://github.com/citation-style-language/schema/raw/master/csl-citation.json"} </w:instrText>
      </w:r>
      <w:r w:rsidRPr="009867C1">
        <w:fldChar w:fldCharType="separate"/>
      </w:r>
      <w:r w:rsidR="0042141C" w:rsidRPr="009867C1">
        <w:t>(Cairney, 2000)</w:t>
      </w:r>
      <w:r w:rsidRPr="009867C1">
        <w:fldChar w:fldCharType="end"/>
      </w:r>
      <w:r w:rsidRPr="009867C1">
        <w:t xml:space="preserve">, ectomycorrhizal growth forms emerged (ECM), where the fungi formed a woven mantle outside the root cells </w:t>
      </w:r>
      <w:r w:rsidRPr="009867C1">
        <w:fldChar w:fldCharType="begin"/>
      </w:r>
      <w:r w:rsidR="00AC0205">
        <w:instrText xml:space="preserve"> ADDIN ZOTERO_ITEM CSL_CITATION {"citationID":"kQPPScVU","properties":{"formattedCitation":"(Finlay, 2008)","plainCitation":"(Finlay, 2008)","noteIndex":0},"citationItems":[{"id":568,"uris":["http://zotero.org/users/2189142/items/K9EU7CF3"],"itemData":{"id":568,"type":"article-journal","abstract":"Different symbiotic mycorrhizal associations between plants and fungi occur, almost ubiquitously, in a wide range of terrestrial ecosystems. Historically, these have mainly been considered within the rather narrow perspective of their effects on the uptake of dissolved mineral nutrients by individual plants. More recent research has placed emphasis on a wider, multifunctional perspective, including the effects of mycorrhizal symbiosis on plant and microbial communities, and on ecosystem processes. This includes mobilization of N and P from organic polymers, release of nutrients from mineral particles or rock surfaces via weathering, effects on carbon cycling, interactions with myco-heterotrophic plants, mediation of plant responses to stress factors such as drought, soil acidification, toxic metals, and plant pathogens, as well as a range of possible interactions with groups of other soil micro-organisms. Mycorrhizal fungi connect their plant hosts to the heterogeneously distributed nutrients required for their growth, enabling the flow of energy-rich compounds required for nutrient mobilization whilst simultaneously providing conduits for the translocation of mobilized products back to their hosts. In addition to increasing the nutrient absorptive surface area of their host plant root systems, the extraradical mycelium of mycorrhizal fungi provides a direct pathway for translocation of photosynthetically derived carbon to microsites in the soil and a large surface area for interaction with other micro-organisms. The detailed functioning and regulation of these mycorrhizosphere processes is still poorly understood but recent progress is reviewed and potential benefits of improved understanding of mycorrhizosphere interactions are discussed.","container-title":"Journal of Experimental Botany","DOI":"10.1093/jxb/ern059","ISSN":"0022-0957, 1460-2431","issue":"5","journalAbbreviation":"J. Exp. Bot.","language":"en","note":"PMID: 18349054","page":"1115-1126","source":"jxb.oxfordjournals.org.ezproxy.library.ubc.ca","title":"Ecological aspects of mycorrhizal symbiosis: with special emphasis on the functional diversity of interactions involving the extraradical mycelium","title-short":"Ecological aspects of mycorrhizal symbiosis","volume":"59","author":[{"family":"Finlay","given":"Roger D."}],"issued":{"date-parts":[["2008",3,1]]},"citation-key":"finlay_2008"}}],"schema":"https://github.com/citation-style-language/schema/raw/master/csl-citation.json"} </w:instrText>
      </w:r>
      <w:r w:rsidRPr="009867C1">
        <w:fldChar w:fldCharType="separate"/>
      </w:r>
      <w:r w:rsidR="0042141C" w:rsidRPr="009867C1">
        <w:t>(Finlay, 2008)</w:t>
      </w:r>
      <w:r w:rsidRPr="009867C1">
        <w:fldChar w:fldCharType="end"/>
      </w:r>
      <w:r w:rsidRPr="009867C1">
        <w:t xml:space="preserve">. Modern DNA sequencing techniques are adding to and will continue to change this picture </w:t>
      </w:r>
      <w:r w:rsidRPr="009867C1">
        <w:fldChar w:fldCharType="begin"/>
      </w:r>
      <w:r w:rsidR="00AC0205">
        <w:instrText xml:space="preserve"> ADDIN ZOTERO_ITEM CSL_CITATION {"citationID":"18EybswC","properties":{"formattedCitation":"(Veneault-Fourrey &amp; Martin, 2013)","plainCitation":"(Veneault-Fourrey &amp; Martin, 2013)","noteIndex":0},"citationItems":[{"id":980,"uris":["http://zotero.org/users/2189142/items/FAXICXFM"],"itemData":{"id":980,"type":"chapter","abstract":"Boreal and temperate forest ecosystems rely on ectomycorrhizal (ECM) symbiosis for tree nutrition, productivity, and stress resilience. The ECM lifestyle appears several times during fungal evolution. In this chapter, we will consider how comparative genomics has changed and specified our understanding of the evolution of the ECM symbiosis lifestyle within the fungal kingdom and the rhizospheric zoo. During development of ECM symbiosis, only a few plant defense responses are triggered. In this chapter, we will consider which strategies (molecules, factors) ECM fungi developed in order to avoid plant immune system detection. We will in particular highlight the roles of cell wall remodeling enzymes and symbiosis effectors displaying similarities to those of plant pathogens. Understanding of the biology of ectomycorrhizal fungi is important to inform models of sustainable forest management and to improve the productivity of tree plantations in marginal soils. Thus, the chapter will conclude with eco-biotechnological applications of ECM symbiosis in forestry and bioremediation.","collection-number":"11","collection-title":"The Mycota","container-title":"Agricultural Applications","ISBN":"978-3-642-36820-2","language":"en","page":"273-293","publisher":"Springer Berlin Heidelberg","source":"link.springer.com.ezproxy.library.ubc.ca","title":"10 New Insights into Ectomycorrhizal Symbiosis Evolution and Function","URL":"http://link.springer.com.ezproxy.library.ubc.ca/chapter/10.1007/978-3-642-36821-9_10","author":[{"family":"Veneault-Fourrey","given":"Claire"},{"family":"Martin","given":"Francis"}],"editor":[{"family":"Kempken","given":"Frank"}],"accessed":{"date-parts":[["2015",6,24]]},"issued":{"date-parts":[["2013"]]},"citation-key":"veneault-fourrey_2013"}}],"schema":"https://github.com/citation-style-language/schema/raw/master/csl-citation.json"} </w:instrText>
      </w:r>
      <w:r w:rsidRPr="009867C1">
        <w:fldChar w:fldCharType="separate"/>
      </w:r>
      <w:r w:rsidR="0042141C" w:rsidRPr="009867C1">
        <w:t>(Veneault-Fourrey &amp; Martin, 2013)</w:t>
      </w:r>
      <w:r w:rsidRPr="009867C1">
        <w:fldChar w:fldCharType="end"/>
      </w:r>
      <w:r w:rsidRPr="009867C1">
        <w:t>.</w:t>
      </w:r>
    </w:p>
    <w:p w14:paraId="65BA1757" w14:textId="31B99B3D" w:rsidR="008832BF" w:rsidRPr="009867C1" w:rsidRDefault="008832BF" w:rsidP="008832BF">
      <w:pPr>
        <w:ind w:firstLine="720"/>
      </w:pPr>
      <w:r w:rsidRPr="009867C1">
        <w:t>Many hypotheses have been proposed regarding the advantages conferred to each partner in the mycorrhizal association. Some of these are well known: mycorrhizal fungi trade phosphorus, nitrogen, water, and other metabolites with the plant for sugars</w:t>
      </w:r>
      <w:r w:rsidR="001470A3">
        <w:t>,</w:t>
      </w:r>
      <w:r w:rsidRPr="009867C1">
        <w:t xml:space="preserve"> produced </w:t>
      </w:r>
      <w:r w:rsidR="001470A3">
        <w:t>via</w:t>
      </w:r>
      <w:r w:rsidRPr="009867C1">
        <w:t xml:space="preserve"> photosynthesis, in exchange </w:t>
      </w:r>
      <w:r w:rsidRPr="009867C1">
        <w:fldChar w:fldCharType="begin"/>
      </w:r>
      <w:r w:rsidR="00AC0205">
        <w:instrText xml:space="preserve"> ADDIN ZOTERO_ITEM CSL_CITATION {"citationID":"cDHZEXhJ","properties":{"formattedCitation":"(Courty et al., 2010; S. E. Smith &amp; Read, 2008)","plainCitation":"(Courty et al., 2010; S. E. Smith &amp; Read, 2008)","noteIndex":0},"citationItems":[{"id":"Mdw2eqP8/EsM1yGuA","uris":["http://zotero.org/users/2189142/items/QKJZHVQF"],"itemData":{"id":441,"type":"article-journal","title":"The role of ectomycorrhizal communities in forest ecosystem processes: New perspectives and emerging concepts","container-title":"Soil Biology and Biochemistry","page":"679-698","volume":"42","issue":"5","source":"ScienceDirect","abstract":"The fungal symbionts forming ectomycorrhizas, as well as their associated bacteria, benefit forest trees in a number of ways although the most important is enhancing soil nutrient mobilization and uptake. This is reciprocated by the allocation of carbohydrates by the tree to the fungus through the root interface, making the relationship a mutualistic association. Many field observations suggest that ectomycorrhizal fungi contribute to a number of key ecosystem functions such as carbon cycling, nutrient mobilization from soil organic matter, nutrient mobilization from soil minerals, and linking trees through common mycorrhizal networks. Until now, it has been very difficult to study trees and their fungal associates in forest ecosystems and most of the work on ECM functioning has been done in laboratory or nursery conditions. In this review with discuss the possibility of working at another scale, in forest settings. Numerous new techniques are emerging that makes possible the in situ study of the functional diversity of ectomycorrhizal communities. This approach should help to integrate developing research on the functional ecology of ectomycorrhizas and their associated bacteria with the potential implications of such research for managing the effects of climate change on forests.","DOI":"10.1016/j.soilbio.2009.12.006","ISSN":"0038-0717","shortTitle":"The role of ectomycorrhizal communities in forest ecosystem processes","journalAbbreviation":"Soil Biology and Biochemistry","author":[{"family":"Courty","given":"Pierre-Emmanuel"},{"family":"Buée","given":"Marc"},{"family":"Diedhiou","given":"Abdala Gamby"},{"family":"Frey-Klett","given":"Pascale"},{"family":"Le Tacon","given":"François"},{"family":"Rineau","given":"François"},{"family":"Turpault","given":"Marie-Pierre"},{"family":"Uroz","given":"Stéphane"},{"family":"Garbaye","given":"Jean"}],"issued":{"date-parts":[["2010",5]]},"accessed":{"date-parts":[["2015",4,21]]}}},{"id":1004,"uris":["http://zotero.org/users/2189142/items/E7A637MD"],"itemData":{"id":1004,"type":"book","abstract":"The roots of most plants are colonized by symbiotic fungi to form mycorrhiza, which play a critical role in the capture of nutrients from the soil and therefore in plant nutrition. Mycorrhizal Symbiosis is recognized as the definitive work in this area. Since the last edition was published there have been major advances in the field, particularly in the area of molecular biology, and the new edition has been fully revised and updated to incorporate these exciting new developments.                                       • Over 50% new material• Includes expanded color plate section• Covers all aspects of mycorrhiza• Presents new taxonomy• Discusses the impact of proteomics and genomics on research in this area","edition":"3 edition","event-place":"Amsterdam","ISBN":"978-0-12-370526-6","language":"English","number-of-pages":"800","publisher":"Academic Press","publisher-place":"Amsterdam","source":"Amazon","title":"Mycorrhizal Symbiosis, Third Edition","author":[{"family":"Smith","given":"Sally E."},{"family":"Read","given":"David J."}],"issued":{"date-parts":[["2008",5,7]]},"citation-key":"smith_2008a"}}],"schema":"https://github.com/citation-style-language/schema/raw/master/csl-citation.json"} </w:instrText>
      </w:r>
      <w:r w:rsidRPr="009867C1">
        <w:fldChar w:fldCharType="separate"/>
      </w:r>
      <w:r w:rsidR="0042141C" w:rsidRPr="009867C1">
        <w:t>(Courty et al., 2010; S. E. Smith &amp; Read, 2008)</w:t>
      </w:r>
      <w:r w:rsidRPr="009867C1">
        <w:fldChar w:fldCharType="end"/>
      </w:r>
      <w:r w:rsidRPr="009867C1">
        <w:t>. From the plant’s perspective, the hyphal growth form of fungi is much thinner than plant roots; this allows fungi to explore a much greater volume of soil for a given amount of invested matter and energy. This more ‘cost effective’ approach allows for greater efficiency in nutrient scavenging, and through trade it is thought that all partners benefit</w:t>
      </w:r>
      <w:r w:rsidR="008378A8" w:rsidRPr="009867C1">
        <w:t xml:space="preserve"> from this increased efficiency</w:t>
      </w:r>
      <w:r w:rsidRPr="009867C1">
        <w:t xml:space="preserve">. In addition, the complexity of fungal saprophytic exudates may allow plants access to nutrients of sources different than those they can access directly, particularly from recalcitrant organic sources </w:t>
      </w:r>
      <w:r w:rsidRPr="009867C1">
        <w:fldChar w:fldCharType="begin"/>
      </w:r>
      <w:r w:rsidR="00AC0205">
        <w:instrText xml:space="preserve"> ADDIN ZOTERO_ITEM CSL_CITATION {"citationID":"ejwLiANt","properties":{"formattedCitation":"(Lindahl &amp; Tunlid, 2015)","plainCitation":"(Lindahl &amp; Tunlid, 2015)","noteIndex":0},"citationItems":[{"id":662,"uris":["http://zotero.org/users/2189142/items/ZN38FA3W"],"itemData":{"id":662,"type":"article-journal","abstract":"I.\n\n\n\nII.\n\n\n\nIII.\n\n\n\nIV.\n\n\n\nV.\n\n\n\n\n\n\n\n\nReferences\n\n\n\n\n\n\n\n\nSummary\n\nAlthough hypothesized for many years, the involvement of ectomycorrhizal fungi in decomposition of soil organic matter remains controversial and has not yet been fully acknowledged as an important factor in the regulation of soil carbon (C) storage. Here, we review recent findings, which support the view that some ectomycorrhizal fungi have the capacity to oxidize organic matter, either by ‘brown-rot’ Fenton chemistry or using ‘white-rot’ peroxidases. We propose that ectomycorrhizal fungi benefit from organic matter decomposition primarily through increased nitrogen mobilization rather than through release of metabolic C and question the view that ectomycorrhizal fungi may act as facultative saprotrophs. Finally, we discuss how mycorrhizal decomposition may influence organic matter storage in soils and mediate responses of ecosystem C sequestration to environmental changes.","container-title":"New Phytologist","DOI":"10.1111/nph.13201","ISSN":"1469-8137","issue":"4","journalAbbreviation":"New Phytol","language":"en","page":"1443-1447","source":"Wiley Online Library","title":"Ectomycorrhizal fungi – potential organic matter decomposers, yet not saprotrophs","volume":"205","author":[{"family":"Lindahl","given":"Björn D."},{"family":"Tunlid","given":"Anders"}],"issued":{"date-parts":[["2015",3,1]]},"citation-key":"lindahl_2015"}}],"schema":"https://github.com/citation-style-language/schema/raw/master/csl-citation.json"} </w:instrText>
      </w:r>
      <w:r w:rsidRPr="009867C1">
        <w:fldChar w:fldCharType="separate"/>
      </w:r>
      <w:r w:rsidR="0042141C" w:rsidRPr="009867C1">
        <w:t>(Lindahl &amp; Tunlid, 2015)</w:t>
      </w:r>
      <w:r w:rsidRPr="009867C1">
        <w:fldChar w:fldCharType="end"/>
      </w:r>
      <w:r w:rsidRPr="009867C1">
        <w:t xml:space="preserve">. Mycorrhizae also confer tolerance to stressful environments, helping plants to deal with high levels of heavy metals, salts, pollutants </w:t>
      </w:r>
      <w:r w:rsidRPr="009867C1">
        <w:fldChar w:fldCharType="begin"/>
      </w:r>
      <w:r w:rsidR="00AC0205">
        <w:instrText xml:space="preserve"> ADDIN ZOTERO_ITEM CSL_CITATION {"citationID":"WOugIj1T","properties":{"formattedCitation":"(Schechter &amp; Branco, 2014)","plainCitation":"(Schechter &amp; Branco, 2014)","noteIndex":0},"citationItems":[{"id":1055,"uris":["http://zotero.org/users/2189142/items/37F936WQ"],"itemData":{"id":1055,"type":"chapter","container-title":"Plant Ecology and Evolution in Harsh Environments","event-place":"New York","page":"33-52","publisher":"Nova Publishers","publisher-place":"New York","title":"The Ecology and Evolution of Mycorrhizal Fungi in Extreme Soils","author":[{"family":"Schechter","given":"Shannon"},{"family":"Branco","given":"Sara"}],"editor":[{"family":"Rajakaruna","given":"Nishanta"},{"family":"Boyd","given":"Robert S."},{"family":"Harris","given":"Tanner B."}],"issued":{"date-parts":[["2014"]]},"citation-key":"schechter_2014"}}],"schema":"https://github.com/citation-style-language/schema/raw/master/csl-citation.json"} </w:instrText>
      </w:r>
      <w:r w:rsidRPr="009867C1">
        <w:fldChar w:fldCharType="separate"/>
      </w:r>
      <w:r w:rsidR="0042141C" w:rsidRPr="009867C1">
        <w:t>(Schechter &amp; Branco, 2014)</w:t>
      </w:r>
      <w:r w:rsidRPr="009867C1">
        <w:fldChar w:fldCharType="end"/>
      </w:r>
      <w:r w:rsidRPr="009867C1">
        <w:t xml:space="preserve">, and even radioactive materials </w:t>
      </w:r>
      <w:r w:rsidRPr="009867C1">
        <w:fldChar w:fldCharType="begin"/>
      </w:r>
      <w:r w:rsidR="00AC0205">
        <w:instrText xml:space="preserve"> ADDIN ZOTERO_ITEM CSL_CITATION {"citationID":"TGZ1HW4A","properties":{"formattedCitation":"(Djedidi et al., 2014)","plainCitation":"(Djedidi et al., 2014)","noteIndex":0},"citationItems":[{"id":1011,"uris":["http://zotero.org/users/2189142/items/8M9NFXSS"],"itemData":{"id":1011,"type":"article-journal","abstract":"Field experiments in a contaminated farmland in Nihonmatsu city, Fukushima were conducted to assess the effectiveness of the plant–microbe interaction on removal of radiocesium. Before plowing, 93.3 % of radiocesium was found in the top 5 cm layer (5,718 Bq kg DW−1). After plowing, Cs radioactivity in the 0–15 cm layer ranged from 2,037 to 3,277 Bq kg DW−1. Based on sequential extraction, the percentage of available radiocesium (water soluble + exchangeable) was fewer than 10 % of the total radioactive Cs. The transfer of 137Cs was investigated in three agricultural crops; komatsuna (four cultivars), Indian mustard and buckwheat, inoculated with a Bacillus or an Azospirillum strains. Except for komatsuna Nikko and Indian mustard, inoculation with both strains resulted in an increase of biomass production by the tested plants. The highest 137Cs radioactivity concentration in above-ground parts was found in Bacillus-inoculated komatsuna Nikko (121 Bq kg DW−1), accompanied with the highest 137Cs TF (0.092). Furthermore, komatsuna Nikko-Bacillus and Indian mustard-Azospirillum associations gave the highest 137Cs removal, 131.5 and 113.8 Bq m−2, respectively. Despite the beneficial effect of inoculation, concentrations of 137Cs and its transfer to the tested plants were not very high; consequently, removal of 137Cs from soil would be very slow.","container-title":"Journal of Plant Research","DOI":"10.1007/s10265-014-0678-3","ISSN":"0918-9440, 1618-0860","issue":"1","journalAbbreviation":"J Plant Res","language":"en","page":"147-159","source":"link.springer.com.ezproxy.library.ubc.ca","title":"Evaluation of the possibility to use the plant–microbe interaction to stimulate radioactive 137Cs accumulation by plants in a contaminated farm field in Fukushima, Japan","volume":"128","author":[{"family":"Djedidi","given":"Salem"},{"family":"Terasaki","given":"Akimi"},{"family":"Aung","given":"Han Phyo"},{"family":"Kojima","given":"Katsuhiro"},{"family":"Yamaya","given":"Hiroko"},{"family":"Ohkama-Ohtsu","given":"Naoko"},{"family":"Bellingrath-Kimura","given":"Sonoko Dorothea"},{"family":"Meunchang","given":"Phatchayaphon"},{"family":"Yokoyama","given":"Tadashi"}],"issued":{"date-parts":[["2014",11,15]]},"citation-key":"djedidi_2014"}}],"schema":"https://github.com/citation-style-language/schema/raw/master/csl-citation.json"} </w:instrText>
      </w:r>
      <w:r w:rsidRPr="009867C1">
        <w:fldChar w:fldCharType="separate"/>
      </w:r>
      <w:r w:rsidR="0042141C" w:rsidRPr="009867C1">
        <w:t>(Djedidi et al., 2014)</w:t>
      </w:r>
      <w:r w:rsidRPr="009867C1">
        <w:fldChar w:fldCharType="end"/>
      </w:r>
      <w:r w:rsidRPr="009867C1">
        <w:t xml:space="preserve">. They are also able to influence plant immune responses to pests and pathogens </w:t>
      </w:r>
      <w:r w:rsidRPr="009867C1">
        <w:fldChar w:fldCharType="begin"/>
      </w:r>
      <w:r w:rsidR="00AC0205">
        <w:instrText xml:space="preserve"> ADDIN ZOTERO_ITEM CSL_CITATION {"citationID":"Sl79Pkv9","properties":{"formattedCitation":"(Pozo et al., 2010, 2015)","plainCitation":"(Pozo et al., 2010, 2015)","noteIndex":0},"citationItems":[{"id":1002,"uris":["http://zotero.org/users/2189142/items/5DC4JI6N"],"itemData":{"id":1002,"type":"chapter","abstract":"Arbuscular mycorrhizal associations imply a remarkable reprogramming­ of functions in both plant and fungal symbionts. The consequent alterations on plant physiology have a clear impact on the plant response to biotic stresses. In this chapter we discuss the effects of the mycorrhizal symbiosis on plant susceptibility/resistance to potential deleterious organisms, including root and shoot pathogens, root parasitic plants and phytophagous insects, highlighting the mechanisms that may be operating in each particular case. Special attention is given to the modulation of plant defence responses in mycorrhizal systems, as it may affect all interactions. Finally we focus on the priming of jasmonate regulated plant defence mechanisms that seem to mediate the induction of resistance by arbuscular mycorrhizas.","container-title":"Arbuscular Mycorrhizas: Physiology and Function","ISBN":"978-90-481-9488-9","language":"en","page":"193-207","publisher":"Springer Netherlands","source":"link.springer.com.ezproxy.library.ubc.ca","title":"Impact of Arbuscular Mycorrhizal Symbiosis on Plant Response to Biotic Stress: The Role of Plant Defence Mechanisms","title-short":"Impact of Arbuscular Mycorrhizal Symbiosis on Plant Response to Biotic Stress","URL":"http://link.springer.com.ezproxy.library.ubc.ca/chapter/10.1007/978-90-481-9489-6_9","author":[{"family":"Pozo","given":"María J."},{"family":"Jung","given":"Sabine C."},{"family":"López-Ráez","given":"Juan A."},{"family":"Azcón-Aguilar","given":"Concepción"}],"editor":[{"family":"Koltai","given":"Hinanit"},{"family":"Kapulnik","given":"Yoram"}],"accessed":{"date-parts":[["2015",6,17]]},"issued":{"date-parts":[["2010"]]},"citation-key":"pozo_2010"}},{"id":403,"uris":["http://zotero.org/users/2189142/items/NS4CFAR5"],"itemData":{"id":403,"type":"article-journal","abstract":"I.\n\n\n\nII.\n\n\n\nIII.\n\n\n\nIV.\n\n\n\nV.\n\n\n\nVI.\n\n\n\n\n\n\n\n\nReferences\n\n\n\n\n\n\n\n\nSummary\n\nFor survival, plants have to efficiently adjust their phenotype to environmental challenges, finely coordinating their responses to balance growth and defence. Such phenotypic plasticity can be modulated by their associated microbiota. The widespread mycorrhizal symbioses modify plant responses to external stimuli, generally improving the resilience of the symbiotic system to environmental stresses. Phytohormones, central regulators of plant development and immunity, are instrumental in orchestrating plant responses to the fluctuating environment, but also in the regulation of mycorrhizal symbioses. Exciting advances in the molecular regulation of phytohormone signalling are providing mechanistic insights into how plants coordinate their responses to environmental cues and mycorrhizal functioning. Here, we summarize how these mechanisms permit the fine-tuning of the symbiosis according to the ever-changing environment.","container-title":"New Phytologist","DOI":"10.1111/nph.13252","ISSN":"1469-8137","issue":"4","journalAbbreviation":"New Phytol","language":"en","page":"1431-1436","source":"Wiley Online Library","title":"Phytohormones as integrators of environmental signals in the regulation of mycorrhizal symbioses","volume":"205","author":[{"family":"Pozo","given":"María J."},{"family":"López-Ráez","given":"Juan A."},{"family":"Azcón-Aguilar","given":"Concepción"},{"family":"García-Garrido","given":"José M."}],"issued":{"date-parts":[["2015",3,1]]},"citation-key":"pozo_2015"}}],"schema":"https://github.com/citation-style-language/schema/raw/master/csl-citation.json"} </w:instrText>
      </w:r>
      <w:r w:rsidRPr="009867C1">
        <w:fldChar w:fldCharType="separate"/>
      </w:r>
      <w:r w:rsidR="0042141C" w:rsidRPr="009867C1">
        <w:t>(Pozo et al., 2010, 2015)</w:t>
      </w:r>
      <w:r w:rsidRPr="009867C1">
        <w:fldChar w:fldCharType="end"/>
      </w:r>
      <w:r w:rsidRPr="009867C1">
        <w:t xml:space="preserve">, and through common hyphal networks act as communication channels between plants </w:t>
      </w:r>
      <w:r w:rsidRPr="009867C1">
        <w:fldChar w:fldCharType="begin"/>
      </w:r>
      <w:r w:rsidR="00AC0205">
        <w:instrText xml:space="preserve"> ADDIN ZOTERO_ITEM CSL_CITATION {"citationID":"T3hAPk2n","properties":{"formattedCitation":"(Gorzelak et al., 2015; Newman, 1988; Simard, 2018; Song et al., 2010, 2015)","plainCitation":"(Gorzelak et al., 2015; Newman, 1988; Simard, 2018; Song et al., 2010, 2015)","noteIndex":0},"citationItems":[{"id":939,"uris":["http://zotero.org/users/2189142/items/7HND685B"],"itemData":{"id":939,"type":"article-journal","abstract":"Adaptive behavior of plants, including rapid changes in physiology, gene regulation and defense response can be altered when linked to neighbouring plants by a mycorrhizal network. Mechanisms underlying the behavioral changes include mycorrhizal fungal colonization by the mycorrhizal network or interplant communication via transfer of nutrients, defense signals or allelochemicals. We focus this review on our new findings in ectomycorrhizal ecosystems, but also review recent advances in arbuscular mycorrhizal systems. We have found that the behavioral changes in ectomycorrhizal plants can depend on environmental cues, the identity of the plant neighbor and the characteristics of the mycorrhizal network. The hierarchical integration of this phenomenon with other biological networks at broader scales in forest ecosystems, and the consequences we have observed when it is interrupted, indicates that underground ‘tree talk’ is a foundational process in the complex adaptive nature of forest ecosystems.","container-title":"AoB Plants","DOI":"10.1093/aobpla/plv050","ISSN":", 2041-2851","journalAbbreviation":"AoB PLANTS","language":"en","note":"PMID: 25979966","page":"plv050","source":"aobpla.oxfordjournals.org.ezproxy.library.ubc.ca","title":"Inter-plant communication through mycorrhizal networks mediates complex adaptive behaviour in plant communities","author":[{"family":"Gorzelak","given":"Monika A."},{"family":"Asay","given":"Amanda K."},{"family":"Pickles","given":"Brian J."},{"family":"Simard","given":"Suzanne W."}],"issued":{"date-parts":[["2015",5,15]]},"citation-key":"gorzelak_2015"}},{"id":10307,"uris":["http://zotero.org/users/2189142/items/PWQLI2I2"],"itemData":{"id":10307,"type":"article-journal","abstract":"The chapter discusses mycorrhiza, a symbiotic, non-pathogenic association between a plant root and a fungus. This paper first summarizes evidence that…","container-title":"Advances in Ecological Research","DOI":"10.1016/S0065-2504(08)60182-8","ISSN":"0065-2504","language":"en","note":"publisher: Academic Press","page":"243-270","source":"www-sciencedirect-com.ezproxy.library.ubc.ca","title":"Mycorrhizal Links Between Plants: Their Functioning and Ecological Significance","title-short":"Mycorrhizal Links Between Plants","volume":"18","author":[{"family":"Newman","given":"E.I."}],"issued":{"date-parts":[["1988",1,1]]},"citation-key":"newman_1988"}},{"id":1988,"uris":["http://zotero.org/users/2189142/items/NH5D6AJ8"],"itemData":{"id":1988,"type":"chapter","container-title":"Memory and learning in plants","page":"191–213","publisher":"Springer","source":"Google Scholar","title":"Mycorrhizal networks facilitate tree communication, learning, and memory","author":[{"family":"Simard","given":"Suzanne W."}],"issued":{"date-parts":[["2018"]]},"citation-key":"simard_2018"}},{"id":1054,"uris":["http://zotero.org/users/2189142/items/ZQ8F9ZN8"],"itemData":{"id":1054,"type":"article-journal","abstract":"Plants can defend themselves to pathogen and herbivore attack by responding to chemical signals that are emitted by attacked plants. It is well established that such signals can be transferred through the air. In theory, plants can also communicate with each other through underground common mycorrhizal networks (CMNs) that interconnect roots of multiple plants. However, until now research focused on plant-to-plant carbon nutrient movement and there is no evidence that defense signals can be exchanged through such mycorrhizal hyphal networks. Here, we show that CMNs mediate plant-plant communication between healthy plants and pathogen-infected tomato plants (Lycopersicon esculentum Mill.). After establishment of CMNs with the arbuscular mycorrhizal fungus Glomus mosseae between tomato plants, inoculation of ‘donor’ plants with the pathogen Alternaria solani led to increases in disease resistance and activities of the putative defensive enzymes, peroxidase, polyphenol oxidase, chitinase, β-1,3-glucanase, phenylalanine ammonia-lyase and lipoxygenase in healthy neighbouring ‘receiver’ plants. The uninfected ‘receiver’ plants also activated six defence-related genes when CMNs connected ‘donor’ plants challenged with A. solani. This finding indicates that CMNs may function as a plant-plant underground communication conduit whereby disease resistance and induced defence signals can be transferred between the healthy and pathogen-infected neighbouring plants, suggesting that plants can ‘eavesdrop’ on defence signals from the pathogen-challenged neighbours through CMNs to activate defences before being attacked themselves.","container-title":"PLoS ONE","DOI":"10.1371/journal.pone.0013324","issue":"10","journalAbbreviation":"PLoS ONE","page":"e13324","source":"PLoS Journals","title":"Interplant Communication of Tomato Plants through Underground Common Mycorrhizal Networks","volume":"5","author":[{"family":"Song","given":"Yuan Yuan"},{"family":"Zeng","given":"Ren Sen"},{"family":"Xu","given":"Jian Feng"},{"family":"Li","given":"Jun"},{"family":"Shen","given":"Xiang"},{"family":"Yihdego","given":"Woldemariam Gebrehiwot"}],"issued":{"date-parts":[["2010",10,13]]},"citation-key":"song_2010"}},{"id":909,"uris":["http://zotero.org/users/2189142/items/SWZ8RAM7"],"itemData":{"id":909,"type":"article-journal","abstract":"Extensive regions of interior Douglas-fir (Pseudotsuga menziesii var. glauca, IDF) forests in North America are being damaged by drought and western spruce budworm (Choristoneura occidentalis). This damage is resulting from warmer and drier summers associated with climate change. To test whether defoliated IDF can directly transfer resources to ponderosa pine (Pinus ponderosae) regenerating nearby, thus aiding in forest recovery, we examined photosynthetic carbon transfer and defense enzyme response. We grew pairs of ectomycorrhizal IDF ‘donor’ and ponderosa pine ‘receiver’ seedlings in pots and isolated transfer pathways by comparing 35 μm, 0.5 μm and no mesh treatments; we then stressed IDF donors either through manual defoliation or infestation by the budworm. We found that manual defoliation of IDF donors led to transfer of photosynthetic carbon to neighboring receivers through mycorrhizal networks, but not through soil or root pathways. Both manual and insect defoliation of donors led to increased activity of peroxidase, polyphenol oxidase and superoxide dismutase in the ponderosa pine receivers, via a mechanism primarily dependent on the mycorrhizal network. These findings indicate that IDF can transfer resources and stress signals to interspecific neighbors, suggesting ectomycorrhizal networks can serve as agents of interspecific communication facilitating recovery and succession of forests after disturbance.","container-title":"Scientific Reports","DOI":"10.1038/srep08495","journalAbbreviation":"Sci. Rep.","language":"en","source":"www.nature.com.ezproxy.library.ubc.ca","title":"Defoliation of interior Douglas-fir elicits carbon transfer and stress signalling to ponderosa pine neighbors through ectomycorrhizal networks","URL":"http://www.nature.com.ezproxy.library.ubc.ca/srep/2015/150216/srep08495/full/srep08495.html","volume":"5","author":[{"family":"Song","given":"Yuan Yuan"},{"family":"Simard","given":"Suzanne W."},{"family":"Carroll","given":"Allan"},{"family":"Mohn","given":"William W."},{"family":"Zeng","given":"Ren Sen"}],"accessed":{"date-parts":[["2015",7,18]]},"issued":{"date-parts":[["2015",2,16]]},"citation-key":"song_2015a"}}],"schema":"https://github.com/citation-style-language/schema/raw/master/csl-citation.json"} </w:instrText>
      </w:r>
      <w:r w:rsidRPr="009867C1">
        <w:fldChar w:fldCharType="separate"/>
      </w:r>
      <w:r w:rsidR="0042141C" w:rsidRPr="009867C1">
        <w:rPr>
          <w:sz w:val="22"/>
        </w:rPr>
        <w:t>(Gorzelak et al., 2015; Newman, 1988; Simard, 2018; Song et al., 2010, 2015)</w:t>
      </w:r>
      <w:r w:rsidRPr="009867C1">
        <w:fldChar w:fldCharType="end"/>
      </w:r>
      <w:r w:rsidRPr="009867C1">
        <w:t xml:space="preserve">. Through coevolution, organismal boundaries have become blurred: pheromones and other chemical signals induce physiological, developmental and adaptive changes in both the plant and the fungi that are necessary for proper maturation, functioning and evolution </w:t>
      </w:r>
      <w:r w:rsidRPr="009867C1">
        <w:fldChar w:fldCharType="begin"/>
      </w:r>
      <w:r w:rsidR="00AC0205">
        <w:instrText xml:space="preserve"> ADDIN ZOTERO_ITEM CSL_CITATION {"citationID":"0nmMgbAk","properties":{"formattedCitation":"(S. E. Smith &amp; Read, 2008)","plainCitation":"(S. E. Smith &amp; Read, 2008)","noteIndex":0},"citationItems":[{"id":1004,"uris":["http://zotero.org/users/2189142/items/E7A637MD"],"itemData":{"id":1004,"type":"book","abstract":"The roots of most plants are colonized by symbiotic fungi to form mycorrhiza, which play a critical role in the capture of nutrients from the soil and therefore in plant nutrition. Mycorrhizal Symbiosis is recognized as the definitive work in this area. Since the last edition was published there have been major advances in the field, particularly in the area of molecular biology, and the new edition has been fully revised and updated to incorporate these exciting new developments.                                       • Over 50% new material• Includes expanded color plate section• Covers all aspects of mycorrhiza• Presents new taxonomy• Discusses the impact of proteomics and genomics on research in this area","edition":"3 edition","event-place":"Amsterdam","ISBN":"978-0-12-370526-6","language":"English","number-of-pages":"800","publisher":"Academic Press","publisher-place":"Amsterdam","source":"Amazon","title":"Mycorrhizal Symbiosis, Third Edition","author":[{"family":"Smith","given":"Sally E."},{"family":"Read","given":"David J."}],"issued":{"date-parts":[["2008",5,7]]},"citation-key":"smith_2008a"}}],"schema":"https://github.com/citation-style-language/schema/raw/master/csl-citation.json"} </w:instrText>
      </w:r>
      <w:r w:rsidRPr="009867C1">
        <w:fldChar w:fldCharType="separate"/>
      </w:r>
      <w:r w:rsidR="0042141C" w:rsidRPr="009867C1">
        <w:t>(S. E. Smith &amp; Read, 2008)</w:t>
      </w:r>
      <w:r w:rsidRPr="009867C1">
        <w:fldChar w:fldCharType="end"/>
      </w:r>
      <w:r w:rsidRPr="009867C1">
        <w:t>.</w:t>
      </w:r>
    </w:p>
    <w:p w14:paraId="2F1E590C" w14:textId="3DF90E2C" w:rsidR="008832BF" w:rsidRPr="009867C1" w:rsidRDefault="008832BF" w:rsidP="008832BF">
      <w:pPr>
        <w:ind w:firstLine="720"/>
      </w:pPr>
      <w:r w:rsidRPr="009867C1">
        <w:t xml:space="preserve">From the fungi’s perspective, access to a plant’s photosynthates represents an energy source exogenous to the belowground environment which acts as </w:t>
      </w:r>
      <w:r w:rsidR="001470A3">
        <w:t xml:space="preserve">an </w:t>
      </w:r>
      <w:r w:rsidRPr="009867C1">
        <w:t xml:space="preserve">ecosystem subsidy, promoting the decomposition and acquisition of soil nutrients. In forests, host plants regularly invest up to 30% of their primary production belowground, </w:t>
      </w:r>
      <w:r w:rsidR="001470A3">
        <w:t>with variable amounts</w:t>
      </w:r>
      <w:r w:rsidRPr="009867C1">
        <w:t xml:space="preserve"> partitioned to the fungal partner; this represents an enormous source of energy and material for the fungus. Fungal fidelity to particular plant hosts is complex: many fungi are specialized on single or related groups of hosts while others are generalists </w:t>
      </w:r>
      <w:r w:rsidRPr="009867C1">
        <w:fldChar w:fldCharType="begin"/>
      </w:r>
      <w:r w:rsidR="00AC0205">
        <w:instrText xml:space="preserve"> ADDIN ZOTERO_ITEM CSL_CITATION {"citationID":"dkkDbELt","properties":{"formattedCitation":"(Bruns et al., 2002, 2002; Molina et al., 1992)","plainCitation":"(Bruns et al., 2002, 2002; Molina et al., 1992)","noteIndex":0},"citationItems":[{"id":1003,"uris":["http://zotero.org/users/2189142/items/NTIH52N5"],"itemData":{"id":1003,"type":"article-journal","abstract":"Classic ectomycorrhizal symbioses are mutualisms that involve the exchange of fixed carbon for mineral nutrients between plant roots and fungi. They are unique in the way they contain features of both intimate and diffuse symbioses. The degree of host specificity varies, particularly among the fungi. Here we examine two exceptional cases of specificity to see what they tell us about the advantages of specificity, how it is initiated, and the potential role that it plays in complex ecosystems. The first case involves non-photosynthetic epiparasitic plants, which contrary to virtually all other plants, exhibit high levels of specificity toward their fungal hosts. The second case involves suilloid fungi; this is the largest monophyletic group of ectomycorrhizal fungi that is essentially restricted to associations with a single plant family. In both cases, new symbioses are initiated by dormant propagules that are stimulated to germinate by chemical cues from the host. This reduces the cost of wasting propagules on non-hosts. The advantages of specificity remain unclear in both cases, but we argue that increased benefit to the specialist may result from specialized physiological adaptations. We reexamine the idea that specialist fungi may help their hosts compete in complex ecosystems by reducing facultative epiparasitism by other plants, and suggest an alternative hypothesis for the observed pattern.","container-title":"Integrative and Comparative Biology","DOI":"10.1093/icb/42.2.352","ISSN":"1540-7063, 1557-7023","issue":"2","journalAbbreviation":"Integr. Comp. Biol.","language":"en","note":"PMID: 21708728","page":"352-359","source":"icb.oxfordjournals.org.ezproxy.library.ubc.ca","title":"Host Specificity in Ectomycorrhizal Communities: What Do the Exceptions Tell Us?","title-short":"Host Specificity in Ectomycorrhizal Communities","volume":"42","author":[{"family":"Bruns","given":"Thomas D."},{"family":"Bidartondo","given":"Martin I."},{"family":"Taylor","given":"D. Lee"}],"issued":{"date-parts":[["2002",4,1]]},"citation-key":"bruns_2002"}},{"id":910,"uris":["http://zotero.org/users/2189142/items/I4J44XIG"],"itemData":{"id":910,"type":"article-journal","container-title":"Mycorrhizal functioning: an integrative plant-fungal process","page":"e423","source":"Google Scholar","title":"Specificity phenomena in mycorrhizal symbioses: community-ecological consequences and practical implications","title-short":"Specificity phenomena in mycorrhizal symbioses","volume":"357","author":[{"family":"Molina","given":"Randy"},{"family":"Massicotte","given":"Hugues"},{"family":"Trappe","given":"James M."}],"issued":{"date-parts":[["1992"]]},"citation-key":"molina_1992"}},{"id":1003,"uris":["http://zotero.org/users/2189142/items/NTIH52N5"],"itemData":{"id":1003,"type":"article-journal","abstract":"Classic ectomycorrhizal symbioses are mutualisms that involve the exchange of fixed carbon for mineral nutrients between plant roots and fungi. They are unique in the way they contain features of both intimate and diffuse symbioses. The degree of host specificity varies, particularly among the fungi. Here we examine two exceptional cases of specificity to see what they tell us about the advantages of specificity, how it is initiated, and the potential role that it plays in complex ecosystems. The first case involves non-photosynthetic epiparasitic plants, which contrary to virtually all other plants, exhibit high levels of specificity toward their fungal hosts. The second case involves suilloid fungi; this is the largest monophyletic group of ectomycorrhizal fungi that is essentially restricted to associations with a single plant family. In both cases, new symbioses are initiated by dormant propagules that are stimulated to germinate by chemical cues from the host. This reduces the cost of wasting propagules on non-hosts. The advantages of specificity remain unclear in both cases, but we argue that increased benefit to the specialist may result from specialized physiological adaptations. We reexamine the idea that specialist fungi may help their hosts compete in complex ecosystems by reducing facultative epiparasitism by other plants, and suggest an alternative hypothesis for the observed pattern.","container-title":"Integrative and Comparative Biology","DOI":"10.1093/icb/42.2.352","ISSN":"1540-7063, 1557-7023","issue":"2","journalAbbreviation":"Integr. Comp. Biol.","language":"en","note":"PMID: 21708728","page":"352-359","source":"icb.oxfordjournals.org.ezproxy.library.ubc.ca","title":"Host Specificity in Ectomycorrhizal Communities: What Do the Exceptions Tell Us?","title-short":"Host Specificity in Ectomycorrhizal Communities","volume":"42","author":[{"family":"Bruns","given":"Thomas D."},{"family":"Bidartondo","given":"Martin I."},{"family":"Taylor","given":"D. Lee"}],"issued":{"date-parts":[["2002",4,1]]},"citation-key":"bruns_2002"}}],"schema":"https://github.com/citation-style-language/schema/raw/master/csl-citation.json"} </w:instrText>
      </w:r>
      <w:r w:rsidRPr="009867C1">
        <w:fldChar w:fldCharType="separate"/>
      </w:r>
      <w:r w:rsidR="0042141C" w:rsidRPr="009867C1">
        <w:t>(Bruns et al., 2002, 2002; Molina et al., 1992)</w:t>
      </w:r>
      <w:r w:rsidRPr="009867C1">
        <w:fldChar w:fldCharType="end"/>
      </w:r>
      <w:r w:rsidRPr="009867C1">
        <w:t xml:space="preserve">. The timing of these subsidies is variable in time; there is a pronounced resource pulse in the late summer and fall as trees and other plants remobilize nutrients and energy from their leaves to their roots for the winter </w:t>
      </w:r>
      <w:r w:rsidRPr="009867C1">
        <w:fldChar w:fldCharType="begin"/>
      </w:r>
      <w:r w:rsidR="00AC0205">
        <w:instrText xml:space="preserve"> ADDIN ZOTERO_ITEM CSL_CITATION {"citationID":"Pjou7MzF","properties":{"formattedCitation":"(Millard &amp; Grelet, 2010)","plainCitation":"(Millard &amp; Grelet, 2010)","noteIndex":0},"citationItems":[{"id":2642,"uris":["http://zotero.org/users/2189142/items/KBFESL63"],"itemData":{"id":2642,"type":"article-journal","abstract":"The role of carbon (C) and nitrogen (N) storage by trees will be discussed in terms of uncoupling their growth from resource acquisition. There are profound differences between the physiology of C and N storage. C storage acts as a short-term, temporary buffer when photosynthesis cannot meet current sink demand and remobilization is sink driven. However, the majority of C allocated to non-structural carbohydrates such as starch is not reused so is in fact sequestered, not stored. In contrast, N storage is seasonally programmed, closely linked to tree phenology and operates at temporal scales of months to years, with remobilization being source driven. We examine the ecological significance of N storage and remobilization in terms of regulating plant N use efficiency, allowing trees to uncouple seasonal growth from N uptake by roots and allowing recovery from disturbances such as browsing damage. We also briefly consider the importance of N storage and remobilization in regulating how trees will likely respond to rising atmospheric carbon dioxide concentrations. Most studies of N storage and remobilization have been restricted to small trees growing in a controlled environment where 15N can be used easily as a tracer for mineral N. We highlight the need to describe and quantify these processes for adult trees in situ where most root N uptake occurs via ectomycorrhizal partners, an approach that now appears feasible for deciduous trees through quantification of the flux of remobilized N in their xylem. This opens new possibilities for studying interactions between N and C allocation in trees and associated mycorrhizal partners, which are likely to be crucial in regulating the response of trees to many aspects of global environmental change.","container-title":"Tree Physiology","DOI":"10.1093/treephys/tpq042","ISSN":"0829-318X","issue":"9","journalAbbreviation":"Tree Physiology","page":"1083-1095","source":"Silverchair","title":"Nitrogen storage and remobilization by trees: ecophysiological relevance in a changing world","title-short":"Nitrogen storage and remobilization by trees","volume":"30","author":[{"family":"Millard","given":"Peter"},{"family":"Grelet","given":"Gwen-aelle"}],"issued":{"date-parts":[["2010",9,1]]},"citation-key":"millard_2010"}}],"schema":"https://github.com/citation-style-language/schema/raw/master/csl-citation.json"} </w:instrText>
      </w:r>
      <w:r w:rsidRPr="009867C1">
        <w:fldChar w:fldCharType="separate"/>
      </w:r>
      <w:r w:rsidR="0042141C" w:rsidRPr="009867C1">
        <w:t>(Millard &amp; Grelet, 2010)</w:t>
      </w:r>
      <w:r w:rsidRPr="009867C1">
        <w:fldChar w:fldCharType="end"/>
      </w:r>
      <w:r w:rsidRPr="009867C1">
        <w:t xml:space="preserve">. This pulse coincides with the fall flush of fruiting fungi, which also coincides with the beginning of salmon spawning season </w:t>
      </w:r>
      <w:r w:rsidRPr="009867C1">
        <w:fldChar w:fldCharType="begin"/>
      </w:r>
      <w:r w:rsidR="00AC0205">
        <w:instrText xml:space="preserve"> ADDIN ZOTERO_ITEM CSL_CITATION {"citationID":"JZykhr9X","properties":{"formattedCitation":"(Quinn, 2018)","plainCitation":"(Quinn, 2018)","noteIndex":0},"citationItems":[{"id":2463,"uris":["http://zotero.org/users/2189142/items/7HAXGIE2"],"itemData":{"id":2463,"type":"book","edition":"2nd","publisher":"University of Washington press","source":"Google Scholar","title":"The behavior and ecology of Pacific salmon and trout","author":[{"family":"Quinn","given":"Thomas P."}],"issued":{"date-parts":[["2018"]]},"citation-key":"quinn_2018"}}],"schema":"https://github.com/citation-style-language/schema/raw/master/csl-citation.json"} </w:instrText>
      </w:r>
      <w:r w:rsidRPr="009867C1">
        <w:fldChar w:fldCharType="separate"/>
      </w:r>
      <w:r w:rsidR="0042141C" w:rsidRPr="009867C1">
        <w:t>(Quinn, 2018)</w:t>
      </w:r>
      <w:r w:rsidRPr="009867C1">
        <w:fldChar w:fldCharType="end"/>
      </w:r>
      <w:r w:rsidRPr="009867C1">
        <w:t xml:space="preserve">.  </w:t>
      </w:r>
    </w:p>
    <w:p w14:paraId="3A4ADF2D" w14:textId="77777777" w:rsidR="008832BF" w:rsidRPr="009867C1" w:rsidRDefault="008832BF" w:rsidP="008832BF">
      <w:pPr>
        <w:ind w:firstLine="720"/>
      </w:pPr>
      <w:r w:rsidRPr="009867C1">
        <w:t xml:space="preserve">                                                     </w:t>
      </w:r>
    </w:p>
    <w:p w14:paraId="65609591" w14:textId="77777777" w:rsidR="008832BF" w:rsidRPr="009867C1" w:rsidRDefault="008832BF" w:rsidP="008832BF">
      <w:pPr>
        <w:pStyle w:val="Heading4"/>
      </w:pPr>
      <w:bookmarkStart w:id="37" w:name="_Toc425853170"/>
      <w:bookmarkStart w:id="38" w:name="_Toc99385412"/>
      <w:r w:rsidRPr="009867C1">
        <w:t>Common Mycorrhizal Networks</w:t>
      </w:r>
      <w:bookmarkEnd w:id="37"/>
      <w:bookmarkEnd w:id="38"/>
    </w:p>
    <w:p w14:paraId="4556BBCF" w14:textId="43527C4B" w:rsidR="008832BF" w:rsidRPr="009867C1" w:rsidRDefault="008832BF" w:rsidP="008832BF">
      <w:pPr>
        <w:ind w:firstLine="720"/>
      </w:pPr>
      <w:r w:rsidRPr="009867C1">
        <w:t xml:space="preserve">Originally conceived to be simply a two-way exchange partner, exchanging nutrients scavenged from the soil for carbon fixed by the plant, it is now clear that mycorrhizal fungi also act as multifunctional linking agents in a common mycorrhizal network (CMN), serving as active participants in shuttling carbon, phosphorus, nitrogen, water and other metabolites between plants and across the rhizosphere </w:t>
      </w:r>
      <w:r w:rsidRPr="00AD102A">
        <w:fldChar w:fldCharType="begin"/>
      </w:r>
      <w:r w:rsidR="00AC0205">
        <w:instrText xml:space="preserve"> ADDIN ZOTERO_ITEM CSL_CITATION {"citationID":"goflLjSy","properties":{"formattedCitation":"(Newman, 1988; Selosse et al., 2006; Simard et al., 2003, 2015)","plainCitation":"(Newman, 1988; Selosse et al., 2006; Simard et al., 2003, 2015)","noteIndex":0},"citationItems":[{"id":10307,"uris":["http://zotero.org/users/2189142/items/PWQLI2I2"],"itemData":{"id":10307,"type":"article-journal","abstract":"The chapter discusses mycorrhiza, a symbiotic, non-pathogenic association between a plant root and a fungus. This paper first summarizes evidence that…","container-title":"Advances in Ecological Research","DOI":"10.1016/S0065-2504(08)60182-8","ISSN":"0065-2504","language":"en","note":"publisher: Academic Press","page":"243-270","source":"www-sciencedirect-com.ezproxy.library.ubc.ca","title":"Mycorrhizal Links Between Plants: Their Functioning and Ecological Significance","title-short":"Mycorrhizal Links Between Plants","volume":"18","author":[{"family":"Newman","given":"E.I."}],"issued":{"date-parts":[["1988",1,1]]},"citation-key":"newman_1988"}},{"id":567,"uris":["http://zotero.org/users/2189142/items/6JP5DVEB"],"itemData":{"id":567,"type":"article-journal","abstract":"Mycorrhizal associations, by which most land plants receive mineral nutrition, are diffuse and often non-specific. A common mycorrhizal network is formed when fungal mycelia colonize and link together the roots of two or more plants, sometimes of different species. Here, we discuss recent work showing how, under realistic ecological conditions, such networks can affect the physiology and ecology of plants by facilitating interplant nutrient exchange, acting as inoculum reservoirs for seedlings and altering plant competitive abilities. Although mechanisms for their evolutionary emergence remain unclear, investigating mycorrhizal networks profoundly modifies our understanding of plant communities.","container-title":"Trends in Ecology &amp; Evolution","DOI":"10.1016/j.tree.2006.07.003","ISSN":"0169-5347","issue":"11","journalAbbreviation":"Trends in Ecology &amp; Evolution","page":"621-628","source":"ScienceDirect","title":"Mycorrhizal networks: des liaisons dangereuses?","title-short":"Mycorrhizal networks","volume":"21","author":[{"family":"Selosse","given":"Marc-André"},{"family":"Richard","given":"Franck"},{"family":"He","given":"Xinhua"},{"family":"Simard","given":"Suzanne W."}],"issued":{"date-parts":[["2006",11]]},"citation-key":"selosse_2006"}},{"id":10311,"uris":["http://zotero.org/users/2189142/items/YK4X6LTI"],"itemData":{"id":10311,"type":"chapter","container-title":"Mycorrhizal ecology","page":"33–74","publisher":"Springer","source":"Google Scholar","title":"Carbon and nutrient fluxes within and between mycorrhizal plants","author":[{"family":"Simard","given":"Suzanne W."},{"family":"Jones","given":"Melanie D."},{"family":"Durall","given":"Daniel M."}],"issued":{"date-parts":[["2003"]]},"citation-key":"simard_2003"}},{"id":875,"uris":["http://zotero.org/users/2189142/items/P5D8ETEA"],"itemData":{"id":875,"type":"article-journal","source":"Google Scholar","title":"Resource transfer between plants through ectomycorrhizal fungal networks","URL":"http://www.researchgate.net/profile/Xinhua_He3/publication/272567309_Resource_transfer_between_plants_through_ectomycorrhizal_fungal_networks/links/54e98e850cf25ba91c7f21ba.pdf","author":[{"family":"Simard","given":"Suzanne W."},{"family":"Asay","given":"Amanda"},{"family":"Beiler","given":"Kevin"},{"family":"Bingham","given":"Marcus"},{"family":"Deslippe","given":"Julie"},{"family":"He","given":"Xinhua"},{"family":"Philip","given":"Leanne"},{"family":"Song","given":"Yuanyuan"},{"family":"Teste","given":"François"}],"accessed":{"date-parts":[["2015",7,18]]},"issued":{"date-parts":[["2015"]]},"citation-key":"simard_2015"}}],"schema":"https://github.com/citation-style-language/schema/raw/master/csl-citation.json"} </w:instrText>
      </w:r>
      <w:r w:rsidRPr="00AD102A">
        <w:fldChar w:fldCharType="separate"/>
      </w:r>
      <w:r w:rsidR="0042141C" w:rsidRPr="00AD102A">
        <w:t>(Newman, 1988; Selosse et al., 2006; Simard et al., 2003, 2015)</w:t>
      </w:r>
      <w:r w:rsidRPr="00AD102A">
        <w:fldChar w:fldCharType="end"/>
      </w:r>
      <w:r w:rsidRPr="00AD102A">
        <w:t>.</w:t>
      </w:r>
      <w:r w:rsidRPr="009867C1">
        <w:t xml:space="preserve"> Early evidence of CMN came from stable isotope enrichment and autoradiography studies, which demonstrated that molecules of water </w:t>
      </w:r>
      <w:r w:rsidRPr="009867C1">
        <w:fldChar w:fldCharType="begin"/>
      </w:r>
      <w:r w:rsidR="00AC0205">
        <w:instrText xml:space="preserve"> ADDIN ZOTERO_ITEM CSL_CITATION {"citationID":"aAEHf0H8","properties":{"formattedCitation":"(Brownlee et al., 1983)","plainCitation":"(Brownlee et al., 1983)","noteIndex":0},"citationItems":[{"id":"Mdw2eqP8/P5SWso6M","uris":["http://zotero.org/users/2189142/items/RI4UW42D"],"itemData":{"id":9,"type":"article-journal","title":"The structure and function of mycelial systems of ectomycorrhizal roots with special reference to their role in forming inter-plant connections and providing pathways for assimilate and water transport","container-title":"Plant and Soil","page":"433–443","volume":"71","issue":"1-3","source":"Google Scholar","author":[{"family":"Brownlee","given":"C."},{"family":"Duddridge","given":"J. A."},{"family":"Malibari","given":"A."},{"family":"Read","given":"D. J."}],"issued":{"date-parts":[["1983"]]},"accessed":{"date-parts":[["2014",11,17]]}}}],"schema":"https://github.com/citation-style-language/schema/raw/master/csl-citation.json"} </w:instrText>
      </w:r>
      <w:r w:rsidRPr="009867C1">
        <w:fldChar w:fldCharType="separate"/>
      </w:r>
      <w:r w:rsidR="0042141C" w:rsidRPr="009867C1">
        <w:t>(Brownlee et al., 1983)</w:t>
      </w:r>
      <w:r w:rsidRPr="009867C1">
        <w:fldChar w:fldCharType="end"/>
      </w:r>
      <w:r w:rsidRPr="009867C1">
        <w:t xml:space="preserve">, carbon </w:t>
      </w:r>
      <w:r w:rsidRPr="009867C1">
        <w:fldChar w:fldCharType="begin"/>
      </w:r>
      <w:r w:rsidR="00AC0205">
        <w:instrText xml:space="preserve"> ADDIN ZOTERO_ITEM CSL_CITATION {"citationID":"o2EqsEmg","properties":{"formattedCitation":"(R. Francis &amp; Read, 1984)","plainCitation":"(R. Francis &amp; Read, 1984)","noteIndex":0},"citationItems":[{"id":1051,"uris":["http://zotero.org/users/2189142/items/V3EV44H4"],"itemData":{"id":1051,"type":"article-journal","container-title":"Nature","DOI":"10.1038/307053a0","issue":"5946","journalAbbreviation":"Nature","page":"53-56","source":"www.nature.com.ezproxy.library.ubc.ca","title":"Direct transfer of carbon between plants connected by vesicular–arbuscular mycorrhizal mycelium","volume":"307","author":[{"family":"Francis","given":"R."},{"family":"Read","given":"D. J."}],"issued":{"date-parts":[["1984",1,5]]},"citation-key":"francis_1984"}}],"schema":"https://github.com/citation-style-language/schema/raw/master/csl-citation.json"} </w:instrText>
      </w:r>
      <w:r w:rsidRPr="009867C1">
        <w:fldChar w:fldCharType="separate"/>
      </w:r>
      <w:r w:rsidR="0042141C" w:rsidRPr="009867C1">
        <w:t>(R. Francis &amp; Read, 1984)</w:t>
      </w:r>
      <w:r w:rsidRPr="009867C1">
        <w:fldChar w:fldCharType="end"/>
      </w:r>
      <w:r w:rsidRPr="009867C1">
        <w:t xml:space="preserve">, nitrogen </w:t>
      </w:r>
      <w:r w:rsidRPr="009867C1">
        <w:fldChar w:fldCharType="begin"/>
      </w:r>
      <w:r w:rsidR="00AC0205">
        <w:instrText xml:space="preserve"> ADDIN ZOTERO_ITEM CSL_CITATION {"citationID":"omSxGFl0","properties":{"formattedCitation":"(Bethlenfalvay et al., 1991)","plainCitation":"(Bethlenfalvay et al., 1991)","noteIndex":0},"citationItems":[{"id":1047,"uris":["http://zotero.org/users/2189142/items/TNRIFH6I"],"itemData":{"id":1047,"type":"article-journal","abstract":"The objective of the study was to determine whether nutrient fluxes mediated by hyphae of vesicular-arbuscular mycorrhizal (VAM) fungi between the root zones of grass and legume plants differ with the legume's mode of N nutrition. The plants, nodulating or nonnodulating isolines of soybean [Glycine max (L.) Merr.], were grown in association with a dwarf maize (Zea mays L.) cultivar in containers which interposed a 6-cm-wide root-free soil bridge between legume and grass container compartments. The bridge was delimited by screens (44 μm) which permitted the passage of hyphae, but not of roots and minimized non VAM interactions between the plants. All plants were colonized by the VAM fungus Glomus mosseae (Nicol. &amp; Gerd.) Gerd. and Trappe. The effects of N input to N-sufficient soybean plants through N2-fixation or N-fertilization on associated maize-plant growth and nutrition were compared to those of an N-deficient (nonnodulating, unfertilized) soybean control. Maize, when associated with the N-fertilized soybean, increased 19% in biomass, 67% in N content and 77% in leaf N concentration relative to the maize plants of the N-deficient association. When maize was grown with nodulated soybean, maize N content increased by 22%, biomass did not change, but P content declined by 16%. Spore production by the VAM fungus was greatest in the soils of both plants of the N-fertilized treatment. The patterns of N and P distribution, as well as those of the other essential elements, indicated that association with the N-fertilized soybean plants was more advantageous to maize than was association with the N2-fixing ones.","container-title":"Physiologia Plantarum","DOI":"10.1111/j.1399-3054.1991.tb02928.x","ISSN":"1399-3054","issue":"3","language":"en","page":"423-432","source":"Wiley Online Library","title":"Nutrient transfer between the root zones of soybean and maize plants connected by a common mycorrhizal mycelium","volume":"82","author":[{"family":"Bethlenfalvay","given":"Gabor J."},{"family":"Reyes-Solis","given":"Maria G."},{"family":"Camel","given":"Susan B."},{"family":"Ferrera-Cerrato","given":"Ronald"}],"issued":{"date-parts":[["1991",7,1]]},"citation-key":"bethlenfalvay_1991"}}],"schema":"https://github.com/citation-style-language/schema/raw/master/csl-citation.json"} </w:instrText>
      </w:r>
      <w:r w:rsidRPr="009867C1">
        <w:fldChar w:fldCharType="separate"/>
      </w:r>
      <w:r w:rsidR="0042141C" w:rsidRPr="009867C1">
        <w:t>(Bethlenfalvay et al., 1991)</w:t>
      </w:r>
      <w:r w:rsidRPr="009867C1">
        <w:fldChar w:fldCharType="end"/>
      </w:r>
      <w:r w:rsidRPr="009867C1">
        <w:t xml:space="preserve"> and phosphorus </w:t>
      </w:r>
      <w:r w:rsidRPr="009867C1">
        <w:fldChar w:fldCharType="begin"/>
      </w:r>
      <w:r w:rsidR="00AC0205">
        <w:instrText xml:space="preserve"> ADDIN ZOTERO_ITEM CSL_CITATION {"citationID":"2vZCz3H1","properties":{"formattedCitation":"(Newman &amp; Eason, 1993)","plainCitation":"(Newman &amp; Eason, 1993)","noteIndex":0},"citationItems":[{"id":1046,"uris":["http://zotero.org/users/2189142/items/9TKM3AZK"],"itemData":{"id":1046,"type":"article-journal","abstract":"1. Previously there have been studies of rates of movement of &lt;sup&gt;32&lt;/sup&gt;P between tillers within grass plants, and other studies of rates of &lt;sup&gt;32&lt;/sup&gt;P movement between plants. This paper describes an experiment to compare these rates of transfer, using mycorrhizal and non-mycorrhizal plants. 2. Two plants of Lolium perenne were grown per pot of soil, and carrier-free &lt;sup&gt;32&lt;/sup&gt;P was fed to one leaf of one of the plants. &lt;sup&gt;32&lt;/sup&gt;P was measured in new leaf tips every few days and in the whole shoots after 7 weeks. 3. The rate of &lt;sup&gt;32&lt;/sup&gt;P transfer between mycorrhizal plants was about 2-5% of that between tillers within a plant; between non-mycorrhizal plants it was slower. The half-time for &lt;sup&gt;32&lt;/sup&gt;P equilibration between tillers was about 1-2 months, which is the same order of magnitude as the half-lives of leaves of some perennial grasses, but shorter than the half-lives of tillers. For &lt;sup&gt;32&lt;/sup&gt;P equilibration between plants the half-times were about 2 years if they were mycorrhizal and 6 years if non-mycorrhizal, which is longer than the half-lives of leaves or tillers. 4. These results suggest that phosphorus movement between plants, even when they are mycorrhizal, is too slow to influence substantially the nutrient status of the shoots.","container-title":"Functional Ecology","DOI":"10.2307/2389894","ISSN":"0269-8463","issue":"2","journalAbbreviation":"Functional Ecology","page":"242-248","source":"JSTOR","title":"Rates of Phosphorus Transfer Within and Between Ryegrass (Lolium perenne) Plants","volume":"7","author":[{"family":"Newman","given":"E. I."},{"family":"Eason","given":"W. R."}],"issued":{"date-parts":[["1993",1,1]]},"citation-key":"newman_1993"}}],"schema":"https://github.com/citation-style-language/schema/raw/master/csl-citation.json"} </w:instrText>
      </w:r>
      <w:r w:rsidRPr="009867C1">
        <w:fldChar w:fldCharType="separate"/>
      </w:r>
      <w:r w:rsidR="0042141C" w:rsidRPr="009867C1">
        <w:t>(Newman &amp; Eason, 1993)</w:t>
      </w:r>
      <w:r w:rsidRPr="009867C1">
        <w:fldChar w:fldCharType="end"/>
      </w:r>
      <w:r w:rsidRPr="009867C1">
        <w:t xml:space="preserve"> moved from plant to plant. They also spread informational molecules (‘infochemicals’) through the network </w:t>
      </w:r>
      <w:r w:rsidRPr="009867C1">
        <w:fldChar w:fldCharType="begin"/>
      </w:r>
      <w:r w:rsidR="00AC0205">
        <w:instrText xml:space="preserve"> ADDIN ZOTERO_ITEM CSL_CITATION {"citationID":"Nv1oF70z","properties":{"formattedCitation":"(Barto et al., 2012)","plainCitation":"(Barto et al., 2012)","noteIndex":0},"citationItems":[{"id":562,"uris":["http://zotero.org/users/2189142/items/UFMCNM3T"],"itemData":{"id":562,"type":"article-journal","abstract":"In many natural communities communication between plants and other organisms below ground drives community dynamics. This communication is primarily through the release and detection of infochemicals, which must traverse the soil matrix to be effective. In this opinion article, we propose the Network Enhanced Bioactive Zone (NEBaZ) model, which posits that common mycorrhizal networks (CMNs) increase the bioactive zones of infochemicals by serving as superhighways directly connecting plants below ground. Here we argue that infochemical transport via CMNs allows for systemic defense signaling across plant populations and directed allelochemical delivery to target plants. Plant–animal interactions may also be facilitated by CMNs, suggesting that these fungal networks may be crucial components of many natural ecosystems.","container-title":"Trends in Plant Science","DOI":"10.1016/j.tplants.2012.06.007","ISSN":"1360-1385","issue":"11","journalAbbreviation":"Trends in Plant Science","page":"633-637","source":"ScienceDirect","title":"Fungal superhighways: do common mycorrhizal networks enhance below ground communication?","title-short":"Fungal superhighways","volume":"17","author":[{"family":"Barto","given":"E. Kathryn"},{"family":"Weidenhamer","given":"Jeffrey D."},{"family":"Cipollini","given":"Don"},{"family":"Rillig","given":"Matthias C."}],"issued":{"date-parts":[["2012",11]]},"citation-key":"barto_2012"}}],"schema":"https://github.com/citation-style-language/schema/raw/master/csl-citation.json"} </w:instrText>
      </w:r>
      <w:r w:rsidRPr="009867C1">
        <w:fldChar w:fldCharType="separate"/>
      </w:r>
      <w:r w:rsidR="0042141C" w:rsidRPr="009867C1">
        <w:t>(Barto et al., 2012)</w:t>
      </w:r>
      <w:r w:rsidRPr="009867C1">
        <w:fldChar w:fldCharType="end"/>
      </w:r>
      <w:r w:rsidRPr="009867C1">
        <w:t xml:space="preserve">, and evidence from greenhouse models of tomato plants and conifer seedlings has shown that signals carried through CMNs upregulate anti-herbivore compounds in ‘receiver’ plants </w:t>
      </w:r>
      <w:r w:rsidRPr="009867C1">
        <w:fldChar w:fldCharType="begin"/>
      </w:r>
      <w:r w:rsidR="00AC0205">
        <w:instrText xml:space="preserve"> ADDIN ZOTERO_ITEM CSL_CITATION {"citationID":"ZLk6sxSP","properties":{"formattedCitation":"(Song et al., 2010, 2015)","plainCitation":"(Song et al., 2010, 2015)","noteIndex":0},"citationItems":[{"id":1054,"uris":["http://zotero.org/users/2189142/items/ZQ8F9ZN8"],"itemData":{"id":1054,"type":"article-journal","abstract":"Plants can defend themselves to pathogen and herbivore attack by responding to chemical signals that are emitted by attacked plants. It is well established that such signals can be transferred through the air. In theory, plants can also communicate with each other through underground common mycorrhizal networks (CMNs) that interconnect roots of multiple plants. However, until now research focused on plant-to-plant carbon nutrient movement and there is no evidence that defense signals can be exchanged through such mycorrhizal hyphal networks. Here, we show that CMNs mediate plant-plant communication between healthy plants and pathogen-infected tomato plants (Lycopersicon esculentum Mill.). After establishment of CMNs with the arbuscular mycorrhizal fungus Glomus mosseae between tomato plants, inoculation of ‘donor’ plants with the pathogen Alternaria solani led to increases in disease resistance and activities of the putative defensive enzymes, peroxidase, polyphenol oxidase, chitinase, β-1,3-glucanase, phenylalanine ammonia-lyase and lipoxygenase in healthy neighbouring ‘receiver’ plants. The uninfected ‘receiver’ plants also activated six defence-related genes when CMNs connected ‘donor’ plants challenged with A. solani. This finding indicates that CMNs may function as a plant-plant underground communication conduit whereby disease resistance and induced defence signals can be transferred between the healthy and pathogen-infected neighbouring plants, suggesting that plants can ‘eavesdrop’ on defence signals from the pathogen-challenged neighbours through CMNs to activate defences before being attacked themselves.","container-title":"PLoS ONE","DOI":"10.1371/journal.pone.0013324","issue":"10","journalAbbreviation":"PLoS ONE","page":"e13324","source":"PLoS Journals","title":"Interplant Communication of Tomato Plants through Underground Common Mycorrhizal Networks","volume":"5","author":[{"family":"Song","given":"Yuan Yuan"},{"family":"Zeng","given":"Ren Sen"},{"family":"Xu","given":"Jian Feng"},{"family":"Li","given":"Jun"},{"family":"Shen","given":"Xiang"},{"family":"Yihdego","given":"Woldemariam Gebrehiwot"}],"issued":{"date-parts":[["2010",10,13]]},"citation-key":"song_2010"}},{"id":909,"uris":["http://zotero.org/users/2189142/items/SWZ8RAM7"],"itemData":{"id":909,"type":"article-journal","abstract":"Extensive regions of interior Douglas-fir (Pseudotsuga menziesii var. glauca, IDF) forests in North America are being damaged by drought and western spruce budworm (Choristoneura occidentalis). This damage is resulting from warmer and drier summers associated with climate change. To test whether defoliated IDF can directly transfer resources to ponderosa pine (Pinus ponderosae) regenerating nearby, thus aiding in forest recovery, we examined photosynthetic carbon transfer and defense enzyme response. We grew pairs of ectomycorrhizal IDF ‘donor’ and ponderosa pine ‘receiver’ seedlings in pots and isolated transfer pathways by comparing 35 μm, 0.5 μm and no mesh treatments; we then stressed IDF donors either through manual defoliation or infestation by the budworm. We found that manual defoliation of IDF donors led to transfer of photosynthetic carbon to neighboring receivers through mycorrhizal networks, but not through soil or root pathways. Both manual and insect defoliation of donors led to increased activity of peroxidase, polyphenol oxidase and superoxide dismutase in the ponderosa pine receivers, via a mechanism primarily dependent on the mycorrhizal network. These findings indicate that IDF can transfer resources and stress signals to interspecific neighbors, suggesting ectomycorrhizal networks can serve as agents of interspecific communication facilitating recovery and succession of forests after disturbance.","container-title":"Scientific Reports","DOI":"10.1038/srep08495","journalAbbreviation":"Sci. Rep.","language":"en","source":"www.nature.com.ezproxy.library.ubc.ca","title":"Defoliation of interior Douglas-fir elicits carbon transfer and stress signalling to ponderosa pine neighbors through ectomycorrhizal networks","URL":"http://www.nature.com.ezproxy.library.ubc.ca/srep/2015/150216/srep08495/full/srep08495.html","volume":"5","author":[{"family":"Song","given":"Yuan Yuan"},{"family":"Simard","given":"Suzanne W."},{"family":"Carroll","given":"Allan"},{"family":"Mohn","given":"William W."},{"family":"Zeng","given":"Ren Sen"}],"accessed":{"date-parts":[["2015",7,18]]},"issued":{"date-parts":[["2015",2,16]]},"citation-key":"song_2015a"}}],"schema":"https://github.com/citation-style-language/schema/raw/master/csl-citation.json"} </w:instrText>
      </w:r>
      <w:r w:rsidRPr="009867C1">
        <w:fldChar w:fldCharType="separate"/>
      </w:r>
      <w:r w:rsidR="0042141C" w:rsidRPr="009867C1">
        <w:t>(Song et al., 2010, 2015)</w:t>
      </w:r>
      <w:r w:rsidRPr="009867C1">
        <w:fldChar w:fldCharType="end"/>
      </w:r>
      <w:r w:rsidRPr="009867C1">
        <w:t xml:space="preserve">. On top of older work showing orchid and other ‘parasitic’ plants obtaining the entirety of their carbon budget from the mycelial network </w:t>
      </w:r>
      <w:r w:rsidRPr="009867C1">
        <w:fldChar w:fldCharType="begin"/>
      </w:r>
      <w:r w:rsidR="00AC0205">
        <w:instrText xml:space="preserve"> ADDIN ZOTERO_ITEM CSL_CITATION {"citationID":"ukwvcl57","properties":{"formattedCitation":"(S. Smith, 1967)","plainCitation":"(S. Smith, 1967)","noteIndex":0},"citationItems":[{"id":1001,"uris":["http://zotero.org/users/2189142/items/WA2UGKBR"],"itemData":{"id":1001,"type":"article-journal","abstract":"The soluble sugars of uninfected regions of Dactylorchis purpurella were found to be glucose, fructose and sucrose. Mycelium of three mycorrhizal fungi, isolated from this orchid, was found to contain glucose and trehalose. Two of the fungi also contained mannitol. Mycorrhizal seedlings of D. purpurella contained carbohydrates contributed by both orchid and fungal partners. The incorporation of 14C into mycorrhizal seedlings was followed, after [14C]glucose had been supplied to infective hyphae some distance from the seedlings. 14C incorporation into soluble and insoluble materials continued throughout the 7-day experimental period. The results were consistent with the hypothesis that a carbohydrate, possibly trehalose, is translocated by the fungal hyphae into the seedlings. The fungal sugar, trehalose, was the first to become labelled, and the proportion of label in this sugar declined as 14C was incorporated into other carbohydrates, notably sucrose. As sucrose was not found in fungal mycelium, movement of a 14C-labelled compound from internal fungal hyphae to orchid cells must have taken place.","container-title":"New Phytologist","DOI":"10.1111/j.1469-8137.1967.tb06016.x","ISSN":"1469-8137","issue":"3","language":"en","page":"371-378","source":"Wiley Online Library","title":"Carbohydrate Translocation in Orchid Mycorrhizas","volume":"66","author":[{"family":"Smith","given":"Sarah"}],"issued":{"date-parts":[["1967",7,1]]},"citation-key":"smith_1967"}}],"schema":"https://github.com/citation-style-language/schema/raw/master/csl-citation.json"} </w:instrText>
      </w:r>
      <w:r w:rsidRPr="009867C1">
        <w:fldChar w:fldCharType="separate"/>
      </w:r>
      <w:r w:rsidR="0042141C" w:rsidRPr="009867C1">
        <w:t>(S. Smith, 1967)</w:t>
      </w:r>
      <w:r w:rsidRPr="009867C1">
        <w:fldChar w:fldCharType="end"/>
      </w:r>
      <w:r w:rsidRPr="009867C1">
        <w:t xml:space="preserve">, contemporary ideas conceptualize understory plants as spanning a continuum from completely autotrophic (all carbon obtained through photosynthesis) to ‘mycoheterotrophic’ (all carbon obtained through mycelial networks), to ‘mixotrophic’ (points in between) </w:t>
      </w:r>
      <w:r w:rsidRPr="009867C1">
        <w:fldChar w:fldCharType="begin"/>
      </w:r>
      <w:r w:rsidR="00AC0205">
        <w:instrText xml:space="preserve"> ADDIN ZOTERO_ITEM CSL_CITATION {"citationID":"pJQmEoum","properties":{"formattedCitation":"(Selosse et al., 2006)","plainCitation":"(Selosse et al., 2006)","noteIndex":0},"citationItems":[{"id":567,"uris":["http://zotero.org/users/2189142/items/6JP5DVEB"],"itemData":{"id":567,"type":"article-journal","abstract":"Mycorrhizal associations, by which most land plants receive mineral nutrition, are diffuse and often non-specific. A common mycorrhizal network is formed when fungal mycelia colonize and link together the roots of two or more plants, sometimes of different species. Here, we discuss recent work showing how, under realistic ecological conditions, such networks can affect the physiology and ecology of plants by facilitating interplant nutrient exchange, acting as inoculum reservoirs for seedlings and altering plant competitive abilities. Although mechanisms for their evolutionary emergence remain unclear, investigating mycorrhizal networks profoundly modifies our understanding of plant communities.","container-title":"Trends in Ecology &amp; Evolution","DOI":"10.1016/j.tree.2006.07.003","ISSN":"0169-5347","issue":"11","journalAbbreviation":"Trends in Ecology &amp; Evolution","page":"621-628","source":"ScienceDirect","title":"Mycorrhizal networks: des liaisons dangereuses?","title-short":"Mycorrhizal networks","volume":"21","author":[{"family":"Selosse","given":"Marc-André"},{"family":"Richard","given":"Franck"},{"family":"He","given":"Xinhua"},{"family":"Simard","given":"Suzanne W."}],"issued":{"date-parts":[["2006",11]]},"citation-key":"selosse_2006"}}],"schema":"https://github.com/citation-style-language/schema/raw/master/csl-citation.json"} </w:instrText>
      </w:r>
      <w:r w:rsidRPr="009867C1">
        <w:fldChar w:fldCharType="separate"/>
      </w:r>
      <w:r w:rsidR="0042141C" w:rsidRPr="009867C1">
        <w:t>(Selosse et al., 2006)</w:t>
      </w:r>
      <w:r w:rsidRPr="009867C1">
        <w:fldChar w:fldCharType="end"/>
      </w:r>
      <w:r w:rsidRPr="009867C1">
        <w:t xml:space="preserve">. These transfers also occur between heterospecific trees (paper birch and Douglas fir) in field conditions </w:t>
      </w:r>
      <w:r w:rsidRPr="009867C1">
        <w:fldChar w:fldCharType="begin"/>
      </w:r>
      <w:r w:rsidR="00AC0205">
        <w:instrText xml:space="preserve"> ADDIN ZOTERO_ITEM CSL_CITATION {"citationID":"6b48vmHS","properties":{"formattedCitation":"(Simard et al., 2012)","plainCitation":"(Simard et al., 2012)","noteIndex":0},"citationItems":[{"id":418,"uris":["http://zotero.org/users/2189142/items/95XEQ96D"],"itemData":{"id":418,"type":"article-journal","abstract":"Mycorrhizal networks, defined as a common mycorrhizal mycelium linking the roots of at least two plants, occur in all major terrestrial ecosystems. This review discusses the recent progress and challenges in our understanding of the characteristics, functions, ecology and models of mycorrhizal networks, with the goal of encouraging future research to improve our understanding of their ecology, adaptability and evolution. We focus on four themes in the recent literature: (1) the physical, physiological and molecular evidence for the existence of mycorrhizal networks, as well as the genetic characteristics and topology of networks in natural ecosystems; (2) the types, amounts and mechanisms of interplant material transfer (including carbon, nutrients, water, defence signals and allelochemicals) in autotrophic, mycoheterotrophic or partial mycoheterotrophic plants, with particular focus on carbon transfer; (3) the influence of mycorrhizal networks on plant establishment, survival and growth, and the implications for community diversity or stability in response to environmental stress; and (4) insights into emerging methods for modelling the spatial configuration and temporal dynamics of mycorrhizal networks, including the inclusion of mycorrhizal networks in conceptual models of complex adaptive systems. We suggest that mycorrhizal networks are fundamental agents of complex adaptive systems (ecosystems) because they provide avenues for feedbacks and cross-scale interactions that lead to self-organization and emergent properties in ecosystems. We have found that research in the genetics of mycorrhizal networks has accelerated rapidly in the past 5 y with increasing resolution and throughput of molecular tools, but there still remains a large gap between understanding genes and understanding the physiology, ecology and evolution of mycorrhizal networks in our changing environment. There is now enormous and exciting potential for mycorrhizal researchers to address these higher level questions and thus inform ecosystem and evolutionary research more broadly.","collection-title":"Hyphal networks: mechanisms, modelling and ecology","container-title":"Fungal Biology Reviews","DOI":"10.1016/j.fbr.2012.01.001","ISSN":"1749-4613","issue":"1","journalAbbreviation":"Fungal Biology Reviews","page":"39-60","source":"ScienceDirect","title":"Mycorrhizal networks: Mechanisms, ecology and modelling","title-short":"Mycorrhizal networks","volume":"26","author":[{"family":"Simard","given":"Suzanne W."},{"family":"Beiler","given":"Kevin J."},{"family":"Bingham","given":"Marcus A."},{"family":"Deslippe","given":"Julie R."},{"family":"Philip","given":"Leanne J."},{"family":"Teste","given":"François P."}],"issued":{"date-parts":[["2012",4]]},"citation-key":"simard_2012"}}],"schema":"https://github.com/citation-style-language/schema/raw/master/csl-citation.json"} </w:instrText>
      </w:r>
      <w:r w:rsidRPr="009867C1">
        <w:fldChar w:fldCharType="separate"/>
      </w:r>
      <w:r w:rsidR="0042141C" w:rsidRPr="009867C1">
        <w:t>(Simard et al., 2012)</w:t>
      </w:r>
      <w:r w:rsidRPr="009867C1">
        <w:fldChar w:fldCharType="end"/>
      </w:r>
      <w:r w:rsidRPr="009867C1">
        <w:t xml:space="preserve">, and trees with overlapping ectomycorrhizal species distributions have higher carbon transfer rates </w:t>
      </w:r>
      <w:r w:rsidRPr="009867C1">
        <w:fldChar w:fldCharType="begin"/>
      </w:r>
      <w:r w:rsidR="00AC0205">
        <w:instrText xml:space="preserve"> ADDIN ZOTERO_ITEM CSL_CITATION {"citationID":"VBi4dY4X","properties":{"formattedCitation":"(Rog et al., 2020)","plainCitation":"(Rog et al., 2020)","noteIndex":0},"citationItems":[{"id":2596,"uris":["http://zotero.org/users/2189142/items/48N9B5GC"],"itemData":{"id":2596,"type":"article-journal","abstract":"The mutualistic symbiosis between forest trees and ectomycorrhizal fungi (EMF) is among the most ubiquitous and successful interactions in terrestrial ecosystems. Specific species of EMF are known to colonize specific tree species, benefitting from their carbon source, and in turn, improving their access to soil water and nutrients. EMF also form extensive mycelial networks that can link multiple root-tips of different trees. Yet the number of tree species connected by such mycelial networks, and the traffic of material across them, are just now under study. Recently we reported substantial belowground carbon transfer between Picea, Pinus, Larix and Fagus trees in a mature forest. Here, we analyze the EMF community of these same individual trees and identify the most likely taxa responsible for the observed carbon transfer. Among the nearly 1,200 EMF root-tips examined, 50%–70% belong to operational taxonomic units (OTUs) that were associated with three or four tree host species, and 90% of all OTUs were associated with at least two tree species. Sporocarp 13C signals indicated that carbon originating from labelled Picea trees was transferred among trees through EMF networks. Interestingly, phylogenetically more closely related tree species exhibited more similar EMF communities and exchanged more carbon. Our results show that belowground carbon transfer is well orchestrated by the evolution of EMFs and tree symbiosis.","container-title":"Molecular Ecology","DOI":"https://doi.org/10.1111/mec.15351","ISSN":"1365-294X","issue":"13","language":"en","note":"_eprint: https://onlinelibrary.wiley.com/doi/pdf/10.1111/mec.15351","page":"2321-2333","source":"Wiley Online Library","title":"Share the wealth: Trees with greater ectomycorrhizal species overlap share more carbon","title-short":"Share the wealth","volume":"29","author":[{"family":"Rog","given":"Ido"},{"family":"Rosenstock","given":"Nicholas P."},{"family":"Körner","given":"Christian"},{"family":"Klein","given":"Tamir"}],"issued":{"date-parts":[["2020"]]},"citation-key":"rog_2020"}}],"schema":"https://github.com/citation-style-language/schema/raw/master/csl-citation.json"} </w:instrText>
      </w:r>
      <w:r w:rsidRPr="009867C1">
        <w:fldChar w:fldCharType="separate"/>
      </w:r>
      <w:r w:rsidR="0042141C" w:rsidRPr="009867C1">
        <w:t>(Rog et al., 2020)</w:t>
      </w:r>
      <w:r w:rsidRPr="009867C1">
        <w:fldChar w:fldCharType="end"/>
      </w:r>
      <w:r w:rsidRPr="009867C1">
        <w:t xml:space="preserve">. Birch obtain more carbon from the network than Douglas-fir in the spring and fall when their photosynthetic rates are minimal, while Douglas fir obtains more carbon from paper birch in the summer when they are relatively less productive </w:t>
      </w:r>
      <w:r w:rsidRPr="009867C1">
        <w:fldChar w:fldCharType="begin"/>
      </w:r>
      <w:r w:rsidR="00AC0205">
        <w:instrText xml:space="preserve"> ADDIN ZOTERO_ITEM CSL_CITATION {"citationID":"sdtMbg0b","properties":{"formattedCitation":"(Philip et al., 2010)","plainCitation":"(Philip et al., 2010)","noteIndex":0},"citationItems":[{"id":10313,"uris":["http://zotero.org/users/2189142/items/XSE5JX6C"],"itemData":{"id":10313,"type":"article-journal","container-title":"Plant Ecology &amp; Diversity","issue":"3","note":"publisher: Taylor &amp; Francis","page":"221–233","source":"Google Scholar","title":"Pathways for below-ground carbon transfer between paper birch and Douglas-fir seedlings","volume":"3","author":[{"family":"Philip","given":"Leanne"},{"family":"Simard","given":"Suzanne"},{"family":"Jones","given":"Melanie"}],"issued":{"date-parts":[["2010"]]},"citation-key":"philip_2010"}}],"schema":"https://github.com/citation-style-language/schema/raw/master/csl-citation.json"} </w:instrText>
      </w:r>
      <w:r w:rsidRPr="009867C1">
        <w:fldChar w:fldCharType="separate"/>
      </w:r>
      <w:r w:rsidR="0042141C" w:rsidRPr="009867C1">
        <w:rPr>
          <w:sz w:val="22"/>
        </w:rPr>
        <w:t>(Philip et al., 2010)</w:t>
      </w:r>
      <w:r w:rsidRPr="009867C1">
        <w:fldChar w:fldCharType="end"/>
      </w:r>
      <w:r w:rsidRPr="009867C1">
        <w:t xml:space="preserve">. Hence the intriguing possibility emerges of the MN acting in an adaptive fashion, allocating carbon and nutrients dynamically to network participants </w:t>
      </w:r>
      <w:r w:rsidRPr="009867C1">
        <w:fldChar w:fldCharType="begin"/>
      </w:r>
      <w:r w:rsidR="00AC0205">
        <w:instrText xml:space="preserve"> ADDIN ZOTERO_ITEM CSL_CITATION {"citationID":"VkwZD2au","properties":{"formattedCitation":"(Simard et al., 2013)","plainCitation":"(Simard et al., 2013)","noteIndex":0},"citationItems":[{"id":893,"uris":["http://zotero.org/users/2189142/items/67BCB5KR"],"itemData":{"id":893,"type":"article-journal","container-title":"Managing Forests as Complex Adaptive Systems: Building Resilience to the Challenge of Global Change. C. Messier, KJ Puettmann, &amp; KD Coates (editors). Routledge, New York, NY","page":"133–164","source":"Google Scholar","title":"Meta-networks of fungi, fauna and flora as agents of complex adaptive systems","author":[{"family":"Simard","given":"Suzanne W"},{"family":"Martin","given":"K."},{"family":"Vyse","given":"A."},{"family":"Larson","given":"B."},{"family":"Messier","given":"C."},{"family":"Puettmann","given":"K. J."},{"family":"Coates","given":"K. D."}],"issued":{"date-parts":[["2013"]]},"citation-key":"simard_2013"}}],"schema":"https://github.com/citation-style-language/schema/raw/master/csl-citation.json"} </w:instrText>
      </w:r>
      <w:r w:rsidRPr="009867C1">
        <w:fldChar w:fldCharType="separate"/>
      </w:r>
      <w:r w:rsidR="0042141C" w:rsidRPr="009867C1">
        <w:t>(Simard et al., 2013)</w:t>
      </w:r>
      <w:r w:rsidRPr="009867C1">
        <w:fldChar w:fldCharType="end"/>
      </w:r>
      <w:r w:rsidRPr="009867C1">
        <w:t xml:space="preserve">.  </w:t>
      </w:r>
    </w:p>
    <w:p w14:paraId="2B6FCFC3" w14:textId="2FB609BA" w:rsidR="008832BF" w:rsidRPr="009867C1" w:rsidRDefault="008832BF" w:rsidP="008832BF">
      <w:pPr>
        <w:ind w:firstLine="720"/>
      </w:pPr>
      <w:r w:rsidRPr="009867C1">
        <w:t xml:space="preserve">There remain many important questions on the functional effects of common mycorrhizal networks </w:t>
      </w:r>
      <w:r w:rsidRPr="009867C1">
        <w:fldChar w:fldCharType="begin"/>
      </w:r>
      <w:r w:rsidR="00AC0205">
        <w:instrText xml:space="preserve"> ADDIN ZOTERO_ITEM CSL_CITATION {"citationID":"jZ0slXj2","properties":{"formattedCitation":"(Selosse et al., 2006)","plainCitation":"(Selosse et al., 2006)","noteIndex":0},"citationItems":[{"id":567,"uris":["http://zotero.org/users/2189142/items/6JP5DVEB"],"itemData":{"id":567,"type":"article-journal","abstract":"Mycorrhizal associations, by which most land plants receive mineral nutrition, are diffuse and often non-specific. A common mycorrhizal network is formed when fungal mycelia colonize and link together the roots of two or more plants, sometimes of different species. Here, we discuss recent work showing how, under realistic ecological conditions, such networks can affect the physiology and ecology of plants by facilitating interplant nutrient exchange, acting as inoculum reservoirs for seedlings and altering plant competitive abilities. Although mechanisms for their evolutionary emergence remain unclear, investigating mycorrhizal networks profoundly modifies our understanding of plant communities.","container-title":"Trends in Ecology &amp; Evolution","DOI":"10.1016/j.tree.2006.07.003","ISSN":"0169-5347","issue":"11","journalAbbreviation":"Trends in Ecology &amp; Evolution","page":"621-628","source":"ScienceDirect","title":"Mycorrhizal networks: des liaisons dangereuses?","title-short":"Mycorrhizal networks","volume":"21","author":[{"family":"Selosse","given":"Marc-André"},{"family":"Richard","given":"Franck"},{"family":"He","given":"Xinhua"},{"family":"Simard","given":"Suzanne W."}],"issued":{"date-parts":[["2006",11]]},"citation-key":"selosse_2006"}}],"schema":"https://github.com/citation-style-language/schema/raw/master/csl-citation.json"} </w:instrText>
      </w:r>
      <w:r w:rsidRPr="009867C1">
        <w:fldChar w:fldCharType="separate"/>
      </w:r>
      <w:r w:rsidR="0042141C" w:rsidRPr="009867C1">
        <w:t>(Selosse et al., 2006)</w:t>
      </w:r>
      <w:r w:rsidRPr="009867C1">
        <w:fldChar w:fldCharType="end"/>
      </w:r>
      <w:r w:rsidRPr="009867C1">
        <w:t xml:space="preserve">, with important implications in forestry, agriculture, and pasture systems, particularly in the context of </w:t>
      </w:r>
      <w:r w:rsidR="00AD102A">
        <w:t>a</w:t>
      </w:r>
      <w:r w:rsidRPr="009867C1">
        <w:t xml:space="preserve"> shift from high-input agro-ecological systems (fertilizers and pesticides) to more sustainable, permaculture-based paradigms where fungal symbionts remain important in accessing nutrient sources </w:t>
      </w:r>
      <w:r w:rsidRPr="009867C1">
        <w:fldChar w:fldCharType="begin"/>
      </w:r>
      <w:r w:rsidR="00AC0205">
        <w:instrText xml:space="preserve"> ADDIN ZOTERO_ITEM CSL_CITATION {"citationID":"5DVmAwQD","properties":{"formattedCitation":"(Simard et al., 2013)","plainCitation":"(Simard et al., 2013)","noteIndex":0},"citationItems":[{"id":893,"uris":["http://zotero.org/users/2189142/items/67BCB5KR"],"itemData":{"id":893,"type":"article-journal","container-title":"Managing Forests as Complex Adaptive Systems: Building Resilience to the Challenge of Global Change. C. Messier, KJ Puettmann, &amp; KD Coates (editors). Routledge, New York, NY","page":"133–164","source":"Google Scholar","title":"Meta-networks of fungi, fauna and flora as agents of complex adaptive systems","author":[{"family":"Simard","given":"Suzanne W"},{"family":"Martin","given":"K."},{"family":"Vyse","given":"A."},{"family":"Larson","given":"B."},{"family":"Messier","given":"C."},{"family":"Puettmann","given":"K. J."},{"family":"Coates","given":"K. D."}],"issued":{"date-parts":[["2013"]]},"citation-key":"simard_2013"}}],"schema":"https://github.com/citation-style-language/schema/raw/master/csl-citation.json"} </w:instrText>
      </w:r>
      <w:r w:rsidRPr="009867C1">
        <w:fldChar w:fldCharType="separate"/>
      </w:r>
      <w:r w:rsidR="0042141C" w:rsidRPr="009867C1">
        <w:t>(Simard et al., 2013)</w:t>
      </w:r>
      <w:r w:rsidRPr="009867C1">
        <w:fldChar w:fldCharType="end"/>
      </w:r>
      <w:r w:rsidRPr="009867C1">
        <w:t xml:space="preserve">. The mechanisms and dynamics of these processes remain poorly understood; in particular, the temporal dynamics of MN processes, including the effects of shifting seasonal and life-cycle shortages and surpluses of network participants. The currently dominant model for modelling nutrient flow in MNs is a source-sink mass-flow </w:t>
      </w:r>
      <w:r w:rsidRPr="00AD102A">
        <w:t xml:space="preserve">model </w:t>
      </w:r>
      <w:r w:rsidRPr="00AD102A">
        <w:fldChar w:fldCharType="begin"/>
      </w:r>
      <w:r w:rsidR="00AC0205">
        <w:instrText xml:space="preserve"> ADDIN ZOTERO_ITEM CSL_CITATION {"citationID":"MmaH3ZFy","properties":{"formattedCitation":"(Finlay &amp; Read, 1986; Simard et al., 2012)","plainCitation":"(Finlay &amp; Read, 1986; Simard et al., 2012)","dontUpdate":true,"noteIndex":0},"citationItems":[{"id":10317,"uris":["http://zotero.org/users/2189142/items/BGYZYTZ9"],"itemData":{"id":10317,"type":"article-journal","abstract":"It is increasingly evident that in natural plant communities the vegetative mycelia of ectomy-corrhizal fungi can form networks of hyphal interconnections which link the root systems of their host plants in both intra- and inter-specific combinations. Root observation chambers have been used to examine the development of these mycelial networks and to assess their functional significance as pathways for the transfer of assimilate between individuals in a range of host-fungus associations. Carbon transfer between plants of Pinus spp. is significantly increased by the presence of mycelial connections and preliminary evidence suggests that such transfer may be enhanced where concentration gradients are induced by shading. The significance of these experimental results is discussed in relation to nutrient cycling processes in natural ecosystems.","container-title":"New Phytologist","DOI":"10.1111/j.1469-8137.1986.tb00603.x","ISSN":"1469-8137","issue":"1","language":"en","note":"_eprint: https://onlinelibrary.wiley.com/doi/pdf/10.1111/j.1469-8137.1986.tb00603.x","page":"143-156","source":"Wiley Online Library","title":"The Structure and Function of the Vegetative Mycelium of Ectomycorrhizal Plants","volume":"103","author":[{"family":"Finlay","given":"R. D."},{"family":"Read","given":"D. J."}],"issued":{"date-parts":[["1986"]]},"citation-key":"finlay_1986"}},{"id":418,"uris":["http://zotero.org/users/2189142/items/95XEQ96D"],"itemData":{"id":418,"type":"article-journal","abstract":"Mycorrhizal networks, defined as a common mycorrhizal mycelium linking the roots of at least two plants, occur in all major terrestrial ecosystems. This review discusses the recent progress and challenges in our understanding of the characteristics, functions, ecology and models of mycorrhizal networks, with the goal of encouraging future research to improve our understanding of their ecology, adaptability and evolution. We focus on four themes in the recent literature: (1) the physical, physiological and molecular evidence for the existence of mycorrhizal networks, as well as the genetic characteristics and topology of networks in natural ecosystems; (2) the types, amounts and mechanisms of interplant material transfer (including carbon, nutrients, water, defence signals and allelochemicals) in autotrophic, mycoheterotrophic or partial mycoheterotrophic plants, with particular focus on carbon transfer; (3) the influence of mycorrhizal networks on plant establishment, survival and growth, and the implications for community diversity or stability in response to environmental stress; and (4) insights into emerging methods for modelling the spatial configuration and temporal dynamics of mycorrhizal networks, including the inclusion of mycorrhizal networks in conceptual models of complex adaptive systems. We suggest that mycorrhizal networks are fundamental agents of complex adaptive systems (ecosystems) because they provide avenues for feedbacks and cross-scale interactions that lead to self-organization and emergent properties in ecosystems. We have found that research in the genetics of mycorrhizal networks has accelerated rapidly in the past 5 y with increasing resolution and throughput of molecular tools, but there still remains a large gap between understanding genes and understanding the physiology, ecology and evolution of mycorrhizal networks in our changing environment. There is now enormous and exciting potential for mycorrhizal researchers to address these higher level questions and thus inform ecosystem and evolutionary research more broadly.","collection-title":"Hyphal networks: mechanisms, modelling and ecology","container-title":"Fungal Biology Reviews","DOI":"10.1016/j.fbr.2012.01.001","ISSN":"1749-4613","issue":"1","journalAbbreviation":"Fungal Biology Reviews","page":"39-60","source":"ScienceDirect","title":"Mycorrhizal networks: Mechanisms, ecology and modelling","title-short":"Mycorrhizal networks","volume":"26","author":[{"family":"Simard","given":"Suzanne W."},{"family":"Beiler","given":"Kevin J."},{"family":"Bingham","given":"Marcus A."},{"family":"Deslippe","given":"Julie R."},{"family":"Philip","given":"Leanne J."},{"family":"Teste","given":"François P."}],"issued":{"date-parts":[["2012",4]]},"citation-key":"simard_2012"}}],"schema":"https://github.com/citation-style-language/schema/raw/master/csl-citation.json"} </w:instrText>
      </w:r>
      <w:r w:rsidRPr="00AD102A">
        <w:fldChar w:fldCharType="separate"/>
      </w:r>
      <w:r w:rsidR="0042141C" w:rsidRPr="00AD102A">
        <w:t>(Finlay &amp; Read, 1986; Simard e</w:t>
      </w:r>
      <w:r w:rsidR="00A309D5">
        <w:t>=</w:t>
      </w:r>
      <w:r w:rsidR="0042141C" w:rsidRPr="00AD102A">
        <w:t>t al., 2012)</w:t>
      </w:r>
      <w:r w:rsidRPr="00AD102A">
        <w:fldChar w:fldCharType="end"/>
      </w:r>
      <w:r w:rsidRPr="00AD102A">
        <w:t>;</w:t>
      </w:r>
      <w:r w:rsidRPr="009867C1">
        <w:t xml:space="preserve"> in this case nutrients and water are thought to flow from regions of high concentration and pressure to</w:t>
      </w:r>
      <w:r w:rsidR="008378A8" w:rsidRPr="009867C1">
        <w:t xml:space="preserve"> regions of</w:t>
      </w:r>
      <w:r w:rsidRPr="009867C1">
        <w:t xml:space="preserve"> low concentration and pressure, similar to mass-flow phloem transport. Diffusion is a sensible initial hypothesis, and the source-sink model can be laid upon structural models of hyphal and root architectures </w:t>
      </w:r>
      <w:r w:rsidR="008378A8" w:rsidRPr="009867C1">
        <w:t>where</w:t>
      </w:r>
      <w:r w:rsidRPr="009867C1">
        <w:t xml:space="preserve"> resources move about the network in a structurally directed manner while still following diffusion gradients. Major questions remain in this field regarding the degree to which host specificity and colonization rates impact nutrient flows and allocation; and whether or not more complex network models are called for than implied by source-sink flows.  </w:t>
      </w:r>
    </w:p>
    <w:p w14:paraId="7B824454" w14:textId="25CA59B5" w:rsidR="008832BF" w:rsidRPr="009867C1" w:rsidRDefault="008832BF" w:rsidP="008832BF">
      <w:pPr>
        <w:ind w:firstLine="720"/>
      </w:pPr>
      <w:r w:rsidRPr="009867C1">
        <w:t xml:space="preserve">These questions are particularly relevant in salmon forests, where isotopic evidence implies widespread distribution of salmon-derived nitrogen, but inputs are highly clustered in both space and time. Given the likely role of mycorrhizal fungi in facilitating nutrient uptake, the possibility emerges of their playing a role not just in accessing MDN, but also as active distributors and intermediaries in plant-to-plant exchange </w:t>
      </w:r>
      <w:r w:rsidRPr="009867C1">
        <w:fldChar w:fldCharType="begin"/>
      </w:r>
      <w:r w:rsidR="00AC0205">
        <w:instrText xml:space="preserve"> ADDIN ZOTERO_ITEM CSL_CITATION {"citationID":"uNwBSPEU","properties":{"formattedCitation":"(Rog et al., 2020)","plainCitation":"(Rog et al., 2020)","noteIndex":0},"citationItems":[{"id":2596,"uris":["http://zotero.org/users/2189142/items/48N9B5GC"],"itemData":{"id":2596,"type":"article-journal","abstract":"The mutualistic symbiosis between forest trees and ectomycorrhizal fungi (EMF) is among the most ubiquitous and successful interactions in terrestrial ecosystems. Specific species of EMF are known to colonize specific tree species, benefitting from their carbon source, and in turn, improving their access to soil water and nutrients. EMF also form extensive mycelial networks that can link multiple root-tips of different trees. Yet the number of tree species connected by such mycelial networks, and the traffic of material across them, are just now under study. Recently we reported substantial belowground carbon transfer between Picea, Pinus, Larix and Fagus trees in a mature forest. Here, we analyze the EMF community of these same individual trees and identify the most likely taxa responsible for the observed carbon transfer. Among the nearly 1,200 EMF root-tips examined, 50%–70% belong to operational taxonomic units (OTUs) that were associated with three or four tree host species, and 90% of all OTUs were associated with at least two tree species. Sporocarp 13C signals indicated that carbon originating from labelled Picea trees was transferred among trees through EMF networks. Interestingly, phylogenetically more closely related tree species exhibited more similar EMF communities and exchanged more carbon. Our results show that belowground carbon transfer is well orchestrated by the evolution of EMFs and tree symbiosis.","container-title":"Molecular Ecology","DOI":"https://doi.org/10.1111/mec.15351","ISSN":"1365-294X","issue":"13","language":"en","note":"_eprint: https://onlinelibrary.wiley.com/doi/pdf/10.1111/mec.15351","page":"2321-2333","source":"Wiley Online Library","title":"Share the wealth: Trees with greater ectomycorrhizal species overlap share more carbon","title-short":"Share the wealth","volume":"29","author":[{"family":"Rog","given":"Ido"},{"family":"Rosenstock","given":"Nicholas P."},{"family":"Körner","given":"Christian"},{"family":"Klein","given":"Tamir"}],"issued":{"date-parts":[["2020"]]},"citation-key":"rog_2020"}}],"schema":"https://github.com/citation-style-language/schema/raw/master/csl-citation.json"} </w:instrText>
      </w:r>
      <w:r w:rsidRPr="009867C1">
        <w:fldChar w:fldCharType="separate"/>
      </w:r>
      <w:r w:rsidR="0042141C" w:rsidRPr="009867C1">
        <w:t>(Rog et al., 2020)</w:t>
      </w:r>
      <w:r w:rsidRPr="009867C1">
        <w:fldChar w:fldCharType="end"/>
      </w:r>
      <w:r w:rsidRPr="009867C1">
        <w:t xml:space="preserve">. This would have implications not only for MDN dynamics in salmon forests, but also for carbon, information, and other plant metabolites. </w:t>
      </w:r>
    </w:p>
    <w:p w14:paraId="4F843836" w14:textId="77777777" w:rsidR="008832BF" w:rsidRPr="009867C1" w:rsidRDefault="008832BF" w:rsidP="008832BF"/>
    <w:p w14:paraId="1E6D4676" w14:textId="77777777" w:rsidR="008832BF" w:rsidRPr="009867C1" w:rsidRDefault="008832BF" w:rsidP="008832BF">
      <w:pPr>
        <w:pStyle w:val="Heading3"/>
      </w:pPr>
      <w:bookmarkStart w:id="39" w:name="_Toc99385413"/>
      <w:r w:rsidRPr="009867C1">
        <w:t>Summary and motivation</w:t>
      </w:r>
      <w:bookmarkEnd w:id="39"/>
    </w:p>
    <w:p w14:paraId="6134E459" w14:textId="77269487" w:rsidR="008832BF" w:rsidRPr="009867C1" w:rsidRDefault="008832BF" w:rsidP="008832BF">
      <w:pPr>
        <w:ind w:firstLine="720"/>
      </w:pPr>
      <w:r w:rsidRPr="009867C1">
        <w:t xml:space="preserve">Salmon migrate from the sea to freshwater systems, where they </w:t>
      </w:r>
      <w:r w:rsidR="002F2156">
        <w:t>affect</w:t>
      </w:r>
      <w:r w:rsidRPr="009867C1">
        <w:t xml:space="preserve"> aquatic chemistry, primary producers, and secondary and tertiary consumers. From aquatic environments, marine-derived nutrients are displaced to terrestrial sites mainly through hyporheic flow and the activity of animal consumers, for whom salmon may account for large proportions of their annual protein budget. Once ashore, abandoned carcasses are consumed by flies and other insects, as well as a succession of microbial communities. Carcass exudates enter the soil, where we see a succession of changes in soil chemistry in salmon-carcass ‘hot spots’ over a period of approximately a year. From the soil MDN enters the plant community where it affects plant diversity, physiology, and ecology. Flows through all these compartments are </w:t>
      </w:r>
      <w:r w:rsidR="00BA5818" w:rsidRPr="009867C1">
        <w:t>evidenced</w:t>
      </w:r>
      <w:r w:rsidRPr="009867C1">
        <w:t xml:space="preserve"> by </w:t>
      </w:r>
      <w:r w:rsidRPr="009867C1">
        <w:rPr>
          <w:vertAlign w:val="superscript"/>
        </w:rPr>
        <w:t>15</w:t>
      </w:r>
      <w:r w:rsidRPr="009867C1">
        <w:t>N signals, which permeate all biotic and abiotic environments in salmon-associated systems.</w:t>
      </w:r>
    </w:p>
    <w:p w14:paraId="45290F1C" w14:textId="08F0A566" w:rsidR="008832BF" w:rsidRPr="009867C1" w:rsidRDefault="008832BF" w:rsidP="008832BF">
      <w:pPr>
        <w:ind w:firstLine="720"/>
      </w:pPr>
      <w:r w:rsidRPr="009867C1">
        <w:t xml:space="preserve">Despite an extensive body of literature, relative to isotopic evidence less is known about physiological and ecosystem-level effects and MDN addition </w:t>
      </w:r>
      <w:r w:rsidRPr="009867C1">
        <w:fldChar w:fldCharType="begin"/>
      </w:r>
      <w:r w:rsidR="00AC0205">
        <w:instrText xml:space="preserve"> ADDIN ZOTERO_ITEM CSL_CITATION {"citationID":"GOnCMCv6","properties":{"formattedCitation":"(J. C. Walsh, Pendray, et al., 2020)","plainCitation":"(J. C. Walsh, Pendray, et al., 2020)","noteIndex":0},"citationItems":[{"id":2334,"uris":["http://zotero.org/users/2189142/items/PK5JHV8R"],"itemData":{"id":2334,"type":"article-journal","abstract":"Pacific salmon influence temperate terrestrial and freshwater ecosystems through the dispersal of marine-derived nutrients and ecosystem engineering of stream beds when spawning. They also support large fisheries, particularly along the west coast of North America. We provide a comprehensive synthesis of relationships between the densities of Pacific salmon and terrestrial and aquatic ecosystems, summarize the direction, shape, and magnitude of these relationships, and identify possible ecosystem-based management indicators and benchmarks. We found 31 studies that provided 172 relationships between salmon density (or salmon abundance) and species abundance, species diversity, food provisioning, individual growth, concentration of marine-derived isotopes, nutrient enhancement, phenology, and several other ecological responses. The most common published relationship was between salmon density and marine-derived isotopes (40%), whereas very few relationships quantified ecosystem-level responses (5%). Only 13% of all relationships tended to reach an asymptote (i.e., a saturating response) as salmon densities increased. The number of salmon killed by bears and the change in biomass of different stream invertebrate taxa between spawning and nonspawning seasons were relationships that usually reached saturation. Approximately 46% of all relationships were best described with linear or curved nonasymptotic models, indicating a lack of saturation. In contrast, 41% of data sets showed no relationship with salmon density or abundance, including many of the relationships with stream invertebrate and biofilm biomass density, marine-derived isotope concentrations, or vegetation density. Bears required the highest densities of salmon to reach their maximum observed food consumption (i.e., 9.2 kg/m2 to reach the 90% threshold of the relationship’s asymptote), followed by freshwater fish abundance (90% threshold = 7.3 kg/m2 of salmon). Although the effects of salmon density on ecosystems are highly varied, it appears that several of these relationships, such as bear food consumption, could be used to develop indicators and benchmarks for ecosystem-based fisheries management.","container-title":"Ecology","DOI":"https://doi.org/10.1002/ecy.3060","ISSN":"1939-9170","issue":"9","language":"en","note":"_eprint: https://esajournals.onlinelibrary.wiley.com/doi/pdf/10.1002/ecy.3060","page":"e03060","source":"Wiley Online Library","title":"Relationships between Pacific salmon and aquatic and terrestrial ecosystems: implications for ecosystem-based management","title-short":"Relationships between Pacific salmon and aquatic and terrestrial ecosystems","volume":"101","author":[{"family":"Walsh","given":"Jessica C."},{"family":"Pendray","given":"Jane E."},{"family":"Godwin","given":"Sean C."},{"family":"Artelle","given":"Kyle A."},{"family":"Kindsvater","given":"Holly K."},{"family":"Field","given":"Rachel D."},{"family":"Harding","given":"Jennifer N."},{"family":"Swain","given":"Noel R."},{"family":"Reynolds","given":"John D."}],"issued":{"date-parts":[["2020"]]},"citation-key":"walsh_2020b"}}],"schema":"https://github.com/citation-style-language/schema/raw/master/csl-citation.json"} </w:instrText>
      </w:r>
      <w:r w:rsidRPr="009867C1">
        <w:fldChar w:fldCharType="separate"/>
      </w:r>
      <w:r w:rsidR="0042141C" w:rsidRPr="009867C1">
        <w:t>(J. C. Walsh, Pendray, et al., 2020)</w:t>
      </w:r>
      <w:r w:rsidRPr="009867C1">
        <w:fldChar w:fldCharType="end"/>
      </w:r>
      <w:r w:rsidRPr="009867C1">
        <w:t xml:space="preserve">, and little consideration has been given to how nutrients are cycled </w:t>
      </w:r>
      <w:r w:rsidR="00BA5818" w:rsidRPr="009867C1">
        <w:t xml:space="preserve">(or lost) </w:t>
      </w:r>
      <w:r w:rsidRPr="009867C1">
        <w:t xml:space="preserve">once inside the </w:t>
      </w:r>
      <w:r w:rsidR="002F2156">
        <w:t>terrestrial eco</w:t>
      </w:r>
      <w:r w:rsidRPr="009867C1">
        <w:t xml:space="preserve">system. Almost all research has focused on nitrogen, and although phosphorus has received some attention, other nutrients remain understudied. </w:t>
      </w:r>
      <w:r w:rsidR="002F2156">
        <w:t>Salmon forest s</w:t>
      </w:r>
      <w:r w:rsidRPr="009867C1">
        <w:t xml:space="preserve">oils, the most important sites for nutrient transformation and retention, remain relatively understudied despite evidence that soil taxonomy is important in mediating MDN outcomes </w:t>
      </w:r>
      <w:r w:rsidRPr="009867C1">
        <w:fldChar w:fldCharType="begin"/>
      </w:r>
      <w:r w:rsidR="00AC0205">
        <w:instrText xml:space="preserve"> ADDIN ZOTERO_ITEM CSL_CITATION {"citationID":"iA58lAdf","properties":{"formattedCitation":"(D\\uc0\\u8217{}Amore et al., 2011)","plainCitation":"(D’Amore et al., 2011)","noteIndex":0},"citationItems":[{"id":970,"uris":["http://zotero.org/users/2189142/items/SQPRJQMG"],"itemData":{"id":970,"type":"article-journal","abstract":"The influence of salmon-derived nutrients (SDN) is widely accepted as a potential factor in the maintenance of aquatic and terrestrial productivity in North American Coastal rainforests. Holocene alluvial landforms are intimately connected with the return of anadromous salmon, but the influence of the soils that occupy these landforms and support this important terrestrial–aquatic ecological coupling have not been examined in SDN studies. We used paleo-ecologic information, soil resource inventories and measurements of soil morphology to construct a soil-geomorphic model for alluvial landforms along salmon spawning channels on Prince of Wales Island, Southeast Alaska, USA. Post-glacial sea-level rise, crustal uplift and subsidence combined with Holocene sediment deposition have formed alluvial terraces and floodplains along rivers on Prince of Wales Island. These alluvial landforms have soils that are mapped as Entisols (Tonowek soil series) and Spodosols (Tuxekan soil series). We propose a soil-geomorphic model where the Spodosols located on terraces are estimated to derive from sediments deposited after the stabilization of landscape approximately 8 kybp to 6 kybp. The stability of these soils is reflected through mature soil development with organic matter accumulation and podzolization. Our model identifies Entisols on floodplains developed from alluvial deposition in the latter Holocene that have soil morphologic features consistent with recent deposition and limited soil development. We used this soil-geomorphic model to test the hypothesis that the terrestrial end-member value commonly used to quantify nitrogen (N) loading on soils through stable isotope analysis differs by soil type and found that the two soil types had significantly different N isotopic (δ15N) values more consistent with soil development than SDN loading. The use of a soil-geomorphic model provides a means to stratify alluvial landforms and constrain the natural variability encountered in studies of riparian nutrient cycles associated with the feedbacks between SDN and terrestrial ecosystems to improve estimates of the fate of SDN in soils and vegetation.","collection-title":"Geomorphology on Multiscale Feedbacks in Ecogeomorphology","container-title":"Geomorphology","DOI":"10.1016/j.geomorph.2010.04.014","ISSN":"0169-555X","issue":"3–4","journalAbbreviation":"Geomorphology","page":"377-386","source":"ScienceDirect","title":"Holocene soil-geomorphic surfaces influence the role of salmon-derived nutrients in the coastal temperate rainforest of Southeast Alaska","volume":"126","author":[{"family":"D'Amore","given":"David V."},{"family":"Bonzey","given":"Nicholas S."},{"family":"Berkowitz","given":"Jacob"},{"family":"Rüegg","given":"Janine"},{"family":"Bridgham","given":"Scott"}],"issued":{"date-parts":[["2011",3,15]]},"citation-key":"damore_2011"}}],"schema":"https://github.com/citation-style-language/schema/raw/master/csl-citation.json"} </w:instrText>
      </w:r>
      <w:r w:rsidRPr="009867C1">
        <w:fldChar w:fldCharType="separate"/>
      </w:r>
      <w:r w:rsidR="0042141C" w:rsidRPr="009867C1">
        <w:t>(D’Amore et al., 2011)</w:t>
      </w:r>
      <w:r w:rsidRPr="009867C1">
        <w:fldChar w:fldCharType="end"/>
      </w:r>
      <w:r w:rsidRPr="009867C1">
        <w:t xml:space="preserve">. The most important organisms in mediating these soil processes are fungi and bacteria, and thus evidence of changes due to MDN subsidy may be expected to be observable </w:t>
      </w:r>
      <w:r w:rsidR="002F2156">
        <w:t>in</w:t>
      </w:r>
      <w:r w:rsidRPr="009867C1">
        <w:t xml:space="preserve"> microbial community composition and diversity. </w:t>
      </w:r>
    </w:p>
    <w:p w14:paraId="53358AC6" w14:textId="468D41DE" w:rsidR="008832BF" w:rsidRPr="009867C1" w:rsidRDefault="008832BF" w:rsidP="008832BF">
      <w:pPr>
        <w:ind w:firstLine="720"/>
      </w:pPr>
      <w:r w:rsidRPr="009867C1">
        <w:t xml:space="preserve">This thesis is motivated to address some of these gaps by continuing the </w:t>
      </w:r>
      <w:r w:rsidR="00BA5818" w:rsidRPr="009867C1">
        <w:t>accumulation</w:t>
      </w:r>
      <w:r w:rsidRPr="009867C1">
        <w:t xml:space="preserve"> of scientific investigation into salmon nutrient subsidies and their journey from the ocean to aquatic and terrestrial settings by ameliorating our understanding of salmon-forest soils.</w:t>
      </w:r>
    </w:p>
    <w:p w14:paraId="4819B375" w14:textId="77777777" w:rsidR="008832BF" w:rsidRPr="009867C1" w:rsidRDefault="008832BF" w:rsidP="008832BF">
      <w:pPr>
        <w:pStyle w:val="Heading3"/>
      </w:pPr>
      <w:bookmarkStart w:id="40" w:name="_Toc99385414"/>
      <w:r w:rsidRPr="009867C1">
        <w:t>Main Questions and approach</w:t>
      </w:r>
      <w:bookmarkEnd w:id="40"/>
    </w:p>
    <w:p w14:paraId="1D066E11" w14:textId="40CD456C" w:rsidR="008832BF" w:rsidRPr="009867C1" w:rsidRDefault="008832BF" w:rsidP="008832BF">
      <w:pPr>
        <w:ind w:firstLine="720"/>
      </w:pPr>
      <w:r w:rsidRPr="009867C1">
        <w:t>The main question of this thesis is: “how do salmon-derived nutrients change soils in salmon forests?”</w:t>
      </w:r>
      <w:r w:rsidR="002059AF">
        <w:t xml:space="preserve"> </w:t>
      </w:r>
      <w:r w:rsidRPr="009867C1">
        <w:t>In particular, I wanted to investigate the effects of MDN on soil chemistry and fungal and bacterial microbi</w:t>
      </w:r>
      <w:r w:rsidR="001C567B" w:rsidRPr="009867C1">
        <w:t>al communities</w:t>
      </w:r>
      <w:r w:rsidRPr="009867C1">
        <w:t>.</w:t>
      </w:r>
    </w:p>
    <w:p w14:paraId="0376A852" w14:textId="77777777" w:rsidR="001C567B" w:rsidRPr="009867C1" w:rsidRDefault="001C567B" w:rsidP="008832BF">
      <w:pPr>
        <w:ind w:firstLine="720"/>
      </w:pPr>
    </w:p>
    <w:p w14:paraId="1AB93E7F" w14:textId="55073B10" w:rsidR="008832BF" w:rsidRPr="009867C1" w:rsidRDefault="008832BF" w:rsidP="008832BF">
      <w:r w:rsidRPr="009867C1">
        <w:t xml:space="preserve">Hence, with regards to </w:t>
      </w:r>
      <w:r w:rsidR="001C567B" w:rsidRPr="009867C1">
        <w:t>M</w:t>
      </w:r>
      <w:r w:rsidRPr="009867C1">
        <w:t>DN subsidy this thesis aims to answer:</w:t>
      </w:r>
    </w:p>
    <w:p w14:paraId="4F9F4A14" w14:textId="4FD81113" w:rsidR="008832BF" w:rsidRPr="009867C1" w:rsidRDefault="008832BF" w:rsidP="00FA1F35">
      <w:pPr>
        <w:pStyle w:val="ListParagraph"/>
        <w:numPr>
          <w:ilvl w:val="0"/>
          <w:numId w:val="3"/>
        </w:numPr>
        <w:spacing w:after="160" w:line="259" w:lineRule="auto"/>
      </w:pPr>
      <w:r w:rsidRPr="009867C1">
        <w:t>How do salmon</w:t>
      </w:r>
      <w:r w:rsidR="001C567B" w:rsidRPr="009867C1">
        <w:t xml:space="preserve"> inputs</w:t>
      </w:r>
      <w:r w:rsidRPr="009867C1">
        <w:t xml:space="preserve"> </w:t>
      </w:r>
      <w:r w:rsidR="002059AF">
        <w:t>affect</w:t>
      </w:r>
      <w:r w:rsidRPr="009867C1">
        <w:t xml:space="preserve"> forest soil chemistry?</w:t>
      </w:r>
    </w:p>
    <w:p w14:paraId="409B17FE" w14:textId="77777777" w:rsidR="001C567B" w:rsidRPr="009867C1" w:rsidRDefault="001C567B" w:rsidP="001C567B">
      <w:pPr>
        <w:pStyle w:val="ListParagraph"/>
        <w:spacing w:after="160" w:line="259" w:lineRule="auto"/>
      </w:pPr>
    </w:p>
    <w:p w14:paraId="2CE9C718" w14:textId="18F43F7F" w:rsidR="008832BF" w:rsidRPr="009867C1" w:rsidRDefault="008832BF" w:rsidP="00FA1F35">
      <w:pPr>
        <w:pStyle w:val="ListParagraph"/>
        <w:numPr>
          <w:ilvl w:val="0"/>
          <w:numId w:val="3"/>
        </w:numPr>
        <w:spacing w:after="160" w:line="259" w:lineRule="auto"/>
      </w:pPr>
      <w:r w:rsidRPr="009867C1">
        <w:t xml:space="preserve">How do salmon </w:t>
      </w:r>
      <w:r w:rsidR="001C567B" w:rsidRPr="009867C1">
        <w:t xml:space="preserve">inputs </w:t>
      </w:r>
      <w:r w:rsidRPr="009867C1">
        <w:t>affect</w:t>
      </w:r>
      <w:r w:rsidR="001C567B" w:rsidRPr="009867C1">
        <w:t xml:space="preserve"> mushroom</w:t>
      </w:r>
      <w:r w:rsidRPr="009867C1">
        <w:t xml:space="preserve"> sporocar</w:t>
      </w:r>
      <w:r w:rsidR="001C567B" w:rsidRPr="009867C1">
        <w:t>p nutrient levels</w:t>
      </w:r>
      <w:r w:rsidRPr="009867C1">
        <w:t>?</w:t>
      </w:r>
    </w:p>
    <w:p w14:paraId="6D34A4E7" w14:textId="77777777" w:rsidR="001C567B" w:rsidRPr="009867C1" w:rsidRDefault="001C567B" w:rsidP="001C567B">
      <w:pPr>
        <w:pStyle w:val="ListParagraph"/>
        <w:spacing w:after="160" w:line="259" w:lineRule="auto"/>
      </w:pPr>
    </w:p>
    <w:p w14:paraId="1F87B7CA" w14:textId="23108A5A" w:rsidR="008832BF" w:rsidRPr="009867C1" w:rsidRDefault="008832BF" w:rsidP="00FA1F35">
      <w:pPr>
        <w:pStyle w:val="ListParagraph"/>
        <w:numPr>
          <w:ilvl w:val="0"/>
          <w:numId w:val="3"/>
        </w:numPr>
        <w:spacing w:after="160" w:line="259" w:lineRule="auto"/>
      </w:pPr>
      <w:r w:rsidRPr="009867C1">
        <w:t xml:space="preserve">How do salmon </w:t>
      </w:r>
      <w:r w:rsidR="002059AF">
        <w:t>affect</w:t>
      </w:r>
      <w:r w:rsidRPr="009867C1">
        <w:t xml:space="preserve"> forest soil-fungi-vegetation nitrogen dynamics?</w:t>
      </w:r>
    </w:p>
    <w:p w14:paraId="71A77D5F" w14:textId="77777777" w:rsidR="001C567B" w:rsidRPr="009867C1" w:rsidRDefault="001C567B" w:rsidP="001C567B">
      <w:pPr>
        <w:pStyle w:val="ListParagraph"/>
        <w:spacing w:after="160" w:line="259" w:lineRule="auto"/>
      </w:pPr>
    </w:p>
    <w:p w14:paraId="34A29295" w14:textId="0B52EB20" w:rsidR="008832BF" w:rsidRPr="009867C1" w:rsidRDefault="008832BF" w:rsidP="00FA1F35">
      <w:pPr>
        <w:pStyle w:val="ListParagraph"/>
        <w:numPr>
          <w:ilvl w:val="0"/>
          <w:numId w:val="3"/>
        </w:numPr>
        <w:spacing w:after="160" w:line="259" w:lineRule="auto"/>
      </w:pPr>
      <w:r w:rsidRPr="009867C1">
        <w:t xml:space="preserve">How do salmon </w:t>
      </w:r>
      <w:r w:rsidR="002059AF">
        <w:t>affect</w:t>
      </w:r>
      <w:r w:rsidRPr="009867C1">
        <w:t xml:space="preserve"> soil fungal communities?</w:t>
      </w:r>
    </w:p>
    <w:p w14:paraId="49518621" w14:textId="77777777" w:rsidR="001C567B" w:rsidRPr="009867C1" w:rsidRDefault="001C567B" w:rsidP="001C567B">
      <w:pPr>
        <w:pStyle w:val="ListParagraph"/>
        <w:spacing w:after="160" w:line="259" w:lineRule="auto"/>
      </w:pPr>
    </w:p>
    <w:p w14:paraId="5BDE1B92" w14:textId="7949E3D7" w:rsidR="008832BF" w:rsidRPr="009867C1" w:rsidRDefault="008832BF" w:rsidP="00FA1F35">
      <w:pPr>
        <w:pStyle w:val="ListParagraph"/>
        <w:numPr>
          <w:ilvl w:val="0"/>
          <w:numId w:val="3"/>
        </w:numPr>
        <w:spacing w:after="160" w:line="259" w:lineRule="auto"/>
      </w:pPr>
      <w:r w:rsidRPr="009867C1">
        <w:t xml:space="preserve">How do salmon </w:t>
      </w:r>
      <w:r w:rsidR="002059AF">
        <w:t>affect</w:t>
      </w:r>
      <w:r w:rsidRPr="009867C1">
        <w:t xml:space="preserve"> soil bacterial communities?</w:t>
      </w:r>
    </w:p>
    <w:p w14:paraId="4FD80A23" w14:textId="77777777" w:rsidR="001C567B" w:rsidRPr="009867C1" w:rsidRDefault="001C567B" w:rsidP="001C567B">
      <w:pPr>
        <w:pStyle w:val="ListParagraph"/>
        <w:spacing w:after="160" w:line="259" w:lineRule="auto"/>
      </w:pPr>
    </w:p>
    <w:p w14:paraId="448BFF2D" w14:textId="77777777" w:rsidR="001C567B" w:rsidRPr="009867C1" w:rsidRDefault="008832BF" w:rsidP="00FA1F35">
      <w:pPr>
        <w:pStyle w:val="ListParagraph"/>
        <w:numPr>
          <w:ilvl w:val="0"/>
          <w:numId w:val="3"/>
        </w:numPr>
        <w:spacing w:after="160" w:line="259" w:lineRule="auto"/>
      </w:pPr>
      <w:r w:rsidRPr="009867C1">
        <w:t>Do mycorrhizal fungi take up MDN, and if they do, do they play an active role in distributing these resources to neighbouring vegetation?</w:t>
      </w:r>
    </w:p>
    <w:p w14:paraId="72D487C7" w14:textId="1E1D09AA" w:rsidR="008832BF" w:rsidRPr="009867C1" w:rsidRDefault="008832BF" w:rsidP="001C567B">
      <w:pPr>
        <w:pStyle w:val="ListParagraph"/>
        <w:spacing w:after="160" w:line="259" w:lineRule="auto"/>
      </w:pPr>
    </w:p>
    <w:p w14:paraId="5E69D208" w14:textId="77777777" w:rsidR="008832BF" w:rsidRPr="009867C1" w:rsidRDefault="008832BF" w:rsidP="008832BF">
      <w:r w:rsidRPr="009867C1">
        <w:t>In addition, this thesis also addresses some secondary questions:</w:t>
      </w:r>
    </w:p>
    <w:p w14:paraId="1CAB56BF" w14:textId="00222870" w:rsidR="008832BF" w:rsidRPr="009867C1" w:rsidRDefault="008832BF" w:rsidP="00FA1F35">
      <w:pPr>
        <w:pStyle w:val="ListParagraph"/>
        <w:numPr>
          <w:ilvl w:val="0"/>
          <w:numId w:val="3"/>
        </w:numPr>
        <w:spacing w:after="160" w:line="259" w:lineRule="auto"/>
      </w:pPr>
      <w:r w:rsidRPr="009867C1">
        <w:t>Since they have never been surveyed, what are the soil fungal and bacterial communities in</w:t>
      </w:r>
      <w:r w:rsidR="002059AF">
        <w:t xml:space="preserve"> British Columbia</w:t>
      </w:r>
      <w:r w:rsidRPr="009867C1">
        <w:t xml:space="preserve"> Central Coast soils? </w:t>
      </w:r>
    </w:p>
    <w:p w14:paraId="12941464" w14:textId="77777777" w:rsidR="001C567B" w:rsidRPr="009867C1" w:rsidRDefault="001C567B" w:rsidP="001C567B">
      <w:pPr>
        <w:pStyle w:val="ListParagraph"/>
        <w:spacing w:after="160" w:line="259" w:lineRule="auto"/>
      </w:pPr>
    </w:p>
    <w:p w14:paraId="742BAF0E" w14:textId="3975FD6C" w:rsidR="008832BF" w:rsidRPr="009867C1" w:rsidRDefault="008832BF" w:rsidP="00FA1F35">
      <w:pPr>
        <w:pStyle w:val="ListParagraph"/>
        <w:numPr>
          <w:ilvl w:val="0"/>
          <w:numId w:val="3"/>
        </w:numPr>
        <w:spacing w:after="160" w:line="259" w:lineRule="auto"/>
      </w:pPr>
      <w:r w:rsidRPr="009867C1">
        <w:t>What environmental covariates affect salmon forest soil chemistry and biotic communities?</w:t>
      </w:r>
    </w:p>
    <w:p w14:paraId="3B05F45E" w14:textId="77777777" w:rsidR="001C567B" w:rsidRPr="009867C1" w:rsidRDefault="001C567B" w:rsidP="001C567B">
      <w:pPr>
        <w:pStyle w:val="ListParagraph"/>
      </w:pPr>
    </w:p>
    <w:p w14:paraId="177FD981" w14:textId="4AC3B15B" w:rsidR="008832BF" w:rsidRPr="009867C1" w:rsidRDefault="008832BF" w:rsidP="008832BF">
      <w:r w:rsidRPr="009867C1">
        <w:t xml:space="preserve">To do this, I employed two observational gradients in salmon density on the Central Coast of British Columbia that have often been used as a model ‘salmon forest’ (Appendix </w:t>
      </w:r>
      <w:r w:rsidR="00BA5818" w:rsidRPr="009867C1">
        <w:t>A</w:t>
      </w:r>
      <w:r w:rsidRPr="009867C1">
        <w:t xml:space="preserve">). The first gradient was composed of 23 streams, representing a regional gradient of salmon density (see Appendix </w:t>
      </w:r>
      <w:r w:rsidR="00BA5818" w:rsidRPr="009867C1">
        <w:t>B</w:t>
      </w:r>
      <w:r w:rsidRPr="009867C1">
        <w:t xml:space="preserve"> for a discussion of salmon</w:t>
      </w:r>
      <w:r w:rsidR="00BA5818" w:rsidRPr="009867C1">
        <w:t xml:space="preserve"> inputs and salmon</w:t>
      </w:r>
      <w:r w:rsidRPr="009867C1">
        <w:t xml:space="preserve"> density metrics). The second gradient comprised a subset of f</w:t>
      </w:r>
      <w:r w:rsidR="00600A4E">
        <w:t>our</w:t>
      </w:r>
      <w:r w:rsidRPr="009867C1">
        <w:t xml:space="preserve"> </w:t>
      </w:r>
      <w:r w:rsidR="00600A4E">
        <w:t xml:space="preserve">of these </w:t>
      </w:r>
      <w:r w:rsidRPr="009867C1">
        <w:t>streams where waterfalls blocked salmon migration, pr</w:t>
      </w:r>
      <w:r w:rsidR="00600A4E">
        <w:t>oviding</w:t>
      </w:r>
      <w:r w:rsidRPr="009867C1">
        <w:t xml:space="preserve"> a sharp discontinuity in MDN inputs. Soil cores were collected for these comparisons during a single summer field season in 2017 (</w:t>
      </w:r>
      <w:r w:rsidR="00BA5818" w:rsidRPr="009867C1">
        <w:t>C</w:t>
      </w:r>
      <w:r w:rsidRPr="009867C1">
        <w:t>hapters 2, 4, 5) and mushroom sporocarps collected in late fall (</w:t>
      </w:r>
      <w:r w:rsidR="00BA5818" w:rsidRPr="009867C1">
        <w:t>C</w:t>
      </w:r>
      <w:r w:rsidRPr="009867C1">
        <w:t xml:space="preserve">hapter 3). A combination of chemical analysis, stable isotope analysis, and next-generation environmental genetic sequencing were used to answer the above questions. The fundamental hypothetical-deductive logic </w:t>
      </w:r>
      <w:r w:rsidRPr="009867C1">
        <w:fldChar w:fldCharType="begin"/>
      </w:r>
      <w:r w:rsidR="00AC0205">
        <w:instrText xml:space="preserve"> ADDIN ZOTERO_ITEM CSL_CITATION {"citationID":"TNCtCSXh","properties":{"formattedCitation":"(Lawson et al., 2008)","plainCitation":"(Lawson et al., 2008)","noteIndex":0},"citationItems":[{"id":2591,"uris":["http://zotero.org/users/2189142/items/VSVTGCS5"],"itemData":{"id":2591,"type":"article-journal","container-title":"International Journal of Science and Mathematics Education","issue":"2","note":"publisher: Springer","page":"405–416","source":"Google Scholar","title":"Connecting science and mathematics: The nature of scientific and statistical hypothesis testing","title-short":"Connecting science and mathematics","volume":"6","author":[{"family":"Lawson","given":"Anton E."},{"family":"Oehrtman","given":"Michael"},{"family":"Jensen","given":"Jamie"}],"issued":{"date-parts":[["2008"]]},"citation-key":"lawson_2008"}}],"schema":"https://github.com/citation-style-language/schema/raw/master/csl-citation.json"} </w:instrText>
      </w:r>
      <w:r w:rsidRPr="009867C1">
        <w:fldChar w:fldCharType="separate"/>
      </w:r>
      <w:r w:rsidR="0042141C" w:rsidRPr="009867C1">
        <w:t>(Lawson et al., 2008)</w:t>
      </w:r>
      <w:r w:rsidRPr="009867C1">
        <w:fldChar w:fldCharType="end"/>
      </w:r>
      <w:r w:rsidRPr="009867C1">
        <w:t xml:space="preserve"> of this natural-</w:t>
      </w:r>
      <w:r w:rsidR="00A309D5">
        <w:t>gradient</w:t>
      </w:r>
      <w:r w:rsidRPr="009867C1">
        <w:t xml:space="preserve"> approach is: </w:t>
      </w:r>
      <w:r w:rsidRPr="009867C1">
        <w:rPr>
          <w:i/>
        </w:rPr>
        <w:t>if</w:t>
      </w:r>
      <w:r w:rsidRPr="009867C1">
        <w:t xml:space="preserve"> salmon subsidies </w:t>
      </w:r>
      <w:r w:rsidR="00600A4E">
        <w:t>affect</w:t>
      </w:r>
      <w:r w:rsidRPr="009867C1">
        <w:t xml:space="preserve"> soil characteristics, </w:t>
      </w:r>
      <w:r w:rsidRPr="009867C1">
        <w:rPr>
          <w:i/>
        </w:rPr>
        <w:t>then</w:t>
      </w:r>
      <w:r w:rsidRPr="009867C1">
        <w:t xml:space="preserve"> along regional salmon density gradients and/or through above and below waterfall comparisons </w:t>
      </w:r>
      <w:r w:rsidRPr="009867C1">
        <w:rPr>
          <w:i/>
        </w:rPr>
        <w:t xml:space="preserve">we predict </w:t>
      </w:r>
      <w:r w:rsidR="00600A4E">
        <w:t>variation</w:t>
      </w:r>
      <w:r w:rsidRPr="009867C1">
        <w:t xml:space="preserve"> in these characteristics. For details on each hypothesis, see</w:t>
      </w:r>
      <w:r w:rsidR="00F74205">
        <w:t xml:space="preserve"> Table 1-2 </w:t>
      </w:r>
      <w:r w:rsidR="00BA5818" w:rsidRPr="009867C1">
        <w:t>and each individual chapter</w:t>
      </w:r>
      <w:r w:rsidRPr="009867C1">
        <w:t xml:space="preserve">. </w:t>
      </w:r>
    </w:p>
    <w:p w14:paraId="1EC7F1B9" w14:textId="77777777" w:rsidR="008832BF" w:rsidRPr="009867C1" w:rsidRDefault="008832BF" w:rsidP="008832BF">
      <w:pPr>
        <w:pStyle w:val="Heading3"/>
      </w:pPr>
      <w:bookmarkStart w:id="41" w:name="_Toc99385415"/>
      <w:r w:rsidRPr="009867C1">
        <w:t>Thesis outline</w:t>
      </w:r>
      <w:bookmarkEnd w:id="41"/>
    </w:p>
    <w:p w14:paraId="77910119" w14:textId="4C8C7F40" w:rsidR="008832BF" w:rsidRPr="009867C1" w:rsidRDefault="008832BF" w:rsidP="008832BF">
      <w:pPr>
        <w:ind w:firstLine="720"/>
      </w:pPr>
      <w:r w:rsidRPr="009867C1">
        <w:t xml:space="preserve">Chapter two </w:t>
      </w:r>
      <w:r w:rsidR="001D1BB5" w:rsidRPr="009867C1">
        <w:t xml:space="preserve">asks ‘what are the effects of salmon inputs on soil chemistry’, and </w:t>
      </w:r>
      <w:r w:rsidRPr="009867C1">
        <w:t xml:space="preserve">is intended to set the stage for the biotic investigations in remainder of the thesis. I measured a suite of chemical characteristics, including pH, </w:t>
      </w:r>
      <w:r w:rsidR="00A309D5">
        <w:t>exchangeable</w:t>
      </w:r>
      <w:r w:rsidRPr="009867C1">
        <w:t xml:space="preserve"> cations, metals, and nitrogen concentrations as well as ergosterol as a measure of fungal biomass. It contains both regional and above/below waterfall data, and serves to provide a baseline for understanding the soil chemistry of these hypermaritime forests and to place salmon nutrient additions in context. It extends the limited treatment that soil chemistry has received in the literature, particularly for non-nitrogenous elements, and is to </w:t>
      </w:r>
      <w:r w:rsidR="00312BF4" w:rsidRPr="009867C1">
        <w:t>my</w:t>
      </w:r>
      <w:r w:rsidRPr="009867C1">
        <w:t xml:space="preserve"> knowledge the most comprehensive analysis of salmon-forest soil chemistry to date. </w:t>
      </w:r>
    </w:p>
    <w:p w14:paraId="10E41372" w14:textId="6303E3A5" w:rsidR="008832BF" w:rsidRPr="009867C1" w:rsidRDefault="008832BF" w:rsidP="008832BF">
      <w:pPr>
        <w:ind w:firstLine="720"/>
      </w:pPr>
      <w:r w:rsidRPr="009867C1">
        <w:t xml:space="preserve">Chapter three </w:t>
      </w:r>
      <w:r w:rsidR="001D1BB5" w:rsidRPr="009867C1">
        <w:t>asks ‘how do salmon inputs affect mushroom sporocarps’, and uses these data to make inferences on</w:t>
      </w:r>
      <w:r w:rsidRPr="009867C1">
        <w:t xml:space="preserve"> forest nitrogen metabolism. It adds measures of %N, </w:t>
      </w:r>
      <w:r w:rsidRPr="009867C1">
        <w:rPr>
          <w:vertAlign w:val="superscript"/>
        </w:rPr>
        <w:t>15</w:t>
      </w:r>
      <w:r w:rsidRPr="009867C1">
        <w:t xml:space="preserve">N, %C, and </w:t>
      </w:r>
      <w:r w:rsidRPr="009867C1">
        <w:rPr>
          <w:vertAlign w:val="superscript"/>
        </w:rPr>
        <w:t>13</w:t>
      </w:r>
      <w:r w:rsidRPr="009867C1">
        <w:t xml:space="preserve">C of mushroom sporocarp, forest floor, and organic soil layers to data previously collected on riparian vegetation at these sites </w:t>
      </w:r>
      <w:r w:rsidRPr="009867C1">
        <w:fldChar w:fldCharType="begin"/>
      </w:r>
      <w:r w:rsidR="00AC0205">
        <w:instrText xml:space="preserve"> ADDIN ZOTERO_ITEM CSL_CITATION {"citationID":"gxdzCmOT","properties":{"formattedCitation":"(Hocking &amp; Reynolds, 2011)","plainCitation":"(Hocking &amp; Reynolds, 2011)","noteIndex":0},"citationItems":[{"id":550,"uris":["http://zotero.org/users/2189142/items/JR362H46"],"itemData":{"id":550,"type":"article-journal","abstract":"The study of natural gradients in nutrient subsidies between ecosystems allows for predictions of how changes in one system can affect biodiversity in another. We performed a large-scale empirical test of the role of Pacific salmon (Oncorhynchus spp.) in structuring riparian plant communities. A comparison of 50 watersheds in the remote Great Bear Rainforest of British Columbia’s central coast in Canada shows that salmon influence nutrient loading to plants, shifting plant communities toward nutrient-rich species, which in turn decreases plant diversity. These effects are mediated by interactions between salmon density and the physical characteristics of watersheds. Predicting how salmon affect terrestrial ecosystems is central to conservation plans that aim to better integrate ecosystem values into resource management.","container-title":"Science","DOI":"10.1126/science.1201079","ISSN":"0036-8075, 1095-9203","issue":"6024","journalAbbreviation":"Science","language":"en","note":"PMID: 21442794","page":"1609-1612","source":"www.sciencemag.org.ezproxy.library.ubc.ca","title":"Impacts of Salmon on Riparian Plant Diversity","volume":"331","author":[{"family":"Hocking","given":"Morgan D."},{"family":"Reynolds","given":"John D."}],"issued":{"date-parts":[["2011",3,25]]},"citation-key":"hocking_2011"}}],"schema":"https://github.com/citation-style-language/schema/raw/master/csl-citation.json"} </w:instrText>
      </w:r>
      <w:r w:rsidRPr="009867C1">
        <w:fldChar w:fldCharType="separate"/>
      </w:r>
      <w:r w:rsidR="0042141C" w:rsidRPr="009867C1">
        <w:t>(Hocking &amp; Reynolds, 2011)</w:t>
      </w:r>
      <w:r w:rsidRPr="009867C1">
        <w:fldChar w:fldCharType="end"/>
      </w:r>
      <w:r w:rsidRPr="009867C1">
        <w:t xml:space="preserve">, and leverages differences in </w:t>
      </w:r>
      <w:r w:rsidRPr="009867C1">
        <w:rPr>
          <w:vertAlign w:val="superscript"/>
        </w:rPr>
        <w:t>15</w:t>
      </w:r>
      <w:r w:rsidRPr="009867C1">
        <w:t xml:space="preserve">N between these compartments to make inferences regarding nitrogen stocks and flows between soil, fungi, and riparian plants. </w:t>
      </w:r>
    </w:p>
    <w:p w14:paraId="18CABD88" w14:textId="576B2C8C" w:rsidR="008832BF" w:rsidRPr="009867C1" w:rsidRDefault="008832BF" w:rsidP="008832BF">
      <w:pPr>
        <w:ind w:firstLine="720"/>
      </w:pPr>
      <w:r w:rsidRPr="009867C1">
        <w:t xml:space="preserve">Chapter four </w:t>
      </w:r>
      <w:r w:rsidR="001D1BB5" w:rsidRPr="009867C1">
        <w:t xml:space="preserve">asks ‘what is the effect of MDN on soil fungal communities’, and </w:t>
      </w:r>
      <w:r w:rsidRPr="009867C1">
        <w:t xml:space="preserve">uses </w:t>
      </w:r>
      <w:r w:rsidR="0080794D" w:rsidRPr="009867C1">
        <w:t xml:space="preserve">next-generation </w:t>
      </w:r>
      <w:r w:rsidRPr="009867C1">
        <w:t xml:space="preserve">environmental sequencing on the same samples as </w:t>
      </w:r>
      <w:r w:rsidR="003D0FB1">
        <w:t>C</w:t>
      </w:r>
      <w:r w:rsidRPr="009867C1">
        <w:t>hapter 2</w:t>
      </w:r>
      <w:r w:rsidR="0080794D" w:rsidRPr="009867C1">
        <w:t xml:space="preserve"> to </w:t>
      </w:r>
      <w:r w:rsidR="003D0FB1">
        <w:t>quantify variation</w:t>
      </w:r>
      <w:r w:rsidRPr="009867C1">
        <w:t xml:space="preserve"> in fungal diversity and community composition along salmon density gradients. This complements the </w:t>
      </w:r>
      <w:r w:rsidR="00A309D5">
        <w:t xml:space="preserve">stable </w:t>
      </w:r>
      <w:r w:rsidRPr="009867C1">
        <w:t>isotop</w:t>
      </w:r>
      <w:r w:rsidR="00A309D5">
        <w:t>e</w:t>
      </w:r>
      <w:r w:rsidRPr="009867C1">
        <w:t xml:space="preserve"> analysis in chapter 3, and adds a ‘</w:t>
      </w:r>
      <w:r w:rsidR="0080794D" w:rsidRPr="009867C1">
        <w:t>community</w:t>
      </w:r>
      <w:r w:rsidRPr="009867C1">
        <w:t xml:space="preserve">-level’ analysis that </w:t>
      </w:r>
      <w:r w:rsidR="009D0D3E">
        <w:t>heretofore</w:t>
      </w:r>
      <w:r w:rsidRPr="009867C1">
        <w:t xml:space="preserve"> </w:t>
      </w:r>
      <w:r w:rsidR="009D0D3E">
        <w:t xml:space="preserve">has been rare in </w:t>
      </w:r>
      <w:r w:rsidRPr="009867C1">
        <w:t xml:space="preserve">the literature. </w:t>
      </w:r>
    </w:p>
    <w:p w14:paraId="34D5B7F7" w14:textId="55291557" w:rsidR="008832BF" w:rsidRPr="009867C1" w:rsidRDefault="008832BF" w:rsidP="008832BF">
      <w:pPr>
        <w:ind w:firstLine="720"/>
      </w:pPr>
      <w:r w:rsidRPr="009867C1">
        <w:t>Chapter five</w:t>
      </w:r>
      <w:r w:rsidR="0080794D" w:rsidRPr="009867C1">
        <w:t xml:space="preserve"> asks ‘what is the effect of MDN on soil bacterial communities’, and</w:t>
      </w:r>
      <w:r w:rsidRPr="009867C1">
        <w:t xml:space="preserve"> follows similar methods as chapter 4</w:t>
      </w:r>
      <w:r w:rsidR="0080794D" w:rsidRPr="009867C1">
        <w:t>.</w:t>
      </w:r>
    </w:p>
    <w:p w14:paraId="05FF42FE" w14:textId="77777777" w:rsidR="008832BF" w:rsidRPr="009867C1" w:rsidRDefault="008832BF" w:rsidP="008832BF">
      <w:pPr>
        <w:ind w:firstLine="720"/>
      </w:pPr>
      <w:r w:rsidRPr="009867C1">
        <w:t>Chapter six is an experimental manipulation at a single site and uses stable isotope tracers in a ‘fake salmon addition’ experiment to trace nitrogen uptake in riparian plants. It uses a fungicide treatment to test if fungi play a role in ammonium uptake.</w:t>
      </w:r>
    </w:p>
    <w:p w14:paraId="2CB9CFF5" w14:textId="77777777" w:rsidR="008832BF" w:rsidRPr="009867C1" w:rsidRDefault="008832BF" w:rsidP="009D0D3E">
      <w:pPr>
        <w:ind w:firstLine="720"/>
        <w:sectPr w:rsidR="008832BF" w:rsidRPr="009867C1" w:rsidSect="00D40B8F">
          <w:pgSz w:w="12240" w:h="15840"/>
          <w:pgMar w:top="1440" w:right="1440" w:bottom="1440" w:left="1440" w:header="708" w:footer="708" w:gutter="0"/>
          <w:pgNumType w:start="1"/>
          <w:cols w:space="708"/>
          <w:docGrid w:linePitch="360"/>
        </w:sectPr>
      </w:pPr>
      <w:r w:rsidRPr="009867C1">
        <w:t>Finally, Chapter 7 summarizes the thesis and its main findings, places it in the context of current understanding in the literature, and makes suggestions for future research.</w:t>
      </w:r>
    </w:p>
    <w:p w14:paraId="2C7915A1" w14:textId="3C3F94A9" w:rsidR="00F15F80" w:rsidRPr="009867C1" w:rsidRDefault="008832BF" w:rsidP="008832BF">
      <w:pPr>
        <w:pStyle w:val="Heading3"/>
      </w:pPr>
      <w:bookmarkStart w:id="42" w:name="_Toc74946934"/>
      <w:bookmarkStart w:id="43" w:name="_Toc99385416"/>
      <w:r w:rsidRPr="009867C1">
        <w:t>Tables and Figures</w:t>
      </w:r>
      <w:bookmarkEnd w:id="42"/>
      <w:bookmarkEnd w:id="43"/>
    </w:p>
    <w:p w14:paraId="48BE9EA6" w14:textId="3893FFAF" w:rsidR="00B673D4" w:rsidRPr="009867C1" w:rsidRDefault="00B673D4" w:rsidP="00B673D4">
      <w:pPr>
        <w:pStyle w:val="Caption"/>
        <w:keepNext/>
        <w:rPr>
          <w:vanish/>
          <w:specVanish/>
        </w:rPr>
      </w:pPr>
      <w:bookmarkStart w:id="44" w:name="_Ref76300766"/>
      <w:r w:rsidRPr="009867C1">
        <w:t xml:space="preserve">Table </w:t>
      </w:r>
      <w:r w:rsidR="008C26C1">
        <w:fldChar w:fldCharType="begin"/>
      </w:r>
      <w:r w:rsidR="008C26C1">
        <w:instrText xml:space="preserve"> STYLEREF 2 \s </w:instrText>
      </w:r>
      <w:r w:rsidR="008C26C1">
        <w:fldChar w:fldCharType="separate"/>
      </w:r>
      <w:r w:rsidR="000667DB">
        <w:rPr>
          <w:noProof/>
        </w:rPr>
        <w:t>1</w:t>
      </w:r>
      <w:r w:rsidR="008C26C1">
        <w:fldChar w:fldCharType="end"/>
      </w:r>
      <w:r w:rsidR="008C26C1">
        <w:noBreakHyphen/>
      </w:r>
      <w:r w:rsidR="008C26C1">
        <w:fldChar w:fldCharType="begin"/>
      </w:r>
      <w:r w:rsidR="008C26C1">
        <w:instrText xml:space="preserve"> SEQ Table \* ARABIC \s 2 </w:instrText>
      </w:r>
      <w:r w:rsidR="008C26C1">
        <w:fldChar w:fldCharType="separate"/>
      </w:r>
      <w:r w:rsidR="000667DB">
        <w:rPr>
          <w:noProof/>
        </w:rPr>
        <w:t>1</w:t>
      </w:r>
      <w:r w:rsidR="008C26C1">
        <w:fldChar w:fldCharType="end"/>
      </w:r>
      <w:bookmarkEnd w:id="44"/>
      <w:r w:rsidRPr="009867C1">
        <w:t xml:space="preserve">: </w:t>
      </w:r>
      <w:bookmarkStart w:id="45" w:name="_Toc74949403"/>
      <w:r w:rsidRPr="009867C1">
        <w:t>Published studies on the effects of salmon on soil.</w:t>
      </w:r>
      <w:bookmarkEnd w:id="45"/>
      <w:r w:rsidRPr="009867C1">
        <w:t xml:space="preserve"> </w:t>
      </w:r>
    </w:p>
    <w:p w14:paraId="13D7CC0F" w14:textId="0A8ED725" w:rsidR="008832BF" w:rsidRPr="009867C1" w:rsidRDefault="00B673D4" w:rsidP="00D3174B">
      <w:pPr>
        <w:pStyle w:val="Caption"/>
        <w:keepNext/>
      </w:pPr>
      <w:r w:rsidRPr="009867C1">
        <w:t xml:space="preserve"> Green indicates positive correlation with MDN; orange no change; and red negative correlations</w:t>
      </w:r>
      <w:r w:rsidR="00912C36">
        <w:t>; pink indicates no data</w:t>
      </w:r>
      <w:r w:rsidRPr="009867C1">
        <w:t>. Where relevant, “FF” refers to forest floor, “O” refers to organic soil layers and “M” to mineral soil layer.</w:t>
      </w:r>
      <w:r w:rsidR="008832BF" w:rsidRPr="009867C1">
        <w:rPr>
          <w:noProof/>
        </w:rPr>
        <w:drawing>
          <wp:inline distT="0" distB="0" distL="0" distR="0" wp14:anchorId="2220D6D6" wp14:editId="728CA6BD">
            <wp:extent cx="7263991" cy="463359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7284730" cy="4646824"/>
                    </a:xfrm>
                    <a:prstGeom prst="rect">
                      <a:avLst/>
                    </a:prstGeom>
                  </pic:spPr>
                </pic:pic>
              </a:graphicData>
            </a:graphic>
          </wp:inline>
        </w:drawing>
      </w:r>
    </w:p>
    <w:p w14:paraId="32A07B95" w14:textId="38DBAC37" w:rsidR="00DA0873" w:rsidRPr="009867C1" w:rsidRDefault="00DA0873" w:rsidP="00DA0873">
      <w:pPr>
        <w:pStyle w:val="Caption"/>
      </w:pPr>
      <w:r w:rsidRPr="009867C1">
        <w:t>Table 1-1 (cont):</w:t>
      </w:r>
    </w:p>
    <w:p w14:paraId="58BC119F" w14:textId="77777777" w:rsidR="008832BF" w:rsidRPr="009867C1" w:rsidRDefault="008832BF" w:rsidP="008832BF">
      <w:pPr>
        <w:pStyle w:val="Caption"/>
        <w:keepNext/>
      </w:pPr>
      <w:bookmarkStart w:id="46" w:name="_Ref68864473"/>
      <w:r w:rsidRPr="009867C1">
        <w:rPr>
          <w:noProof/>
        </w:rPr>
        <w:drawing>
          <wp:inline distT="0" distB="0" distL="0" distR="0" wp14:anchorId="56706994" wp14:editId="318F41E3">
            <wp:extent cx="8229600" cy="4399915"/>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8229600" cy="4399915"/>
                    </a:xfrm>
                    <a:prstGeom prst="rect">
                      <a:avLst/>
                    </a:prstGeom>
                  </pic:spPr>
                </pic:pic>
              </a:graphicData>
            </a:graphic>
          </wp:inline>
        </w:drawing>
      </w:r>
    </w:p>
    <w:p w14:paraId="41FCE71D" w14:textId="77777777" w:rsidR="008832BF" w:rsidRPr="009867C1" w:rsidRDefault="008832BF" w:rsidP="008832BF">
      <w:pPr>
        <w:sectPr w:rsidR="008832BF" w:rsidRPr="009867C1" w:rsidSect="00D40B8F">
          <w:pgSz w:w="15840" w:h="12240" w:orient="landscape" w:code="1"/>
          <w:pgMar w:top="1440" w:right="1440" w:bottom="1440" w:left="1440" w:header="709" w:footer="709" w:gutter="0"/>
          <w:cols w:space="708"/>
          <w:titlePg/>
          <w:docGrid w:linePitch="326"/>
        </w:sectPr>
      </w:pPr>
    </w:p>
    <w:p w14:paraId="1E3B2206" w14:textId="417DCDFE" w:rsidR="008832BF" w:rsidRPr="009867C1" w:rsidRDefault="008832BF" w:rsidP="008832BF">
      <w:pPr>
        <w:pStyle w:val="Caption"/>
        <w:keepNext/>
      </w:pPr>
      <w:bookmarkStart w:id="47" w:name="_Toc74949404"/>
      <w:r w:rsidRPr="009867C1">
        <w:t xml:space="preserve">Table </w:t>
      </w:r>
      <w:r w:rsidR="008C26C1">
        <w:fldChar w:fldCharType="begin"/>
      </w:r>
      <w:r w:rsidR="008C26C1">
        <w:instrText xml:space="preserve"> STYLEREF 2 \s </w:instrText>
      </w:r>
      <w:r w:rsidR="008C26C1">
        <w:fldChar w:fldCharType="separate"/>
      </w:r>
      <w:r w:rsidR="000667DB">
        <w:rPr>
          <w:noProof/>
        </w:rPr>
        <w:t>1</w:t>
      </w:r>
      <w:r w:rsidR="008C26C1">
        <w:fldChar w:fldCharType="end"/>
      </w:r>
      <w:r w:rsidR="008C26C1">
        <w:noBreakHyphen/>
      </w:r>
      <w:r w:rsidR="008C26C1">
        <w:fldChar w:fldCharType="begin"/>
      </w:r>
      <w:r w:rsidR="008C26C1">
        <w:instrText xml:space="preserve"> SEQ Table \* ARABIC \s 2 </w:instrText>
      </w:r>
      <w:r w:rsidR="008C26C1">
        <w:fldChar w:fldCharType="separate"/>
      </w:r>
      <w:r w:rsidR="000667DB">
        <w:rPr>
          <w:noProof/>
        </w:rPr>
        <w:t>2</w:t>
      </w:r>
      <w:r w:rsidR="008C26C1">
        <w:fldChar w:fldCharType="end"/>
      </w:r>
      <w:bookmarkEnd w:id="46"/>
      <w:r w:rsidRPr="009867C1">
        <w:t>: Outline of motivating questions, scientific hypotheses, response variables investigated, and predictions investigated in this thesis.</w:t>
      </w:r>
      <w:bookmarkEnd w:id="47"/>
    </w:p>
    <w:tbl>
      <w:tblPr>
        <w:tblStyle w:val="TableGrid"/>
        <w:tblW w:w="5000" w:type="pct"/>
        <w:tblLook w:val="04A0" w:firstRow="1" w:lastRow="0" w:firstColumn="1" w:lastColumn="0" w:noHBand="0" w:noVBand="1"/>
      </w:tblPr>
      <w:tblGrid>
        <w:gridCol w:w="1992"/>
        <w:gridCol w:w="1881"/>
        <w:gridCol w:w="1990"/>
        <w:gridCol w:w="2154"/>
        <w:gridCol w:w="1333"/>
      </w:tblGrid>
      <w:tr w:rsidR="008832BF" w:rsidRPr="009867C1" w14:paraId="395D7033" w14:textId="77777777" w:rsidTr="00204F8B">
        <w:tc>
          <w:tcPr>
            <w:tcW w:w="1065" w:type="pct"/>
          </w:tcPr>
          <w:p w14:paraId="5D94F587" w14:textId="77777777" w:rsidR="008832BF" w:rsidRPr="009867C1" w:rsidRDefault="008832BF" w:rsidP="00BA6F95">
            <w:r w:rsidRPr="009867C1">
              <w:t>Question</w:t>
            </w:r>
          </w:p>
        </w:tc>
        <w:tc>
          <w:tcPr>
            <w:tcW w:w="1006" w:type="pct"/>
          </w:tcPr>
          <w:p w14:paraId="369C2279" w14:textId="77777777" w:rsidR="008832BF" w:rsidRPr="009867C1" w:rsidRDefault="008832BF" w:rsidP="00BA6F95">
            <w:r w:rsidRPr="009867C1">
              <w:t>Hypothesis</w:t>
            </w:r>
          </w:p>
        </w:tc>
        <w:tc>
          <w:tcPr>
            <w:tcW w:w="1064" w:type="pct"/>
          </w:tcPr>
          <w:p w14:paraId="1EE33B0D" w14:textId="77777777" w:rsidR="008832BF" w:rsidRPr="009867C1" w:rsidRDefault="008832BF" w:rsidP="00BA6F95">
            <w:r w:rsidRPr="009867C1">
              <w:t>Response variable</w:t>
            </w:r>
          </w:p>
        </w:tc>
        <w:tc>
          <w:tcPr>
            <w:tcW w:w="1152" w:type="pct"/>
          </w:tcPr>
          <w:p w14:paraId="0E5D12F4" w14:textId="77777777" w:rsidR="008832BF" w:rsidRPr="009867C1" w:rsidRDefault="008832BF" w:rsidP="00BA6F95">
            <w:r w:rsidRPr="009867C1">
              <w:t>Prediction with SDN</w:t>
            </w:r>
          </w:p>
        </w:tc>
        <w:tc>
          <w:tcPr>
            <w:tcW w:w="713" w:type="pct"/>
          </w:tcPr>
          <w:p w14:paraId="23ACDB15" w14:textId="77777777" w:rsidR="008832BF" w:rsidRPr="009867C1" w:rsidRDefault="008832BF" w:rsidP="00BA6F95">
            <w:r w:rsidRPr="009867C1">
              <w:t>Chapter</w:t>
            </w:r>
          </w:p>
        </w:tc>
      </w:tr>
      <w:tr w:rsidR="008832BF" w:rsidRPr="009867C1" w14:paraId="315033B7" w14:textId="77777777" w:rsidTr="00204F8B">
        <w:tc>
          <w:tcPr>
            <w:tcW w:w="1065" w:type="pct"/>
          </w:tcPr>
          <w:p w14:paraId="50A61783" w14:textId="77777777" w:rsidR="008832BF" w:rsidRPr="009867C1" w:rsidRDefault="008832BF" w:rsidP="00BA6F95">
            <w:r w:rsidRPr="009867C1">
              <w:t>How does SDN change soil chemistry?</w:t>
            </w:r>
          </w:p>
        </w:tc>
        <w:tc>
          <w:tcPr>
            <w:tcW w:w="1006" w:type="pct"/>
          </w:tcPr>
          <w:p w14:paraId="0EE0E545" w14:textId="77777777" w:rsidR="008832BF" w:rsidRPr="009867C1" w:rsidRDefault="008832BF" w:rsidP="00BA6F95">
            <w:r w:rsidRPr="009867C1">
              <w:t>SDN increases soil fertility</w:t>
            </w:r>
          </w:p>
        </w:tc>
        <w:tc>
          <w:tcPr>
            <w:tcW w:w="1064" w:type="pct"/>
          </w:tcPr>
          <w:p w14:paraId="64C83206" w14:textId="77777777" w:rsidR="008832BF" w:rsidRPr="009867C1" w:rsidRDefault="008832BF" w:rsidP="00BA6F95">
            <w:r w:rsidRPr="009867C1">
              <w:t>Total N</w:t>
            </w:r>
          </w:p>
        </w:tc>
        <w:tc>
          <w:tcPr>
            <w:tcW w:w="1152" w:type="pct"/>
          </w:tcPr>
          <w:p w14:paraId="6F340597" w14:textId="77777777" w:rsidR="008832BF" w:rsidRPr="009867C1" w:rsidRDefault="008832BF" w:rsidP="00BA6F95">
            <w:r w:rsidRPr="009867C1">
              <w:t>Increases</w:t>
            </w:r>
          </w:p>
        </w:tc>
        <w:tc>
          <w:tcPr>
            <w:tcW w:w="713" w:type="pct"/>
          </w:tcPr>
          <w:p w14:paraId="39C763E6" w14:textId="77777777" w:rsidR="008832BF" w:rsidRPr="009867C1" w:rsidRDefault="008832BF" w:rsidP="00BA6F95">
            <w:r w:rsidRPr="009867C1">
              <w:t>2</w:t>
            </w:r>
          </w:p>
        </w:tc>
      </w:tr>
      <w:tr w:rsidR="008832BF" w:rsidRPr="009867C1" w14:paraId="0F28B993" w14:textId="77777777" w:rsidTr="00204F8B">
        <w:tc>
          <w:tcPr>
            <w:tcW w:w="1065" w:type="pct"/>
          </w:tcPr>
          <w:p w14:paraId="6CDCC00E" w14:textId="77777777" w:rsidR="008832BF" w:rsidRPr="009867C1" w:rsidRDefault="008832BF" w:rsidP="00BA6F95"/>
        </w:tc>
        <w:tc>
          <w:tcPr>
            <w:tcW w:w="1006" w:type="pct"/>
          </w:tcPr>
          <w:p w14:paraId="6BC0CB59" w14:textId="77777777" w:rsidR="008832BF" w:rsidRPr="009867C1" w:rsidRDefault="008832BF" w:rsidP="00BA6F95"/>
        </w:tc>
        <w:tc>
          <w:tcPr>
            <w:tcW w:w="1064" w:type="pct"/>
          </w:tcPr>
          <w:p w14:paraId="5E4615AF" w14:textId="77777777" w:rsidR="008832BF" w:rsidRPr="009867C1" w:rsidRDefault="008832BF" w:rsidP="00BA6F95">
            <w:r w:rsidRPr="009867C1">
              <w:t>NH</w:t>
            </w:r>
            <w:r w:rsidRPr="00204F8B">
              <w:rPr>
                <w:vertAlign w:val="subscript"/>
              </w:rPr>
              <w:t>4</w:t>
            </w:r>
          </w:p>
        </w:tc>
        <w:tc>
          <w:tcPr>
            <w:tcW w:w="1152" w:type="pct"/>
          </w:tcPr>
          <w:p w14:paraId="41BABA42" w14:textId="77777777" w:rsidR="008832BF" w:rsidRPr="009867C1" w:rsidRDefault="008832BF" w:rsidP="00BA6F95">
            <w:r w:rsidRPr="009867C1">
              <w:t>Increases</w:t>
            </w:r>
          </w:p>
        </w:tc>
        <w:tc>
          <w:tcPr>
            <w:tcW w:w="713" w:type="pct"/>
          </w:tcPr>
          <w:p w14:paraId="33884E18" w14:textId="77777777" w:rsidR="008832BF" w:rsidRPr="009867C1" w:rsidRDefault="008832BF" w:rsidP="00BA6F95">
            <w:r w:rsidRPr="009867C1">
              <w:t>2</w:t>
            </w:r>
          </w:p>
        </w:tc>
      </w:tr>
      <w:tr w:rsidR="008832BF" w:rsidRPr="009867C1" w14:paraId="47DA8F44" w14:textId="77777777" w:rsidTr="00204F8B">
        <w:tc>
          <w:tcPr>
            <w:tcW w:w="1065" w:type="pct"/>
          </w:tcPr>
          <w:p w14:paraId="2864017D" w14:textId="77777777" w:rsidR="008832BF" w:rsidRPr="009867C1" w:rsidRDefault="008832BF" w:rsidP="00BA6F95"/>
        </w:tc>
        <w:tc>
          <w:tcPr>
            <w:tcW w:w="1006" w:type="pct"/>
          </w:tcPr>
          <w:p w14:paraId="1F99DE05" w14:textId="77777777" w:rsidR="008832BF" w:rsidRPr="009867C1" w:rsidRDefault="008832BF" w:rsidP="00BA6F95"/>
        </w:tc>
        <w:tc>
          <w:tcPr>
            <w:tcW w:w="1064" w:type="pct"/>
          </w:tcPr>
          <w:p w14:paraId="6CE735D6" w14:textId="77777777" w:rsidR="008832BF" w:rsidRPr="009867C1" w:rsidRDefault="008832BF" w:rsidP="00BA6F95">
            <w:r w:rsidRPr="009867C1">
              <w:t>NO</w:t>
            </w:r>
            <w:r w:rsidRPr="00204F8B">
              <w:rPr>
                <w:vertAlign w:val="subscript"/>
              </w:rPr>
              <w:t>3</w:t>
            </w:r>
          </w:p>
        </w:tc>
        <w:tc>
          <w:tcPr>
            <w:tcW w:w="1152" w:type="pct"/>
          </w:tcPr>
          <w:p w14:paraId="7D0952A4" w14:textId="77777777" w:rsidR="008832BF" w:rsidRPr="009867C1" w:rsidRDefault="008832BF" w:rsidP="00BA6F95">
            <w:r w:rsidRPr="009867C1">
              <w:t>Increases</w:t>
            </w:r>
          </w:p>
        </w:tc>
        <w:tc>
          <w:tcPr>
            <w:tcW w:w="713" w:type="pct"/>
          </w:tcPr>
          <w:p w14:paraId="69B4602D" w14:textId="77777777" w:rsidR="008832BF" w:rsidRPr="009867C1" w:rsidRDefault="008832BF" w:rsidP="00BA6F95">
            <w:r w:rsidRPr="009867C1">
              <w:t>2</w:t>
            </w:r>
          </w:p>
        </w:tc>
      </w:tr>
      <w:tr w:rsidR="008832BF" w:rsidRPr="009867C1" w14:paraId="77B6F481" w14:textId="77777777" w:rsidTr="00204F8B">
        <w:tc>
          <w:tcPr>
            <w:tcW w:w="1065" w:type="pct"/>
          </w:tcPr>
          <w:p w14:paraId="26B6F347" w14:textId="77777777" w:rsidR="008832BF" w:rsidRPr="009867C1" w:rsidRDefault="008832BF" w:rsidP="00BA6F95"/>
        </w:tc>
        <w:tc>
          <w:tcPr>
            <w:tcW w:w="1006" w:type="pct"/>
          </w:tcPr>
          <w:p w14:paraId="539FC0E2" w14:textId="77777777" w:rsidR="008832BF" w:rsidRPr="009867C1" w:rsidRDefault="008832BF" w:rsidP="00BA6F95"/>
        </w:tc>
        <w:tc>
          <w:tcPr>
            <w:tcW w:w="1064" w:type="pct"/>
          </w:tcPr>
          <w:p w14:paraId="32B792FE" w14:textId="77777777" w:rsidR="008832BF" w:rsidRPr="009867C1" w:rsidRDefault="008832BF" w:rsidP="00BA6F95">
            <w:r w:rsidRPr="009867C1">
              <w:t>P</w:t>
            </w:r>
          </w:p>
        </w:tc>
        <w:tc>
          <w:tcPr>
            <w:tcW w:w="1152" w:type="pct"/>
          </w:tcPr>
          <w:p w14:paraId="478EDB89" w14:textId="77777777" w:rsidR="008832BF" w:rsidRPr="009867C1" w:rsidRDefault="008832BF" w:rsidP="00BA6F95">
            <w:r w:rsidRPr="009867C1">
              <w:t>Increases</w:t>
            </w:r>
          </w:p>
        </w:tc>
        <w:tc>
          <w:tcPr>
            <w:tcW w:w="713" w:type="pct"/>
          </w:tcPr>
          <w:p w14:paraId="4E88F8A0" w14:textId="77777777" w:rsidR="008832BF" w:rsidRPr="009867C1" w:rsidRDefault="008832BF" w:rsidP="00BA6F95">
            <w:r w:rsidRPr="009867C1">
              <w:t>2</w:t>
            </w:r>
          </w:p>
        </w:tc>
      </w:tr>
      <w:tr w:rsidR="008832BF" w:rsidRPr="009867C1" w14:paraId="36F954FA" w14:textId="77777777" w:rsidTr="00204F8B">
        <w:tc>
          <w:tcPr>
            <w:tcW w:w="1065" w:type="pct"/>
          </w:tcPr>
          <w:p w14:paraId="40CEE5A9" w14:textId="77777777" w:rsidR="008832BF" w:rsidRPr="009867C1" w:rsidRDefault="008832BF" w:rsidP="00BA6F95"/>
        </w:tc>
        <w:tc>
          <w:tcPr>
            <w:tcW w:w="1006" w:type="pct"/>
          </w:tcPr>
          <w:p w14:paraId="5C4D5457" w14:textId="77777777" w:rsidR="008832BF" w:rsidRPr="009867C1" w:rsidRDefault="008832BF" w:rsidP="00BA6F95"/>
        </w:tc>
        <w:tc>
          <w:tcPr>
            <w:tcW w:w="1064" w:type="pct"/>
          </w:tcPr>
          <w:p w14:paraId="1DA9868B" w14:textId="77777777" w:rsidR="008832BF" w:rsidRPr="009867C1" w:rsidRDefault="008832BF" w:rsidP="00BA6F95">
            <w:r w:rsidRPr="009867C1">
              <w:t>C</w:t>
            </w:r>
          </w:p>
        </w:tc>
        <w:tc>
          <w:tcPr>
            <w:tcW w:w="1152" w:type="pct"/>
          </w:tcPr>
          <w:p w14:paraId="0B9B3C6B" w14:textId="77777777" w:rsidR="008832BF" w:rsidRPr="009867C1" w:rsidRDefault="008832BF" w:rsidP="00BA6F95">
            <w:r w:rsidRPr="009867C1">
              <w:t>Increases</w:t>
            </w:r>
          </w:p>
        </w:tc>
        <w:tc>
          <w:tcPr>
            <w:tcW w:w="713" w:type="pct"/>
          </w:tcPr>
          <w:p w14:paraId="5D699801" w14:textId="77777777" w:rsidR="008832BF" w:rsidRPr="009867C1" w:rsidRDefault="008832BF" w:rsidP="00BA6F95">
            <w:r w:rsidRPr="009867C1">
              <w:t>2</w:t>
            </w:r>
          </w:p>
        </w:tc>
      </w:tr>
      <w:tr w:rsidR="008832BF" w:rsidRPr="009867C1" w14:paraId="49F800A3" w14:textId="77777777" w:rsidTr="00204F8B">
        <w:tc>
          <w:tcPr>
            <w:tcW w:w="1065" w:type="pct"/>
          </w:tcPr>
          <w:p w14:paraId="163DC2E7" w14:textId="77777777" w:rsidR="008832BF" w:rsidRPr="009867C1" w:rsidRDefault="008832BF" w:rsidP="00BA6F95"/>
        </w:tc>
        <w:tc>
          <w:tcPr>
            <w:tcW w:w="1006" w:type="pct"/>
          </w:tcPr>
          <w:p w14:paraId="5A6AE7B7" w14:textId="77777777" w:rsidR="008832BF" w:rsidRPr="009867C1" w:rsidRDefault="008832BF" w:rsidP="00BA6F95"/>
        </w:tc>
        <w:tc>
          <w:tcPr>
            <w:tcW w:w="1064" w:type="pct"/>
          </w:tcPr>
          <w:p w14:paraId="5248427A" w14:textId="77777777" w:rsidR="008832BF" w:rsidRPr="009867C1" w:rsidRDefault="008832BF" w:rsidP="00BA6F95">
            <w:r w:rsidRPr="009867C1">
              <w:t>K</w:t>
            </w:r>
          </w:p>
        </w:tc>
        <w:tc>
          <w:tcPr>
            <w:tcW w:w="1152" w:type="pct"/>
          </w:tcPr>
          <w:p w14:paraId="392B2AD9" w14:textId="77777777" w:rsidR="008832BF" w:rsidRPr="009867C1" w:rsidRDefault="008832BF" w:rsidP="00BA6F95">
            <w:r w:rsidRPr="009867C1">
              <w:t>Increases</w:t>
            </w:r>
          </w:p>
        </w:tc>
        <w:tc>
          <w:tcPr>
            <w:tcW w:w="713" w:type="pct"/>
          </w:tcPr>
          <w:p w14:paraId="48178938" w14:textId="77777777" w:rsidR="008832BF" w:rsidRPr="009867C1" w:rsidRDefault="008832BF" w:rsidP="00BA6F95">
            <w:r w:rsidRPr="009867C1">
              <w:t>2</w:t>
            </w:r>
          </w:p>
        </w:tc>
      </w:tr>
      <w:tr w:rsidR="008832BF" w:rsidRPr="009867C1" w14:paraId="2A4DE275" w14:textId="77777777" w:rsidTr="00204F8B">
        <w:tc>
          <w:tcPr>
            <w:tcW w:w="1065" w:type="pct"/>
          </w:tcPr>
          <w:p w14:paraId="4A3D3825" w14:textId="77777777" w:rsidR="008832BF" w:rsidRPr="009867C1" w:rsidRDefault="008832BF" w:rsidP="00BA6F95"/>
        </w:tc>
        <w:tc>
          <w:tcPr>
            <w:tcW w:w="1006" w:type="pct"/>
          </w:tcPr>
          <w:p w14:paraId="299FAF7F" w14:textId="77777777" w:rsidR="008832BF" w:rsidRPr="009867C1" w:rsidRDefault="008832BF" w:rsidP="00BA6F95"/>
        </w:tc>
        <w:tc>
          <w:tcPr>
            <w:tcW w:w="1064" w:type="pct"/>
          </w:tcPr>
          <w:p w14:paraId="6E1C5C9F" w14:textId="77777777" w:rsidR="008832BF" w:rsidRPr="009867C1" w:rsidRDefault="008832BF" w:rsidP="00BA6F95">
            <w:r w:rsidRPr="009867C1">
              <w:t>S</w:t>
            </w:r>
          </w:p>
        </w:tc>
        <w:tc>
          <w:tcPr>
            <w:tcW w:w="1152" w:type="pct"/>
          </w:tcPr>
          <w:p w14:paraId="511A3686" w14:textId="77777777" w:rsidR="008832BF" w:rsidRPr="009867C1" w:rsidRDefault="008832BF" w:rsidP="00BA6F95">
            <w:r w:rsidRPr="009867C1">
              <w:t>Increases</w:t>
            </w:r>
          </w:p>
        </w:tc>
        <w:tc>
          <w:tcPr>
            <w:tcW w:w="713" w:type="pct"/>
          </w:tcPr>
          <w:p w14:paraId="75AA88C5" w14:textId="77777777" w:rsidR="008832BF" w:rsidRPr="009867C1" w:rsidRDefault="008832BF" w:rsidP="00BA6F95">
            <w:r w:rsidRPr="009867C1">
              <w:t>2</w:t>
            </w:r>
          </w:p>
        </w:tc>
      </w:tr>
      <w:tr w:rsidR="008832BF" w:rsidRPr="009867C1" w14:paraId="08BAF92A" w14:textId="77777777" w:rsidTr="00204F8B">
        <w:tc>
          <w:tcPr>
            <w:tcW w:w="1065" w:type="pct"/>
          </w:tcPr>
          <w:p w14:paraId="08F563C5" w14:textId="77777777" w:rsidR="008832BF" w:rsidRPr="009867C1" w:rsidRDefault="008832BF" w:rsidP="00BA6F95"/>
        </w:tc>
        <w:tc>
          <w:tcPr>
            <w:tcW w:w="1006" w:type="pct"/>
          </w:tcPr>
          <w:p w14:paraId="4901380F" w14:textId="77777777" w:rsidR="008832BF" w:rsidRPr="009867C1" w:rsidRDefault="008832BF" w:rsidP="00BA6F95"/>
        </w:tc>
        <w:tc>
          <w:tcPr>
            <w:tcW w:w="1064" w:type="pct"/>
          </w:tcPr>
          <w:p w14:paraId="4ED079D4" w14:textId="77777777" w:rsidR="008832BF" w:rsidRPr="009867C1" w:rsidRDefault="008832BF" w:rsidP="00BA6F95">
            <w:r w:rsidRPr="009867C1">
              <w:t>Ca</w:t>
            </w:r>
          </w:p>
        </w:tc>
        <w:tc>
          <w:tcPr>
            <w:tcW w:w="1152" w:type="pct"/>
          </w:tcPr>
          <w:p w14:paraId="2EDEA6D0" w14:textId="77777777" w:rsidR="008832BF" w:rsidRPr="009867C1" w:rsidRDefault="008832BF" w:rsidP="00BA6F95">
            <w:r w:rsidRPr="009867C1">
              <w:t>Increases</w:t>
            </w:r>
          </w:p>
        </w:tc>
        <w:tc>
          <w:tcPr>
            <w:tcW w:w="713" w:type="pct"/>
          </w:tcPr>
          <w:p w14:paraId="2EB24983" w14:textId="77777777" w:rsidR="008832BF" w:rsidRPr="009867C1" w:rsidRDefault="008832BF" w:rsidP="00BA6F95">
            <w:r w:rsidRPr="009867C1">
              <w:t>2</w:t>
            </w:r>
          </w:p>
        </w:tc>
      </w:tr>
      <w:tr w:rsidR="008832BF" w:rsidRPr="009867C1" w14:paraId="22FF0DE6" w14:textId="77777777" w:rsidTr="00204F8B">
        <w:tc>
          <w:tcPr>
            <w:tcW w:w="1065" w:type="pct"/>
          </w:tcPr>
          <w:p w14:paraId="07F57A2E" w14:textId="77777777" w:rsidR="008832BF" w:rsidRPr="009867C1" w:rsidRDefault="008832BF" w:rsidP="00BA6F95"/>
        </w:tc>
        <w:tc>
          <w:tcPr>
            <w:tcW w:w="1006" w:type="pct"/>
          </w:tcPr>
          <w:p w14:paraId="6F5CF9D8" w14:textId="77777777" w:rsidR="008832BF" w:rsidRPr="009867C1" w:rsidRDefault="008832BF" w:rsidP="00BA6F95"/>
        </w:tc>
        <w:tc>
          <w:tcPr>
            <w:tcW w:w="1064" w:type="pct"/>
          </w:tcPr>
          <w:p w14:paraId="5CE9CA14" w14:textId="77777777" w:rsidR="008832BF" w:rsidRPr="009867C1" w:rsidRDefault="008832BF" w:rsidP="00BA6F95">
            <w:r w:rsidRPr="009867C1">
              <w:t xml:space="preserve">Mg </w:t>
            </w:r>
          </w:p>
        </w:tc>
        <w:tc>
          <w:tcPr>
            <w:tcW w:w="1152" w:type="pct"/>
          </w:tcPr>
          <w:p w14:paraId="0FFA4FCA" w14:textId="77777777" w:rsidR="008832BF" w:rsidRPr="009867C1" w:rsidRDefault="008832BF" w:rsidP="00BA6F95">
            <w:r w:rsidRPr="009867C1">
              <w:t>Increases</w:t>
            </w:r>
          </w:p>
        </w:tc>
        <w:tc>
          <w:tcPr>
            <w:tcW w:w="713" w:type="pct"/>
          </w:tcPr>
          <w:p w14:paraId="10D3A8CA" w14:textId="77777777" w:rsidR="008832BF" w:rsidRPr="009867C1" w:rsidRDefault="008832BF" w:rsidP="00BA6F95">
            <w:r w:rsidRPr="009867C1">
              <w:t>2</w:t>
            </w:r>
          </w:p>
        </w:tc>
      </w:tr>
      <w:tr w:rsidR="008832BF" w:rsidRPr="009867C1" w14:paraId="0E6057EE" w14:textId="77777777" w:rsidTr="00204F8B">
        <w:tc>
          <w:tcPr>
            <w:tcW w:w="1065" w:type="pct"/>
          </w:tcPr>
          <w:p w14:paraId="2DC4F318" w14:textId="77777777" w:rsidR="008832BF" w:rsidRPr="009867C1" w:rsidRDefault="008832BF" w:rsidP="00BA6F95"/>
        </w:tc>
        <w:tc>
          <w:tcPr>
            <w:tcW w:w="1006" w:type="pct"/>
          </w:tcPr>
          <w:p w14:paraId="77AE9E95" w14:textId="77777777" w:rsidR="008832BF" w:rsidRPr="009867C1" w:rsidRDefault="008832BF" w:rsidP="00BA6F95"/>
        </w:tc>
        <w:tc>
          <w:tcPr>
            <w:tcW w:w="1064" w:type="pct"/>
          </w:tcPr>
          <w:p w14:paraId="0106A32F" w14:textId="77777777" w:rsidR="008832BF" w:rsidRPr="009867C1" w:rsidRDefault="008832BF" w:rsidP="00BA6F95">
            <w:r w:rsidRPr="009867C1">
              <w:t>Na</w:t>
            </w:r>
          </w:p>
        </w:tc>
        <w:tc>
          <w:tcPr>
            <w:tcW w:w="1152" w:type="pct"/>
          </w:tcPr>
          <w:p w14:paraId="76AEE8A9" w14:textId="77777777" w:rsidR="008832BF" w:rsidRPr="009867C1" w:rsidRDefault="008832BF" w:rsidP="00BA6F95">
            <w:r w:rsidRPr="009867C1">
              <w:t>No hypothesis</w:t>
            </w:r>
          </w:p>
        </w:tc>
        <w:tc>
          <w:tcPr>
            <w:tcW w:w="713" w:type="pct"/>
          </w:tcPr>
          <w:p w14:paraId="2F208A24" w14:textId="77777777" w:rsidR="008832BF" w:rsidRPr="009867C1" w:rsidRDefault="008832BF" w:rsidP="00BA6F95">
            <w:r w:rsidRPr="009867C1">
              <w:t>2</w:t>
            </w:r>
          </w:p>
        </w:tc>
      </w:tr>
      <w:tr w:rsidR="008832BF" w:rsidRPr="009867C1" w14:paraId="4E585CA9" w14:textId="77777777" w:rsidTr="00204F8B">
        <w:tc>
          <w:tcPr>
            <w:tcW w:w="1065" w:type="pct"/>
          </w:tcPr>
          <w:p w14:paraId="2119F890" w14:textId="77777777" w:rsidR="008832BF" w:rsidRPr="009867C1" w:rsidRDefault="008832BF" w:rsidP="00BA6F95"/>
        </w:tc>
        <w:tc>
          <w:tcPr>
            <w:tcW w:w="1006" w:type="pct"/>
          </w:tcPr>
          <w:p w14:paraId="7C618181" w14:textId="77777777" w:rsidR="008832BF" w:rsidRPr="009867C1" w:rsidRDefault="008832BF" w:rsidP="00BA6F95"/>
        </w:tc>
        <w:tc>
          <w:tcPr>
            <w:tcW w:w="1064" w:type="pct"/>
          </w:tcPr>
          <w:p w14:paraId="43B21FDC" w14:textId="77777777" w:rsidR="008832BF" w:rsidRPr="009867C1" w:rsidRDefault="008832BF" w:rsidP="00BA6F95">
            <w:r w:rsidRPr="009867C1">
              <w:t>CEC</w:t>
            </w:r>
          </w:p>
        </w:tc>
        <w:tc>
          <w:tcPr>
            <w:tcW w:w="1152" w:type="pct"/>
          </w:tcPr>
          <w:p w14:paraId="237D0747" w14:textId="77777777" w:rsidR="008832BF" w:rsidRPr="009867C1" w:rsidRDefault="008832BF" w:rsidP="00BA6F95">
            <w:r w:rsidRPr="009867C1">
              <w:t>Increases</w:t>
            </w:r>
          </w:p>
        </w:tc>
        <w:tc>
          <w:tcPr>
            <w:tcW w:w="713" w:type="pct"/>
          </w:tcPr>
          <w:p w14:paraId="0E8CE5CB" w14:textId="77777777" w:rsidR="008832BF" w:rsidRPr="009867C1" w:rsidRDefault="008832BF" w:rsidP="00BA6F95">
            <w:r w:rsidRPr="009867C1">
              <w:t>2</w:t>
            </w:r>
          </w:p>
        </w:tc>
      </w:tr>
      <w:tr w:rsidR="008832BF" w:rsidRPr="009867C1" w14:paraId="7CB2C773" w14:textId="77777777" w:rsidTr="00204F8B">
        <w:tc>
          <w:tcPr>
            <w:tcW w:w="1065" w:type="pct"/>
          </w:tcPr>
          <w:p w14:paraId="2EE796EA" w14:textId="77777777" w:rsidR="008832BF" w:rsidRPr="009867C1" w:rsidRDefault="008832BF" w:rsidP="00BA6F95"/>
        </w:tc>
        <w:tc>
          <w:tcPr>
            <w:tcW w:w="1006" w:type="pct"/>
          </w:tcPr>
          <w:p w14:paraId="0595487B" w14:textId="77777777" w:rsidR="008832BF" w:rsidRPr="009867C1" w:rsidRDefault="008832BF" w:rsidP="00BA6F95"/>
        </w:tc>
        <w:tc>
          <w:tcPr>
            <w:tcW w:w="1064" w:type="pct"/>
          </w:tcPr>
          <w:p w14:paraId="4B0A565F" w14:textId="77777777" w:rsidR="008832BF" w:rsidRPr="009867C1" w:rsidRDefault="008832BF" w:rsidP="00BA6F95">
            <w:r w:rsidRPr="009867C1">
              <w:t>Mn</w:t>
            </w:r>
          </w:p>
        </w:tc>
        <w:tc>
          <w:tcPr>
            <w:tcW w:w="1152" w:type="pct"/>
          </w:tcPr>
          <w:p w14:paraId="66A0637C" w14:textId="77777777" w:rsidR="008832BF" w:rsidRPr="009867C1" w:rsidRDefault="008832BF" w:rsidP="00BA6F95">
            <w:r w:rsidRPr="009867C1">
              <w:t>Increases</w:t>
            </w:r>
          </w:p>
        </w:tc>
        <w:tc>
          <w:tcPr>
            <w:tcW w:w="713" w:type="pct"/>
          </w:tcPr>
          <w:p w14:paraId="3215783F" w14:textId="77777777" w:rsidR="008832BF" w:rsidRPr="009867C1" w:rsidRDefault="008832BF" w:rsidP="00BA6F95">
            <w:r w:rsidRPr="009867C1">
              <w:t>2</w:t>
            </w:r>
          </w:p>
        </w:tc>
      </w:tr>
      <w:tr w:rsidR="008832BF" w:rsidRPr="009867C1" w14:paraId="4336D2F2" w14:textId="77777777" w:rsidTr="00204F8B">
        <w:tc>
          <w:tcPr>
            <w:tcW w:w="1065" w:type="pct"/>
          </w:tcPr>
          <w:p w14:paraId="719A7A50" w14:textId="77777777" w:rsidR="008832BF" w:rsidRPr="009867C1" w:rsidRDefault="008832BF" w:rsidP="00BA6F95"/>
        </w:tc>
        <w:tc>
          <w:tcPr>
            <w:tcW w:w="1006" w:type="pct"/>
          </w:tcPr>
          <w:p w14:paraId="4E5352DC" w14:textId="77777777" w:rsidR="008832BF" w:rsidRPr="009867C1" w:rsidRDefault="008832BF" w:rsidP="00BA6F95"/>
        </w:tc>
        <w:tc>
          <w:tcPr>
            <w:tcW w:w="1064" w:type="pct"/>
          </w:tcPr>
          <w:p w14:paraId="6D9EAF3D" w14:textId="77777777" w:rsidR="008832BF" w:rsidRPr="009867C1" w:rsidRDefault="008832BF" w:rsidP="00BA6F95">
            <w:r w:rsidRPr="009867C1">
              <w:t>Al</w:t>
            </w:r>
          </w:p>
        </w:tc>
        <w:tc>
          <w:tcPr>
            <w:tcW w:w="1152" w:type="pct"/>
          </w:tcPr>
          <w:p w14:paraId="7BB5B7E2" w14:textId="77777777" w:rsidR="008832BF" w:rsidRPr="009867C1" w:rsidRDefault="008832BF" w:rsidP="00BA6F95">
            <w:r w:rsidRPr="009867C1">
              <w:t>Decrease</w:t>
            </w:r>
          </w:p>
        </w:tc>
        <w:tc>
          <w:tcPr>
            <w:tcW w:w="713" w:type="pct"/>
          </w:tcPr>
          <w:p w14:paraId="055C5BB5" w14:textId="77777777" w:rsidR="008832BF" w:rsidRPr="009867C1" w:rsidRDefault="008832BF" w:rsidP="00BA6F95">
            <w:r w:rsidRPr="009867C1">
              <w:t>2</w:t>
            </w:r>
          </w:p>
        </w:tc>
      </w:tr>
      <w:tr w:rsidR="008832BF" w:rsidRPr="009867C1" w14:paraId="4C1CF07F" w14:textId="77777777" w:rsidTr="00204F8B">
        <w:tc>
          <w:tcPr>
            <w:tcW w:w="1065" w:type="pct"/>
          </w:tcPr>
          <w:p w14:paraId="29475D7D" w14:textId="77777777" w:rsidR="008832BF" w:rsidRPr="009867C1" w:rsidRDefault="008832BF" w:rsidP="00BA6F95"/>
        </w:tc>
        <w:tc>
          <w:tcPr>
            <w:tcW w:w="1006" w:type="pct"/>
          </w:tcPr>
          <w:p w14:paraId="31DA5A81" w14:textId="77777777" w:rsidR="008832BF" w:rsidRPr="009867C1" w:rsidRDefault="008832BF" w:rsidP="00BA6F95"/>
        </w:tc>
        <w:tc>
          <w:tcPr>
            <w:tcW w:w="1064" w:type="pct"/>
          </w:tcPr>
          <w:p w14:paraId="20CED564" w14:textId="77777777" w:rsidR="008832BF" w:rsidRPr="009867C1" w:rsidRDefault="008832BF" w:rsidP="00BA6F95">
            <w:r w:rsidRPr="009867C1">
              <w:t>Fe</w:t>
            </w:r>
          </w:p>
        </w:tc>
        <w:tc>
          <w:tcPr>
            <w:tcW w:w="1152" w:type="pct"/>
          </w:tcPr>
          <w:p w14:paraId="39DD1E97" w14:textId="52D254D8" w:rsidR="008832BF" w:rsidRPr="009867C1" w:rsidRDefault="00A23673" w:rsidP="00BA6F95">
            <w:r w:rsidRPr="009867C1">
              <w:t>Increase or decrease</w:t>
            </w:r>
          </w:p>
        </w:tc>
        <w:tc>
          <w:tcPr>
            <w:tcW w:w="713" w:type="pct"/>
          </w:tcPr>
          <w:p w14:paraId="72EB68B6" w14:textId="77777777" w:rsidR="008832BF" w:rsidRPr="009867C1" w:rsidRDefault="008832BF" w:rsidP="00BA6F95">
            <w:r w:rsidRPr="009867C1">
              <w:t>2</w:t>
            </w:r>
          </w:p>
        </w:tc>
      </w:tr>
      <w:tr w:rsidR="008832BF" w:rsidRPr="009867C1" w14:paraId="6D0F536D" w14:textId="77777777" w:rsidTr="00204F8B">
        <w:tc>
          <w:tcPr>
            <w:tcW w:w="1065" w:type="pct"/>
          </w:tcPr>
          <w:p w14:paraId="0D432503" w14:textId="77777777" w:rsidR="008832BF" w:rsidRPr="009867C1" w:rsidRDefault="008832BF" w:rsidP="00BA6F95"/>
        </w:tc>
        <w:tc>
          <w:tcPr>
            <w:tcW w:w="1006" w:type="pct"/>
          </w:tcPr>
          <w:p w14:paraId="63EF94A4" w14:textId="77777777" w:rsidR="008832BF" w:rsidRPr="009867C1" w:rsidRDefault="008832BF" w:rsidP="00BA6F95"/>
        </w:tc>
        <w:tc>
          <w:tcPr>
            <w:tcW w:w="1064" w:type="pct"/>
          </w:tcPr>
          <w:p w14:paraId="79264C63" w14:textId="77777777" w:rsidR="008832BF" w:rsidRPr="009867C1" w:rsidRDefault="008832BF" w:rsidP="00BA6F95">
            <w:r w:rsidRPr="009867C1">
              <w:t>Cu</w:t>
            </w:r>
          </w:p>
        </w:tc>
        <w:tc>
          <w:tcPr>
            <w:tcW w:w="1152" w:type="pct"/>
          </w:tcPr>
          <w:p w14:paraId="4D4D78FC" w14:textId="77777777" w:rsidR="008832BF" w:rsidRPr="009867C1" w:rsidRDefault="008832BF" w:rsidP="00BA6F95">
            <w:r w:rsidRPr="009867C1">
              <w:t>No hypothesis</w:t>
            </w:r>
          </w:p>
        </w:tc>
        <w:tc>
          <w:tcPr>
            <w:tcW w:w="713" w:type="pct"/>
          </w:tcPr>
          <w:p w14:paraId="302741AD" w14:textId="77777777" w:rsidR="008832BF" w:rsidRPr="009867C1" w:rsidRDefault="008832BF" w:rsidP="00BA6F95">
            <w:r w:rsidRPr="009867C1">
              <w:t>2</w:t>
            </w:r>
          </w:p>
        </w:tc>
      </w:tr>
      <w:tr w:rsidR="008832BF" w:rsidRPr="009867C1" w14:paraId="5268D651" w14:textId="77777777" w:rsidTr="00204F8B">
        <w:tc>
          <w:tcPr>
            <w:tcW w:w="1065" w:type="pct"/>
          </w:tcPr>
          <w:p w14:paraId="000064AD" w14:textId="77777777" w:rsidR="008832BF" w:rsidRPr="009867C1" w:rsidRDefault="008832BF" w:rsidP="00BA6F95"/>
        </w:tc>
        <w:tc>
          <w:tcPr>
            <w:tcW w:w="1006" w:type="pct"/>
          </w:tcPr>
          <w:p w14:paraId="2A22FFDD" w14:textId="77777777" w:rsidR="008832BF" w:rsidRPr="009867C1" w:rsidRDefault="008832BF" w:rsidP="00BA6F95"/>
        </w:tc>
        <w:tc>
          <w:tcPr>
            <w:tcW w:w="1064" w:type="pct"/>
          </w:tcPr>
          <w:p w14:paraId="1BBE91E9" w14:textId="77777777" w:rsidR="008832BF" w:rsidRPr="009867C1" w:rsidRDefault="008832BF" w:rsidP="00BA6F95">
            <w:r w:rsidRPr="009867C1">
              <w:t>Zn</w:t>
            </w:r>
          </w:p>
        </w:tc>
        <w:tc>
          <w:tcPr>
            <w:tcW w:w="1152" w:type="pct"/>
          </w:tcPr>
          <w:p w14:paraId="78F069FD" w14:textId="77777777" w:rsidR="008832BF" w:rsidRPr="009867C1" w:rsidRDefault="008832BF" w:rsidP="00BA6F95">
            <w:r w:rsidRPr="009867C1">
              <w:t>No hypothesis</w:t>
            </w:r>
          </w:p>
        </w:tc>
        <w:tc>
          <w:tcPr>
            <w:tcW w:w="713" w:type="pct"/>
          </w:tcPr>
          <w:p w14:paraId="3A1F00A7" w14:textId="77777777" w:rsidR="008832BF" w:rsidRPr="009867C1" w:rsidRDefault="008832BF" w:rsidP="00BA6F95">
            <w:r w:rsidRPr="009867C1">
              <w:t>2</w:t>
            </w:r>
          </w:p>
        </w:tc>
      </w:tr>
      <w:tr w:rsidR="008832BF" w:rsidRPr="009867C1" w14:paraId="46FE7FEF" w14:textId="77777777" w:rsidTr="00204F8B">
        <w:tc>
          <w:tcPr>
            <w:tcW w:w="1065" w:type="pct"/>
          </w:tcPr>
          <w:p w14:paraId="1AF2BE7D" w14:textId="77777777" w:rsidR="008832BF" w:rsidRPr="009867C1" w:rsidRDefault="008832BF" w:rsidP="00BA6F95"/>
        </w:tc>
        <w:tc>
          <w:tcPr>
            <w:tcW w:w="1006" w:type="pct"/>
          </w:tcPr>
          <w:p w14:paraId="6D828BD0" w14:textId="77777777" w:rsidR="008832BF" w:rsidRPr="009867C1" w:rsidRDefault="008832BF" w:rsidP="00BA6F95"/>
        </w:tc>
        <w:tc>
          <w:tcPr>
            <w:tcW w:w="1064" w:type="pct"/>
          </w:tcPr>
          <w:p w14:paraId="443A9290" w14:textId="77777777" w:rsidR="008832BF" w:rsidRPr="009867C1" w:rsidRDefault="008832BF" w:rsidP="00BA6F95">
            <w:r w:rsidRPr="009867C1">
              <w:t>B</w:t>
            </w:r>
          </w:p>
        </w:tc>
        <w:tc>
          <w:tcPr>
            <w:tcW w:w="1152" w:type="pct"/>
          </w:tcPr>
          <w:p w14:paraId="16157CA6" w14:textId="77777777" w:rsidR="008832BF" w:rsidRPr="009867C1" w:rsidRDefault="008832BF" w:rsidP="00BA6F95">
            <w:r w:rsidRPr="009867C1">
              <w:t>No hypothesis</w:t>
            </w:r>
          </w:p>
        </w:tc>
        <w:tc>
          <w:tcPr>
            <w:tcW w:w="713" w:type="pct"/>
          </w:tcPr>
          <w:p w14:paraId="515BBA14" w14:textId="77777777" w:rsidR="008832BF" w:rsidRPr="009867C1" w:rsidRDefault="008832BF" w:rsidP="00BA6F95">
            <w:r w:rsidRPr="009867C1">
              <w:t>2</w:t>
            </w:r>
          </w:p>
        </w:tc>
      </w:tr>
      <w:tr w:rsidR="008832BF" w:rsidRPr="009867C1" w14:paraId="234118D3" w14:textId="77777777" w:rsidTr="00204F8B">
        <w:tc>
          <w:tcPr>
            <w:tcW w:w="1065" w:type="pct"/>
          </w:tcPr>
          <w:p w14:paraId="2C7ED888" w14:textId="77777777" w:rsidR="008832BF" w:rsidRPr="009867C1" w:rsidRDefault="008832BF" w:rsidP="00BA6F95"/>
        </w:tc>
        <w:tc>
          <w:tcPr>
            <w:tcW w:w="1006" w:type="pct"/>
          </w:tcPr>
          <w:p w14:paraId="194591AE" w14:textId="77777777" w:rsidR="008832BF" w:rsidRPr="009867C1" w:rsidRDefault="008832BF" w:rsidP="00BA6F95">
            <w:r w:rsidRPr="009867C1">
              <w:t>SDN acidifies soil</w:t>
            </w:r>
          </w:p>
        </w:tc>
        <w:tc>
          <w:tcPr>
            <w:tcW w:w="1064" w:type="pct"/>
          </w:tcPr>
          <w:p w14:paraId="1CF28380" w14:textId="77777777" w:rsidR="008832BF" w:rsidRPr="009867C1" w:rsidRDefault="008832BF" w:rsidP="00BA6F95">
            <w:r w:rsidRPr="009867C1">
              <w:t>pH</w:t>
            </w:r>
          </w:p>
        </w:tc>
        <w:tc>
          <w:tcPr>
            <w:tcW w:w="1152" w:type="pct"/>
          </w:tcPr>
          <w:p w14:paraId="1EAB7D53" w14:textId="32E7E622" w:rsidR="008832BF" w:rsidRPr="009867C1" w:rsidRDefault="00A23673" w:rsidP="00BA6F95">
            <w:r w:rsidRPr="009867C1">
              <w:t>Increases or decreases</w:t>
            </w:r>
          </w:p>
        </w:tc>
        <w:tc>
          <w:tcPr>
            <w:tcW w:w="713" w:type="pct"/>
          </w:tcPr>
          <w:p w14:paraId="33F398FE" w14:textId="77777777" w:rsidR="008832BF" w:rsidRPr="009867C1" w:rsidRDefault="008832BF" w:rsidP="00BA6F95">
            <w:r w:rsidRPr="009867C1">
              <w:t>2</w:t>
            </w:r>
          </w:p>
        </w:tc>
      </w:tr>
      <w:tr w:rsidR="008832BF" w:rsidRPr="009867C1" w14:paraId="3FEADA13" w14:textId="77777777" w:rsidTr="00204F8B">
        <w:tc>
          <w:tcPr>
            <w:tcW w:w="1065" w:type="pct"/>
          </w:tcPr>
          <w:p w14:paraId="1362143F" w14:textId="77777777" w:rsidR="008832BF" w:rsidRPr="009867C1" w:rsidRDefault="008832BF" w:rsidP="00BA6F95">
            <w:r w:rsidRPr="009867C1">
              <w:t>Does SDN change soil metabolism?</w:t>
            </w:r>
          </w:p>
        </w:tc>
        <w:tc>
          <w:tcPr>
            <w:tcW w:w="1006" w:type="pct"/>
          </w:tcPr>
          <w:p w14:paraId="34AF7434" w14:textId="77777777" w:rsidR="008832BF" w:rsidRPr="009867C1" w:rsidRDefault="008832BF" w:rsidP="00BA6F95">
            <w:r w:rsidRPr="009867C1">
              <w:t xml:space="preserve">Fungi take up SDN </w:t>
            </w:r>
          </w:p>
        </w:tc>
        <w:tc>
          <w:tcPr>
            <w:tcW w:w="1064" w:type="pct"/>
          </w:tcPr>
          <w:p w14:paraId="4A09B506" w14:textId="77777777" w:rsidR="008832BF" w:rsidRPr="009867C1" w:rsidRDefault="008832BF" w:rsidP="00BA6F95">
            <w:r w:rsidRPr="009867C1">
              <w:t xml:space="preserve">Sporocarp </w:t>
            </w:r>
            <w:r w:rsidRPr="009867C1">
              <w:rPr>
                <w:vertAlign w:val="superscript"/>
              </w:rPr>
              <w:t>15</w:t>
            </w:r>
            <w:r w:rsidRPr="009867C1">
              <w:t>N</w:t>
            </w:r>
          </w:p>
        </w:tc>
        <w:tc>
          <w:tcPr>
            <w:tcW w:w="1152" w:type="pct"/>
          </w:tcPr>
          <w:p w14:paraId="7172819E" w14:textId="77777777" w:rsidR="008832BF" w:rsidRPr="009867C1" w:rsidRDefault="008832BF" w:rsidP="00BA6F95">
            <w:r w:rsidRPr="009867C1">
              <w:t>Increases</w:t>
            </w:r>
          </w:p>
        </w:tc>
        <w:tc>
          <w:tcPr>
            <w:tcW w:w="713" w:type="pct"/>
          </w:tcPr>
          <w:p w14:paraId="50E36D74" w14:textId="77777777" w:rsidR="008832BF" w:rsidRPr="009867C1" w:rsidRDefault="008832BF" w:rsidP="00BA6F95">
            <w:r w:rsidRPr="009867C1">
              <w:t>3</w:t>
            </w:r>
          </w:p>
        </w:tc>
      </w:tr>
      <w:tr w:rsidR="008832BF" w:rsidRPr="009867C1" w14:paraId="12B7CF43" w14:textId="77777777" w:rsidTr="00204F8B">
        <w:tc>
          <w:tcPr>
            <w:tcW w:w="1065" w:type="pct"/>
          </w:tcPr>
          <w:p w14:paraId="2FBCEA10" w14:textId="77777777" w:rsidR="008832BF" w:rsidRPr="009867C1" w:rsidRDefault="008832BF" w:rsidP="00BA6F95"/>
        </w:tc>
        <w:tc>
          <w:tcPr>
            <w:tcW w:w="1006" w:type="pct"/>
          </w:tcPr>
          <w:p w14:paraId="7D6C3582" w14:textId="77777777" w:rsidR="008832BF" w:rsidRPr="009867C1" w:rsidRDefault="008832BF" w:rsidP="00BA6F95">
            <w:r w:rsidRPr="009867C1">
              <w:t>Vegetation takes up SDN</w:t>
            </w:r>
          </w:p>
        </w:tc>
        <w:tc>
          <w:tcPr>
            <w:tcW w:w="1064" w:type="pct"/>
          </w:tcPr>
          <w:p w14:paraId="3B4DCA4B" w14:textId="77777777" w:rsidR="008832BF" w:rsidRPr="009867C1" w:rsidRDefault="008832BF" w:rsidP="00BA6F95">
            <w:r w:rsidRPr="009867C1">
              <w:t xml:space="preserve">Vegetation </w:t>
            </w:r>
            <w:r w:rsidRPr="009867C1">
              <w:rPr>
                <w:vertAlign w:val="superscript"/>
              </w:rPr>
              <w:t>15</w:t>
            </w:r>
            <w:r w:rsidRPr="009867C1">
              <w:t>N</w:t>
            </w:r>
          </w:p>
        </w:tc>
        <w:tc>
          <w:tcPr>
            <w:tcW w:w="1152" w:type="pct"/>
          </w:tcPr>
          <w:p w14:paraId="325661B5" w14:textId="77777777" w:rsidR="008832BF" w:rsidRPr="009867C1" w:rsidRDefault="008832BF" w:rsidP="00BA6F95">
            <w:r w:rsidRPr="009867C1">
              <w:t>Increases</w:t>
            </w:r>
          </w:p>
        </w:tc>
        <w:tc>
          <w:tcPr>
            <w:tcW w:w="713" w:type="pct"/>
          </w:tcPr>
          <w:p w14:paraId="36EF3B04" w14:textId="77777777" w:rsidR="008832BF" w:rsidRPr="009867C1" w:rsidRDefault="008832BF" w:rsidP="00BA6F95">
            <w:r w:rsidRPr="009867C1">
              <w:t>3</w:t>
            </w:r>
          </w:p>
        </w:tc>
      </w:tr>
      <w:tr w:rsidR="008832BF" w:rsidRPr="009867C1" w14:paraId="1E056A57" w14:textId="77777777" w:rsidTr="00204F8B">
        <w:tc>
          <w:tcPr>
            <w:tcW w:w="1065" w:type="pct"/>
          </w:tcPr>
          <w:p w14:paraId="309709C5" w14:textId="77777777" w:rsidR="008832BF" w:rsidRPr="009867C1" w:rsidRDefault="008832BF" w:rsidP="00BA6F95"/>
        </w:tc>
        <w:tc>
          <w:tcPr>
            <w:tcW w:w="1006" w:type="pct"/>
          </w:tcPr>
          <w:p w14:paraId="2D5E8889" w14:textId="2ECA9992" w:rsidR="008832BF" w:rsidRPr="009867C1" w:rsidRDefault="00A23673" w:rsidP="00BA6F95">
            <w:r w:rsidRPr="009867C1">
              <w:t>Soil takes up SDN</w:t>
            </w:r>
          </w:p>
        </w:tc>
        <w:tc>
          <w:tcPr>
            <w:tcW w:w="1064" w:type="pct"/>
          </w:tcPr>
          <w:p w14:paraId="1EA8AB91" w14:textId="77777777" w:rsidR="008832BF" w:rsidRPr="009867C1" w:rsidRDefault="008832BF" w:rsidP="00BA6F95">
            <w:r w:rsidRPr="009867C1">
              <w:t xml:space="preserve">Forest floor </w:t>
            </w:r>
            <w:r w:rsidRPr="009867C1">
              <w:rPr>
                <w:vertAlign w:val="superscript"/>
              </w:rPr>
              <w:t>15</w:t>
            </w:r>
            <w:r w:rsidRPr="009867C1">
              <w:t>N</w:t>
            </w:r>
          </w:p>
        </w:tc>
        <w:tc>
          <w:tcPr>
            <w:tcW w:w="1152" w:type="pct"/>
          </w:tcPr>
          <w:p w14:paraId="47CA8B34" w14:textId="77777777" w:rsidR="008832BF" w:rsidRPr="009867C1" w:rsidRDefault="008832BF" w:rsidP="00BA6F95">
            <w:r w:rsidRPr="009867C1">
              <w:t>Increases</w:t>
            </w:r>
          </w:p>
        </w:tc>
        <w:tc>
          <w:tcPr>
            <w:tcW w:w="713" w:type="pct"/>
          </w:tcPr>
          <w:p w14:paraId="404B2634" w14:textId="77777777" w:rsidR="008832BF" w:rsidRPr="009867C1" w:rsidRDefault="008832BF" w:rsidP="00BA6F95">
            <w:r w:rsidRPr="009867C1">
              <w:t>3</w:t>
            </w:r>
          </w:p>
        </w:tc>
      </w:tr>
      <w:tr w:rsidR="008832BF" w:rsidRPr="009867C1" w14:paraId="4DA61B35" w14:textId="77777777" w:rsidTr="00204F8B">
        <w:tc>
          <w:tcPr>
            <w:tcW w:w="1065" w:type="pct"/>
          </w:tcPr>
          <w:p w14:paraId="50CD5017" w14:textId="77777777" w:rsidR="008832BF" w:rsidRPr="009867C1" w:rsidRDefault="008832BF" w:rsidP="00BA6F95"/>
        </w:tc>
        <w:tc>
          <w:tcPr>
            <w:tcW w:w="1006" w:type="pct"/>
          </w:tcPr>
          <w:p w14:paraId="6F865CF1" w14:textId="6830AF86" w:rsidR="008832BF" w:rsidRPr="009867C1" w:rsidRDefault="008832BF" w:rsidP="00BA6F95"/>
        </w:tc>
        <w:tc>
          <w:tcPr>
            <w:tcW w:w="1064" w:type="pct"/>
          </w:tcPr>
          <w:p w14:paraId="10A87A8C" w14:textId="77777777" w:rsidR="008832BF" w:rsidRPr="009867C1" w:rsidRDefault="008832BF" w:rsidP="00BA6F95">
            <w:r w:rsidRPr="009867C1">
              <w:t xml:space="preserve">Organic soil </w:t>
            </w:r>
            <w:r w:rsidRPr="009867C1">
              <w:rPr>
                <w:vertAlign w:val="superscript"/>
              </w:rPr>
              <w:t>15</w:t>
            </w:r>
            <w:r w:rsidRPr="009867C1">
              <w:t>N</w:t>
            </w:r>
          </w:p>
        </w:tc>
        <w:tc>
          <w:tcPr>
            <w:tcW w:w="1152" w:type="pct"/>
          </w:tcPr>
          <w:p w14:paraId="2A71FD0A" w14:textId="77777777" w:rsidR="008832BF" w:rsidRPr="009867C1" w:rsidRDefault="008832BF" w:rsidP="00BA6F95">
            <w:r w:rsidRPr="009867C1">
              <w:t>Increases</w:t>
            </w:r>
          </w:p>
        </w:tc>
        <w:tc>
          <w:tcPr>
            <w:tcW w:w="713" w:type="pct"/>
          </w:tcPr>
          <w:p w14:paraId="72053A9A" w14:textId="77777777" w:rsidR="008832BF" w:rsidRPr="009867C1" w:rsidRDefault="008832BF" w:rsidP="00BA6F95">
            <w:r w:rsidRPr="009867C1">
              <w:t>3</w:t>
            </w:r>
          </w:p>
        </w:tc>
      </w:tr>
      <w:tr w:rsidR="008832BF" w:rsidRPr="009867C1" w14:paraId="70600E0D" w14:textId="77777777" w:rsidTr="00204F8B">
        <w:tc>
          <w:tcPr>
            <w:tcW w:w="1065" w:type="pct"/>
          </w:tcPr>
          <w:p w14:paraId="786EA46E" w14:textId="77777777" w:rsidR="008832BF" w:rsidRPr="009867C1" w:rsidRDefault="008832BF" w:rsidP="00BA6F95">
            <w:r w:rsidRPr="009867C1">
              <w:t>Do fungal communities react to SDN?</w:t>
            </w:r>
          </w:p>
        </w:tc>
        <w:tc>
          <w:tcPr>
            <w:tcW w:w="1006" w:type="pct"/>
          </w:tcPr>
          <w:p w14:paraId="47A70A8B" w14:textId="77777777" w:rsidR="008832BF" w:rsidRPr="009867C1" w:rsidRDefault="008832BF" w:rsidP="00BA6F95">
            <w:r w:rsidRPr="009867C1">
              <w:t>SDN increases fungal biomass</w:t>
            </w:r>
          </w:p>
        </w:tc>
        <w:tc>
          <w:tcPr>
            <w:tcW w:w="1064" w:type="pct"/>
          </w:tcPr>
          <w:p w14:paraId="6E4C56A0" w14:textId="77777777" w:rsidR="008832BF" w:rsidRPr="009867C1" w:rsidRDefault="008832BF" w:rsidP="00BA6F95">
            <w:r w:rsidRPr="009867C1">
              <w:t>Ergosterol</w:t>
            </w:r>
          </w:p>
        </w:tc>
        <w:tc>
          <w:tcPr>
            <w:tcW w:w="1152" w:type="pct"/>
          </w:tcPr>
          <w:p w14:paraId="01A43A0E" w14:textId="77777777" w:rsidR="008832BF" w:rsidRPr="009867C1" w:rsidRDefault="008832BF" w:rsidP="00BA6F95">
            <w:r w:rsidRPr="009867C1">
              <w:t>Increases</w:t>
            </w:r>
          </w:p>
        </w:tc>
        <w:tc>
          <w:tcPr>
            <w:tcW w:w="713" w:type="pct"/>
          </w:tcPr>
          <w:p w14:paraId="1453DD5E" w14:textId="77777777" w:rsidR="008832BF" w:rsidRPr="009867C1" w:rsidRDefault="008832BF" w:rsidP="00BA6F95">
            <w:r w:rsidRPr="009867C1">
              <w:t>2</w:t>
            </w:r>
          </w:p>
        </w:tc>
      </w:tr>
      <w:tr w:rsidR="008832BF" w:rsidRPr="009867C1" w14:paraId="60BB7676" w14:textId="77777777" w:rsidTr="00204F8B">
        <w:tc>
          <w:tcPr>
            <w:tcW w:w="1065" w:type="pct"/>
          </w:tcPr>
          <w:p w14:paraId="7E653C07" w14:textId="77777777" w:rsidR="008832BF" w:rsidRPr="009867C1" w:rsidRDefault="008832BF" w:rsidP="00BA6F95"/>
        </w:tc>
        <w:tc>
          <w:tcPr>
            <w:tcW w:w="1006" w:type="pct"/>
          </w:tcPr>
          <w:p w14:paraId="0CBCDD19" w14:textId="77777777" w:rsidR="008832BF" w:rsidRPr="009867C1" w:rsidRDefault="008832BF" w:rsidP="00BA6F95">
            <w:r w:rsidRPr="009867C1">
              <w:t xml:space="preserve">SDN increases mycorrhizal diversity </w:t>
            </w:r>
          </w:p>
        </w:tc>
        <w:tc>
          <w:tcPr>
            <w:tcW w:w="1064" w:type="pct"/>
          </w:tcPr>
          <w:p w14:paraId="447AAD2C" w14:textId="7C13A42F" w:rsidR="008832BF" w:rsidRPr="009867C1" w:rsidRDefault="008832BF" w:rsidP="00BA6F95">
            <w:r w:rsidRPr="009867C1">
              <w:t>Mycorrhiza</w:t>
            </w:r>
            <w:r w:rsidR="00A23673" w:rsidRPr="009867C1">
              <w:t>l</w:t>
            </w:r>
            <w:r w:rsidRPr="009867C1">
              <w:t xml:space="preserve"> NGS </w:t>
            </w:r>
            <w:r w:rsidR="00A23673" w:rsidRPr="009867C1">
              <w:t>diversity</w:t>
            </w:r>
          </w:p>
        </w:tc>
        <w:tc>
          <w:tcPr>
            <w:tcW w:w="1152" w:type="pct"/>
          </w:tcPr>
          <w:p w14:paraId="31524774" w14:textId="77777777" w:rsidR="008832BF" w:rsidRPr="009867C1" w:rsidRDefault="008832BF" w:rsidP="00BA6F95">
            <w:r w:rsidRPr="009867C1">
              <w:t>Increases</w:t>
            </w:r>
          </w:p>
        </w:tc>
        <w:tc>
          <w:tcPr>
            <w:tcW w:w="713" w:type="pct"/>
          </w:tcPr>
          <w:p w14:paraId="3C8BF825" w14:textId="77777777" w:rsidR="008832BF" w:rsidRPr="009867C1" w:rsidRDefault="008832BF" w:rsidP="00BA6F95">
            <w:r w:rsidRPr="009867C1">
              <w:t>4</w:t>
            </w:r>
          </w:p>
        </w:tc>
      </w:tr>
      <w:tr w:rsidR="00204F8B" w:rsidRPr="009867C1" w14:paraId="29F47639" w14:textId="77777777" w:rsidTr="00204F8B">
        <w:tc>
          <w:tcPr>
            <w:tcW w:w="1065" w:type="pct"/>
          </w:tcPr>
          <w:p w14:paraId="12BC709A" w14:textId="77777777" w:rsidR="00204F8B" w:rsidRPr="009867C1" w:rsidRDefault="00204F8B" w:rsidP="00204F8B"/>
        </w:tc>
        <w:tc>
          <w:tcPr>
            <w:tcW w:w="1006" w:type="pct"/>
          </w:tcPr>
          <w:p w14:paraId="62386E5A" w14:textId="77777777" w:rsidR="00204F8B" w:rsidRPr="009867C1" w:rsidRDefault="00204F8B" w:rsidP="00204F8B">
            <w:r w:rsidRPr="009867C1">
              <w:t>SDN decreases saprobe diversity</w:t>
            </w:r>
          </w:p>
        </w:tc>
        <w:tc>
          <w:tcPr>
            <w:tcW w:w="1064" w:type="pct"/>
          </w:tcPr>
          <w:p w14:paraId="29EE6B8E" w14:textId="4FA244D6" w:rsidR="00204F8B" w:rsidRPr="009867C1" w:rsidRDefault="00204F8B" w:rsidP="00204F8B">
            <w:r>
              <w:t>Saprobe</w:t>
            </w:r>
            <w:r w:rsidRPr="009867C1">
              <w:t xml:space="preserve"> NGS diversity</w:t>
            </w:r>
          </w:p>
        </w:tc>
        <w:tc>
          <w:tcPr>
            <w:tcW w:w="1152" w:type="pct"/>
          </w:tcPr>
          <w:p w14:paraId="3AA0FFE7" w14:textId="77777777" w:rsidR="00204F8B" w:rsidRPr="009867C1" w:rsidRDefault="00204F8B" w:rsidP="00204F8B">
            <w:r w:rsidRPr="009867C1">
              <w:t>Decreases</w:t>
            </w:r>
          </w:p>
        </w:tc>
        <w:tc>
          <w:tcPr>
            <w:tcW w:w="713" w:type="pct"/>
          </w:tcPr>
          <w:p w14:paraId="4D86082D" w14:textId="77777777" w:rsidR="00204F8B" w:rsidRPr="009867C1" w:rsidRDefault="00204F8B" w:rsidP="00204F8B">
            <w:r w:rsidRPr="009867C1">
              <w:t>4</w:t>
            </w:r>
          </w:p>
        </w:tc>
      </w:tr>
      <w:tr w:rsidR="00204F8B" w:rsidRPr="009867C1" w14:paraId="5402B877" w14:textId="77777777" w:rsidTr="00204F8B">
        <w:tc>
          <w:tcPr>
            <w:tcW w:w="1065" w:type="pct"/>
          </w:tcPr>
          <w:p w14:paraId="22683450" w14:textId="77777777" w:rsidR="00204F8B" w:rsidRPr="009867C1" w:rsidRDefault="00204F8B" w:rsidP="00204F8B"/>
        </w:tc>
        <w:tc>
          <w:tcPr>
            <w:tcW w:w="1006" w:type="pct"/>
          </w:tcPr>
          <w:p w14:paraId="12AB9F1B" w14:textId="77777777" w:rsidR="00204F8B" w:rsidRPr="009867C1" w:rsidRDefault="00204F8B" w:rsidP="00204F8B">
            <w:r w:rsidRPr="009867C1">
              <w:t>SDN changes community structure</w:t>
            </w:r>
          </w:p>
        </w:tc>
        <w:tc>
          <w:tcPr>
            <w:tcW w:w="1064" w:type="pct"/>
          </w:tcPr>
          <w:p w14:paraId="5D039191" w14:textId="1D6965D0" w:rsidR="00204F8B" w:rsidRPr="009867C1" w:rsidRDefault="00204F8B" w:rsidP="00204F8B">
            <w:r>
              <w:t>NGS reads</w:t>
            </w:r>
          </w:p>
        </w:tc>
        <w:tc>
          <w:tcPr>
            <w:tcW w:w="1152" w:type="pct"/>
          </w:tcPr>
          <w:p w14:paraId="6CF461CE" w14:textId="77777777" w:rsidR="00204F8B" w:rsidRPr="009867C1" w:rsidRDefault="00204F8B" w:rsidP="00204F8B">
            <w:r w:rsidRPr="009867C1">
              <w:t>Increased representation of nitrophiles</w:t>
            </w:r>
          </w:p>
        </w:tc>
        <w:tc>
          <w:tcPr>
            <w:tcW w:w="713" w:type="pct"/>
          </w:tcPr>
          <w:p w14:paraId="76591EE2" w14:textId="77777777" w:rsidR="00204F8B" w:rsidRPr="009867C1" w:rsidRDefault="00204F8B" w:rsidP="00204F8B">
            <w:r w:rsidRPr="009867C1">
              <w:t>4</w:t>
            </w:r>
          </w:p>
        </w:tc>
      </w:tr>
      <w:tr w:rsidR="00204F8B" w:rsidRPr="009867C1" w14:paraId="15BAFE1C" w14:textId="77777777" w:rsidTr="00204F8B">
        <w:tc>
          <w:tcPr>
            <w:tcW w:w="1065" w:type="pct"/>
          </w:tcPr>
          <w:p w14:paraId="076B8A85" w14:textId="77777777" w:rsidR="00204F8B" w:rsidRPr="009867C1" w:rsidRDefault="00204F8B" w:rsidP="00204F8B"/>
        </w:tc>
        <w:tc>
          <w:tcPr>
            <w:tcW w:w="1006" w:type="pct"/>
          </w:tcPr>
          <w:p w14:paraId="43ADC943" w14:textId="77777777" w:rsidR="00204F8B" w:rsidRPr="009867C1" w:rsidRDefault="00204F8B" w:rsidP="00204F8B"/>
        </w:tc>
        <w:tc>
          <w:tcPr>
            <w:tcW w:w="1064" w:type="pct"/>
          </w:tcPr>
          <w:p w14:paraId="7D0EEAF9" w14:textId="77777777" w:rsidR="00204F8B" w:rsidRPr="009867C1" w:rsidRDefault="00204F8B" w:rsidP="00204F8B">
            <w:r w:rsidRPr="009867C1">
              <w:t>Fungal NGS phylogenetic dispersion</w:t>
            </w:r>
          </w:p>
        </w:tc>
        <w:tc>
          <w:tcPr>
            <w:tcW w:w="1152" w:type="pct"/>
          </w:tcPr>
          <w:p w14:paraId="40595847" w14:textId="77777777" w:rsidR="00204F8B" w:rsidRPr="009867C1" w:rsidRDefault="00204F8B" w:rsidP="00204F8B">
            <w:r w:rsidRPr="009867C1">
              <w:t>Increases</w:t>
            </w:r>
          </w:p>
        </w:tc>
        <w:tc>
          <w:tcPr>
            <w:tcW w:w="713" w:type="pct"/>
          </w:tcPr>
          <w:p w14:paraId="3E9C8584" w14:textId="77777777" w:rsidR="00204F8B" w:rsidRPr="009867C1" w:rsidRDefault="00204F8B" w:rsidP="00204F8B">
            <w:r w:rsidRPr="009867C1">
              <w:t>4</w:t>
            </w:r>
          </w:p>
        </w:tc>
      </w:tr>
      <w:tr w:rsidR="00204F8B" w:rsidRPr="009867C1" w14:paraId="3AF481AD" w14:textId="77777777" w:rsidTr="00204F8B">
        <w:tc>
          <w:tcPr>
            <w:tcW w:w="1065" w:type="pct"/>
          </w:tcPr>
          <w:p w14:paraId="01F1BC73" w14:textId="4312B725" w:rsidR="00204F8B" w:rsidRPr="009867C1" w:rsidRDefault="00204F8B" w:rsidP="00204F8B">
            <w:r w:rsidRPr="009867C1">
              <w:t>Do bacterial communities react to SDN?</w:t>
            </w:r>
          </w:p>
        </w:tc>
        <w:tc>
          <w:tcPr>
            <w:tcW w:w="1006" w:type="pct"/>
          </w:tcPr>
          <w:p w14:paraId="31D74991" w14:textId="77777777" w:rsidR="00204F8B" w:rsidRPr="009867C1" w:rsidRDefault="00204F8B" w:rsidP="00204F8B">
            <w:r w:rsidRPr="009867C1">
              <w:t xml:space="preserve">SDN decreases bacterial diversity </w:t>
            </w:r>
          </w:p>
        </w:tc>
        <w:tc>
          <w:tcPr>
            <w:tcW w:w="1064" w:type="pct"/>
          </w:tcPr>
          <w:p w14:paraId="2B2E0596" w14:textId="43B1C6FB" w:rsidR="00204F8B" w:rsidRPr="009867C1" w:rsidRDefault="00204F8B" w:rsidP="00204F8B">
            <w:r w:rsidRPr="009867C1">
              <w:t>Bacterial NGS diversity</w:t>
            </w:r>
          </w:p>
        </w:tc>
        <w:tc>
          <w:tcPr>
            <w:tcW w:w="1152" w:type="pct"/>
          </w:tcPr>
          <w:p w14:paraId="1F992808" w14:textId="77777777" w:rsidR="00204F8B" w:rsidRPr="009867C1" w:rsidRDefault="00204F8B" w:rsidP="00204F8B">
            <w:r w:rsidRPr="009867C1">
              <w:t>Decreases</w:t>
            </w:r>
          </w:p>
        </w:tc>
        <w:tc>
          <w:tcPr>
            <w:tcW w:w="713" w:type="pct"/>
          </w:tcPr>
          <w:p w14:paraId="51A17AE5" w14:textId="77777777" w:rsidR="00204F8B" w:rsidRPr="009867C1" w:rsidRDefault="00204F8B" w:rsidP="00204F8B">
            <w:r w:rsidRPr="009867C1">
              <w:t>5</w:t>
            </w:r>
          </w:p>
        </w:tc>
      </w:tr>
      <w:tr w:rsidR="00204F8B" w:rsidRPr="009867C1" w14:paraId="3778479B" w14:textId="77777777" w:rsidTr="00204F8B">
        <w:tc>
          <w:tcPr>
            <w:tcW w:w="1065" w:type="pct"/>
          </w:tcPr>
          <w:p w14:paraId="511FA58F" w14:textId="77777777" w:rsidR="00204F8B" w:rsidRPr="009867C1" w:rsidRDefault="00204F8B" w:rsidP="00204F8B"/>
        </w:tc>
        <w:tc>
          <w:tcPr>
            <w:tcW w:w="1006" w:type="pct"/>
          </w:tcPr>
          <w:p w14:paraId="461F4560" w14:textId="77777777" w:rsidR="00204F8B" w:rsidRPr="009867C1" w:rsidRDefault="00204F8B" w:rsidP="00204F8B">
            <w:r w:rsidRPr="009867C1">
              <w:t>SDN changes community structure</w:t>
            </w:r>
          </w:p>
        </w:tc>
        <w:tc>
          <w:tcPr>
            <w:tcW w:w="1064" w:type="pct"/>
          </w:tcPr>
          <w:p w14:paraId="38B55954" w14:textId="22F65B1F" w:rsidR="00204F8B" w:rsidRPr="009867C1" w:rsidRDefault="00204F8B" w:rsidP="00204F8B">
            <w:r w:rsidRPr="009867C1">
              <w:t xml:space="preserve">Bacterial NGS </w:t>
            </w:r>
            <w:r>
              <w:t>community</w:t>
            </w:r>
          </w:p>
        </w:tc>
        <w:tc>
          <w:tcPr>
            <w:tcW w:w="1152" w:type="pct"/>
          </w:tcPr>
          <w:p w14:paraId="2030C31C" w14:textId="77777777" w:rsidR="00204F8B" w:rsidRPr="009867C1" w:rsidRDefault="00204F8B" w:rsidP="00204F8B">
            <w:r w:rsidRPr="009867C1">
              <w:t>Increased representation of nitrophiles</w:t>
            </w:r>
          </w:p>
        </w:tc>
        <w:tc>
          <w:tcPr>
            <w:tcW w:w="713" w:type="pct"/>
          </w:tcPr>
          <w:p w14:paraId="09B9C99D" w14:textId="77777777" w:rsidR="00204F8B" w:rsidRPr="009867C1" w:rsidRDefault="00204F8B" w:rsidP="00204F8B">
            <w:r w:rsidRPr="009867C1">
              <w:t>5</w:t>
            </w:r>
          </w:p>
        </w:tc>
      </w:tr>
      <w:tr w:rsidR="00204F8B" w:rsidRPr="009867C1" w14:paraId="19FBBCB9" w14:textId="77777777" w:rsidTr="00204F8B">
        <w:tc>
          <w:tcPr>
            <w:tcW w:w="1065" w:type="pct"/>
          </w:tcPr>
          <w:p w14:paraId="1C5FC84C" w14:textId="77777777" w:rsidR="00204F8B" w:rsidRPr="009867C1" w:rsidRDefault="00204F8B" w:rsidP="00204F8B"/>
        </w:tc>
        <w:tc>
          <w:tcPr>
            <w:tcW w:w="1006" w:type="pct"/>
          </w:tcPr>
          <w:p w14:paraId="2193CDEC" w14:textId="77777777" w:rsidR="00204F8B" w:rsidRPr="009867C1" w:rsidRDefault="00204F8B" w:rsidP="00204F8B"/>
        </w:tc>
        <w:tc>
          <w:tcPr>
            <w:tcW w:w="1064" w:type="pct"/>
          </w:tcPr>
          <w:p w14:paraId="3E4FA70F" w14:textId="77777777" w:rsidR="00204F8B" w:rsidRPr="009867C1" w:rsidRDefault="00204F8B" w:rsidP="00204F8B">
            <w:r w:rsidRPr="009867C1">
              <w:t>Bacterial NGS phylogenetic dispersion</w:t>
            </w:r>
          </w:p>
        </w:tc>
        <w:tc>
          <w:tcPr>
            <w:tcW w:w="1152" w:type="pct"/>
          </w:tcPr>
          <w:p w14:paraId="10C8B980" w14:textId="77777777" w:rsidR="00204F8B" w:rsidRPr="009867C1" w:rsidRDefault="00204F8B" w:rsidP="00204F8B">
            <w:r w:rsidRPr="009867C1">
              <w:t>Increases</w:t>
            </w:r>
          </w:p>
        </w:tc>
        <w:tc>
          <w:tcPr>
            <w:tcW w:w="713" w:type="pct"/>
          </w:tcPr>
          <w:p w14:paraId="7F812F2D" w14:textId="77777777" w:rsidR="00204F8B" w:rsidRPr="009867C1" w:rsidRDefault="00204F8B" w:rsidP="00204F8B">
            <w:r w:rsidRPr="009867C1">
              <w:t>5</w:t>
            </w:r>
          </w:p>
        </w:tc>
      </w:tr>
      <w:tr w:rsidR="00204F8B" w:rsidRPr="009867C1" w14:paraId="181210E0" w14:textId="77777777" w:rsidTr="00204F8B">
        <w:tc>
          <w:tcPr>
            <w:tcW w:w="1065" w:type="pct"/>
          </w:tcPr>
          <w:p w14:paraId="6983C3EB" w14:textId="77777777" w:rsidR="00204F8B" w:rsidRPr="009867C1" w:rsidRDefault="00204F8B" w:rsidP="00204F8B">
            <w:r w:rsidRPr="009867C1">
              <w:t>Do fungi promote uptake of SDN?</w:t>
            </w:r>
          </w:p>
        </w:tc>
        <w:tc>
          <w:tcPr>
            <w:tcW w:w="1006" w:type="pct"/>
          </w:tcPr>
          <w:p w14:paraId="7F000FD8" w14:textId="77777777" w:rsidR="00204F8B" w:rsidRPr="009867C1" w:rsidRDefault="00204F8B" w:rsidP="00204F8B">
            <w:r w:rsidRPr="009867C1">
              <w:t>Fungi aid plants in MDN uptake</w:t>
            </w:r>
          </w:p>
        </w:tc>
        <w:tc>
          <w:tcPr>
            <w:tcW w:w="1064" w:type="pct"/>
          </w:tcPr>
          <w:p w14:paraId="406CCCE0" w14:textId="77777777" w:rsidR="00204F8B" w:rsidRPr="009867C1" w:rsidRDefault="00204F8B" w:rsidP="00204F8B">
            <w:r w:rsidRPr="009867C1">
              <w:t>Addition experiment</w:t>
            </w:r>
          </w:p>
        </w:tc>
        <w:tc>
          <w:tcPr>
            <w:tcW w:w="1152" w:type="pct"/>
          </w:tcPr>
          <w:p w14:paraId="28FC8D82" w14:textId="01D8562C" w:rsidR="00204F8B" w:rsidRPr="009867C1" w:rsidRDefault="00204F8B" w:rsidP="00204F8B">
            <w:r w:rsidRPr="009867C1">
              <w:t>Uptake decreases w/ fungal inhibition</w:t>
            </w:r>
          </w:p>
        </w:tc>
        <w:tc>
          <w:tcPr>
            <w:tcW w:w="713" w:type="pct"/>
          </w:tcPr>
          <w:p w14:paraId="7BCD8FC9" w14:textId="77777777" w:rsidR="00204F8B" w:rsidRPr="009867C1" w:rsidRDefault="00204F8B" w:rsidP="00204F8B">
            <w:r w:rsidRPr="009867C1">
              <w:t>6</w:t>
            </w:r>
          </w:p>
        </w:tc>
      </w:tr>
    </w:tbl>
    <w:p w14:paraId="081E28C9" w14:textId="77777777" w:rsidR="008832BF" w:rsidRPr="009867C1" w:rsidRDefault="008832BF" w:rsidP="008832BF"/>
    <w:p w14:paraId="080F5E78" w14:textId="77777777" w:rsidR="008832BF" w:rsidRPr="009867C1" w:rsidRDefault="008832BF" w:rsidP="008832BF">
      <w:pPr>
        <w:sectPr w:rsidR="008832BF" w:rsidRPr="009867C1" w:rsidSect="00D40B8F">
          <w:pgSz w:w="12240" w:h="15840" w:code="1"/>
          <w:pgMar w:top="1440" w:right="1440" w:bottom="1440" w:left="1440" w:header="709" w:footer="709" w:gutter="0"/>
          <w:cols w:space="708"/>
          <w:titlePg/>
          <w:docGrid w:linePitch="326"/>
        </w:sectPr>
      </w:pPr>
    </w:p>
    <w:p w14:paraId="06C8FAA3" w14:textId="745DD357" w:rsidR="00223F7A" w:rsidRPr="009867C1" w:rsidRDefault="00223F7A" w:rsidP="00223F7A">
      <w:pPr>
        <w:pStyle w:val="Heading2"/>
      </w:pPr>
      <w:bookmarkStart w:id="48" w:name="_Toc99385417"/>
      <w:bookmarkEnd w:id="22"/>
      <w:bookmarkEnd w:id="23"/>
      <w:bookmarkEnd w:id="24"/>
      <w:r w:rsidRPr="009867C1">
        <w:t>The effects of marine-derived nutrients on soil chemistry</w:t>
      </w:r>
      <w:bookmarkEnd w:id="48"/>
      <w:r w:rsidRPr="009867C1">
        <w:t xml:space="preserve">  </w:t>
      </w:r>
    </w:p>
    <w:p w14:paraId="24F6CD2B" w14:textId="77777777" w:rsidR="00223F7A" w:rsidRPr="009867C1" w:rsidRDefault="00223F7A" w:rsidP="00223F7A">
      <w:pPr>
        <w:pStyle w:val="Heading3"/>
        <w:rPr>
          <w:lang w:val="en-CA"/>
        </w:rPr>
      </w:pPr>
      <w:bookmarkStart w:id="49" w:name="_Toc99385418"/>
      <w:r w:rsidRPr="009867C1">
        <w:rPr>
          <w:lang w:val="en-CA"/>
        </w:rPr>
        <w:t>Introduction</w:t>
      </w:r>
      <w:bookmarkEnd w:id="49"/>
    </w:p>
    <w:p w14:paraId="2B29AA29" w14:textId="586267EA" w:rsidR="00223F7A" w:rsidRPr="009867C1" w:rsidRDefault="00223F7A" w:rsidP="00223F7A">
      <w:pPr>
        <w:ind w:firstLine="720"/>
      </w:pPr>
      <w:r w:rsidRPr="009867C1">
        <w:rPr>
          <w:lang w:val="en-CA"/>
        </w:rPr>
        <w:t>Every autumn, migratory pacific salmon (</w:t>
      </w:r>
      <w:r w:rsidRPr="009867C1">
        <w:rPr>
          <w:i/>
          <w:lang w:val="en-CA"/>
        </w:rPr>
        <w:t xml:space="preserve">Oncorhynchus </w:t>
      </w:r>
      <w:r w:rsidRPr="0007054F">
        <w:rPr>
          <w:iCs/>
          <w:lang w:val="en-CA"/>
        </w:rPr>
        <w:t>s</w:t>
      </w:r>
      <w:r w:rsidR="0007054F" w:rsidRPr="0007054F">
        <w:rPr>
          <w:iCs/>
          <w:lang w:val="en-CA"/>
        </w:rPr>
        <w:t>p</w:t>
      </w:r>
      <w:r w:rsidRPr="0007054F">
        <w:rPr>
          <w:iCs/>
          <w:lang w:val="en-CA"/>
        </w:rPr>
        <w:t>p.</w:t>
      </w:r>
      <w:r w:rsidRPr="009867C1">
        <w:rPr>
          <w:lang w:val="en-CA"/>
        </w:rPr>
        <w:t xml:space="preserve">) return to their native streams to spawn and die. </w:t>
      </w:r>
      <w:r w:rsidRPr="009867C1">
        <w:t>In coming home, they carry with them a lifetime’s accumulation of nutrients stored in their flesh; this high-protein, high-fat material re</w:t>
      </w:r>
      <w:r w:rsidRPr="009867C1">
        <w:rPr>
          <w:lang w:val="en-CA"/>
        </w:rPr>
        <w:t xml:space="preserve">presents an ecosystem subsidy of marine-derived nutrients (MDN) from the ocean to riparian zones. These nutrients permeate stream water environments, increase stream nutrient loads </w:t>
      </w:r>
      <w:r w:rsidRPr="009867C1">
        <w:rPr>
          <w:lang w:val="en-CA"/>
        </w:rPr>
        <w:fldChar w:fldCharType="begin"/>
      </w:r>
      <w:r w:rsidR="00AC0205">
        <w:rPr>
          <w:lang w:val="en-CA"/>
        </w:rPr>
        <w:instrText xml:space="preserve"> ADDIN ZOTERO_ITEM CSL_CITATION {"citationID":"er2qZYsR","properties":{"formattedCitation":"(P. S. Levi et al., 2013)","plainCitation":"(P. S. Levi et al., 2013)","noteIndex":0},"citationItems":[{"id":1612,"uris":["http://zotero.org/users/2189142/items/S7ESVLCE"],"itemData":{"id":1612,"type":"article-journal","container-title":"Ecosystems","issue":"2","page":"269–283","source":"Google Scholar","title":"Whole-stream metabolism responds to spawning Pacific salmon in their native and introduced ranges","volume":"16","author":[{"family":"Levi","given":"Peter S."},{"family":"Tank","given":"Jennifer L."},{"family":"Rüegg","given":"Janine"},{"family":"Janetski","given":"David J."},{"family":"Tiegs","given":"Scott D."},{"family":"Chaloner","given":"Dominic T."},{"family":"Lamberti","given":"Gary A."}],"issued":{"date-parts":[["2013"]]},"citation-key":"levi_2013a"}}],"schema":"https://github.com/citation-style-language/schema/raw/master/csl-citation.json"} </w:instrText>
      </w:r>
      <w:r w:rsidRPr="009867C1">
        <w:rPr>
          <w:lang w:val="en-CA"/>
        </w:rPr>
        <w:fldChar w:fldCharType="separate"/>
      </w:r>
      <w:r w:rsidR="0042141C" w:rsidRPr="009867C1">
        <w:t>(P. S. Levi et al., 2013)</w:t>
      </w:r>
      <w:r w:rsidRPr="009867C1">
        <w:rPr>
          <w:lang w:val="en-CA"/>
        </w:rPr>
        <w:fldChar w:fldCharType="end"/>
      </w:r>
      <w:r w:rsidRPr="009867C1">
        <w:rPr>
          <w:lang w:val="en-CA"/>
        </w:rPr>
        <w:t xml:space="preserve">, biofilm and plankton biomass </w:t>
      </w:r>
      <w:r w:rsidRPr="009867C1">
        <w:rPr>
          <w:lang w:val="en-CA"/>
        </w:rPr>
        <w:fldChar w:fldCharType="begin"/>
      </w:r>
      <w:r w:rsidR="00AC0205">
        <w:rPr>
          <w:lang w:val="en-CA"/>
        </w:rPr>
        <w:instrText xml:space="preserve"> ADDIN ZOTERO_ITEM CSL_CITATION {"citationID":"OvoOllLW","properties":{"formattedCitation":"(S. F. Collins et al., 2015)","plainCitation":"(S. F. Collins et al., 2015)","noteIndex":0},"citationItems":[{"id":1179,"uris":["http://zotero.org/users/2189142/items/EIS3QH73"],"itemData":{"id":1179,"type":"article-journal","container-title":"Environmental management","issue":"3","page":"571–586","source":"Google Scholar","title":"A critical assessment of the ecological assumptions underpinning compensatory mitigation of salmon-derived nutrients","volume":"56","author":[{"family":"Collins","given":"Scott F."},{"family":"Marcarelli","given":"Amy M."},{"family":"Baxter","given":"Colden V."},{"family":"Wipfli","given":"Mark S."}],"issued":{"date-parts":[["2015"]]},"citation-key":"collins_2015"}}],"schema":"https://github.com/citation-style-language/schema/raw/master/csl-citation.json"} </w:instrText>
      </w:r>
      <w:r w:rsidRPr="009867C1">
        <w:rPr>
          <w:lang w:val="en-CA"/>
        </w:rPr>
        <w:fldChar w:fldCharType="separate"/>
      </w:r>
      <w:r w:rsidR="0042141C" w:rsidRPr="009867C1">
        <w:t>(S. F. Collins et al., 2015)</w:t>
      </w:r>
      <w:r w:rsidRPr="009867C1">
        <w:rPr>
          <w:lang w:val="en-CA"/>
        </w:rPr>
        <w:fldChar w:fldCharType="end"/>
      </w:r>
      <w:r w:rsidRPr="009867C1">
        <w:rPr>
          <w:lang w:val="en-CA"/>
        </w:rPr>
        <w:t xml:space="preserve">, and impact fish biomass, numbers, and spawning success </w:t>
      </w:r>
      <w:r w:rsidRPr="009867C1">
        <w:rPr>
          <w:lang w:val="en-CA"/>
        </w:rPr>
        <w:fldChar w:fldCharType="begin"/>
      </w:r>
      <w:r w:rsidR="00AC0205">
        <w:rPr>
          <w:lang w:val="en-CA"/>
        </w:rPr>
        <w:instrText xml:space="preserve"> ADDIN ZOTERO_ITEM CSL_CITATION {"citationID":"fKRqTmfC","properties":{"formattedCitation":"(S. F. Collins et al., 2016; Swain &amp; Reynolds, 2015)","plainCitation":"(S. F. Collins et al., 2016; Swain &amp; Reynolds, 2015)","noteIndex":0},"citationItems":[{"id":364,"uris":["http://zotero.org/users/2189142/items/87CNISEU"],"itemData":{"id":364,"type":"article-journal","abstract":"Artificial additions of nutrients of differing forms such as salmon carcasses and analog pellets (i.e. pasteurized fishmeal) have been proposed as a means of stimulating aquatic productivity and enhancing populations of anadromous and resident fishes. Nutrient mitigation to enhance fish production in stream ecosystems assumes that the central pathway by which effects occur is bottom-up, through aquatic primary and secondary production, with little consideration of reciprocal aquatic-terrestrial pathways. The net outcome (i.e. bottom-up vs. top-down) of adding salmon-derived materials to streams depend on whether or not these subsidies indirectly intensify predation on in situ prey via increases in a shared predator or alleviate such predation pressure. We conducted a 3-year experiment across nine tributaries of the N. Fork Boise River, Idaho, USA, consisting of 500-m stream reaches treated with salmon carcasses (n = 3), salmon carcass analog (n = 3), and untreated control reaches (n = 3). We observed 2–8 fold increases in streambed biofilms in the 2–6 weeks following additions of both salmon subsidy treatments in years 1 and 2 and a 1.5-fold increase in standing crop biomass of aquatic invertebrates to carcass additions in the second year of our experiment. The consumption of benthic invertebrates by stream fishes increased 110–140% and 44–66% in carcass and analog streams in the same time frame, which may have masked invertebrate standing crop responses in years 3 and 4. Resident trout directly consumed 10.0–24.0 g·m−2·yr−1 of salmon carcass and &lt;1–11.0 g·m−2·yr−1 of analog material, which resulted in 1.2–2.9 g·m−2·yr−1 and 0.03–1.4 g·m−2·yr−1 of tissue produced. In addition, a feedback flux of terrestrial maggots to streams contributed 0.0–2.0 g·m−2·yr−1 to trout production. Overall, treatments increased annual trout production by 2–3 fold, though density and biomass were unaffected. Our results indicate the strength of bottom-up and top-down responses to subsidy additions was asymmetrical, with top-down forces masking bottom-up effects that required multiple years to manifest. The findings also highlight the need for nutrient mitigation programs to consider multiple pathways of energy and nutrient flow to account for the complex effects of salmon subsidies in stream-riparian ecosystems.","container-title":"Ecosphere","DOI":"10.1002/ecs2.1248","ISSN":"2150-8925","issue":"3","journalAbbreviation":"Ecosphere","language":"en","page":"n/a-n/a","source":"Wiley Online Library","title":"Effects of experimentally added salmon subsidies on resident fishes via direct and indirect pathways","volume":"7","author":[{"family":"Collins","given":"Scott F."},{"family":"Baxter","given":"Colden V."},{"family":"Marcarelli","given":"Amy M."},{"family":"Wipfli","given":"Mark S."}],"issued":{"date-parts":[["2016",3,1]]},"citation-key":"collins_2016"}},{"id":1352,"uris":["http://zotero.org/users/2189142/items/ATZDM72F"],"itemData":{"id":1352,"type":"article-journal","abstract":"Movement of nutrients across ecosystem boundaries can have important effects on food webs and population dynamics. An example from the North Pacific Rim is the connection between productive marine ecosystems and freshwaters driven by annual spawning migrations of Pacific salmon (Oncorhynchus spp). While a growing body of research has highlighted the importance of both pulsed nutrient subsidies and disturbance by spawning salmon, their effects on population densities of vertebrate consumers have rarely been tested, especially across streams spanning a wide range of natural variation in salmon densities and habitat characteristics. We studied resident freshwater prickly (Cottus asper), and coastrange sculpins (C. aleuticus) in coastal salmon spawning streams to test whether their population densities are affected by spawning densities of pink and chum salmon (O. gorbuscha and O. keta), as well as habitat characteristics. Coastrange sculpins occurred in the highest densities in streams with high densities of spawning pink and chum salmon. They also were more dense in streams with high pH, large watersheds, less area covered by pools, and lower gradients. In contrast, prickly sculpin densities were higher in streams with more large wood and pools, and less canopy cover, but their densities were not correlated with salmon. These results for coastrange sculpins provide evidence of a numerical population response by freshwater fish to increased availability of salmon subsidies in streams. These results demonstrate complex and context-dependent relationships between spawning Pacific salmon and coastal ecosystems and can inform an ecosystem-based approach to their management and conservation.","container-title":"PLOS ONE","DOI":"10.1371/journal.pone.0116090","ISSN":"1932-6203","issue":"6","journalAbbreviation":"PLOS ONE","page":"e0116090","source":"PLoS Journals","title":"Effects of Salmon-Derived Nutrients and Habitat Characteristics on Population Densities of Stream-Resident Sculpins","volume":"10","author":[{"family":"Swain","given":"Noel R."},{"family":"Reynolds","given":"John D."}],"issued":{"date-parts":[["2015",6,1]]},"citation-key":"swain_2015"}}],"schema":"https://github.com/citation-style-language/schema/raw/master/csl-citation.json"} </w:instrText>
      </w:r>
      <w:r w:rsidRPr="009867C1">
        <w:rPr>
          <w:lang w:val="en-CA"/>
        </w:rPr>
        <w:fldChar w:fldCharType="separate"/>
      </w:r>
      <w:r w:rsidR="0042141C" w:rsidRPr="009867C1">
        <w:t>(S. F. Collins et al., 2016; Swain &amp; Reynolds, 2015)</w:t>
      </w:r>
      <w:r w:rsidRPr="009867C1">
        <w:rPr>
          <w:lang w:val="en-CA"/>
        </w:rPr>
        <w:fldChar w:fldCharType="end"/>
      </w:r>
      <w:r w:rsidRPr="009867C1">
        <w:rPr>
          <w:lang w:val="en-CA"/>
        </w:rPr>
        <w:t xml:space="preserve">. Salmon presence has also been shown to affect surrounding forests, </w:t>
      </w:r>
      <w:r w:rsidRPr="009867C1">
        <w:t>including increase</w:t>
      </w:r>
      <w:r w:rsidR="007C5083">
        <w:t>d abundance of</w:t>
      </w:r>
      <w:r w:rsidRPr="009867C1">
        <w:t xml:space="preserve"> nitrophyllic plant species </w:t>
      </w:r>
      <w:r w:rsidRPr="009867C1">
        <w:fldChar w:fldCharType="begin"/>
      </w:r>
      <w:r w:rsidR="00AC0205">
        <w:instrText xml:space="preserve"> ADDIN ZOTERO_ITEM CSL_CITATION {"citationID":"JhdrqWGb","properties":{"formattedCitation":"(Hocking &amp; Reynolds, 2011; Mathewson et al., 2003)","plainCitation":"(Hocking &amp; Reynolds, 2011; Mathewson et al., 2003)","noteIndex":0},"citationItems":[{"id":550,"uris":["http://zotero.org/users/2189142/items/JR362H46"],"itemData":{"id":550,"type":"article-journal","abstract":"The study of natural gradients in nutrient subsidies between ecosystems allows for predictions of how changes in one system can affect biodiversity in another. We performed a large-scale empirical test of the role of Pacific salmon (Oncorhynchus spp.) in structuring riparian plant communities. A comparison of 50 watersheds in the remote Great Bear Rainforest of British Columbia’s central coast in Canada shows that salmon influence nutrient loading to plants, shifting plant communities toward nutrient-rich species, which in turn decreases plant diversity. These effects are mediated by interactions between salmon density and the physical characteristics of watersheds. Predicting how salmon affect terrestrial ecosystems is central to conservation plans that aim to better integrate ecosystem values into resource management.","container-title":"Science","DOI":"10.1126/science.1201079","ISSN":"0036-8075, 1095-9203","issue":"6024","journalAbbreviation":"Science","language":"en","note":"PMID: 21442794","page":"1609-1612","source":"www.sciencemag.org.ezproxy.library.ubc.ca","title":"Impacts of Salmon on Riparian Plant Diversity","volume":"331","author":[{"family":"Hocking","given":"Morgan D."},{"family":"Reynolds","given":"John D."}],"issued":{"date-parts":[["2011",3,25]]},"citation-key":"hocking_2011"}},{"id":1025,"uris":["http://zotero.org/users/2189142/items/BXEZ2MWG"],"itemData":{"id":1025,"type":"article-journal","abstract":"Background Recent studies of anadromous salmon (Oncorhynchus spp.) on the Pacific Coast of North America indicate an important and previously unrecognized role of salmonid nutrients to terrestrial biota. However, the extent of this uptake by primary producers and consumers and the influences on community structure remain poorly described. We examine here the contribution of salmon nutrients to multiple taxa of riparian vegetation (Blechnum spicant, Menziesii ferruginea, Oplopanax horridus, Rubus spectabilis, Vaccinium alaskaense, V. parvifolium, Tsuga heterophylla) and measure foliar δ15N, total %N and plant community structure at two geographically separated watersheds in coastal British Columbia. To reduce potentially confounding effects of precipitation, substrate and other abiotic variables, we made comparisons across a sharp ecological boundary of salmon density that resulted from a waterfall barrier to salmon migration. Results δ15N and %N in foliage, and %cover of soil nitrogen indicators differed across the waterfall barrier to salmon at each watershed. δ15N values were enriched by 1.4‰ to 9.0‰ below the falls depending on species and watershed, providing a relative contribution of marine-derived nitrogen (MDN) to vegetation of 10% to 60%. %N in foliar tissues was slightly higher below the falls, with the majority of variance occurring between vegetation species. Community structure also differed with higher incidence of nitrogen-rich soil indicator species below the waterfalls. Conclusions Measures of δ15N, %N and vegetation cover indicate a consistent difference in the riparian community across a sharp ecological boundary of salmon density. The additional N source that salmon provide to nitrogen-limited habitats appears to have significant impacts on the N budget of riparian vegetation, which may increase primary productivity, and result in community shifts between sites with and without salmon access. This, in turn, may have cascading ecosystem effects in forests adjacent to salmon streams.","container-title":"BMC Ecology","DOI":"10.1186/1472-6785-3-4","ISSN":"1472-6785","issue":"1","journalAbbreviation":"BMC Ecol","language":"en","page":"1-11","source":"link.springer.com.ezproxy.library.ubc.ca","title":"Nitrogen uptake in riparian plant communities across a sharp ecological boundary of salmon density","volume":"3","author":[{"family":"Mathewson","given":"D. D."},{"family":"Hocking","given":"M. D."},{"family":"Reimchen","given":"T. E."}],"issued":{"date-parts":[["2003",5,3]]},"citation-key":"mathewson_2003"}}],"schema":"https://github.com/citation-style-language/schema/raw/master/csl-citation.json"} </w:instrText>
      </w:r>
      <w:r w:rsidRPr="009867C1">
        <w:fldChar w:fldCharType="separate"/>
      </w:r>
      <w:r w:rsidR="0042141C" w:rsidRPr="009867C1">
        <w:t>(Hocking &amp; Reynolds, 2011; Mathewson et al., 2003)</w:t>
      </w:r>
      <w:r w:rsidRPr="009867C1">
        <w:fldChar w:fldCharType="end"/>
      </w:r>
      <w:r w:rsidRPr="009867C1">
        <w:t xml:space="preserve">, plant growth </w:t>
      </w:r>
      <w:r w:rsidRPr="009867C1">
        <w:fldChar w:fldCharType="begin"/>
      </w:r>
      <w:r w:rsidR="00AC0205">
        <w:instrText xml:space="preserve"> ADDIN ZOTERO_ITEM CSL_CITATION {"citationID":"wNjeV6tG","properties":{"formattedCitation":"(Quinn et al., 2018; Sayer, 2008; Siemens et al., 2020)","plainCitation":"(Quinn et al., 2018; Sayer, 2008; Siemens et al., 2020)","noteIndex":0},"citationItems":[{"id":1760,"uris":["http://zotero.org/users/2189142/items/68FQB8H2"],"itemData":{"id":1760,"type":"article-journal","abstract":"As they return to spawn and die in their natal streams, anadromous, semelparous fishes such as Pacific salmon import marine-derived nutrients to otherwise nutrient-poor freshwater and riparian ecosystems. Diverse organisms exploit this resource, and previous studies have indicated that riparian tree growth may be enhanced by such marine-derived nutrients. However, these studies were largely inferential and did not account for all factors affecting tree growth. As an experimental test of the contribution of carcasses to tree growth, for 20 yr, we systematically deposited all sockeye salmon (Oncorhynchus nerka) carcasses (217,055 individual salmon) in the riparian zone on one bank of a 2-km-long stream in southwestern Alaska, reducing carcass accumulation on one bank and enhancing it on the other. After accounting for partial consumption and movement of carcasses by brown bears (Ursus arctos) and variation in salmon abundance and body size, we estimated that 267,620 kg of salmon were deposited on the enhanced bank and 45,200 kg on the depleted bank over the 20 yr, for a 5.9-fold difference in total mass. In 2016, we sampled needles of 84 white spruce trees (Picea glauca) the dominant riparian tree species, for foliar nitrogen (N) content and stable isotope ratios (δ15N), and took core samples for annual growth increments. Stable isotope analysis indicated that marine-derived N was incorporated into the new growth of the trees on the enhanced bank. Analysis of tree cores indicated that in the two decades prior to our enhancement experiment, trees on the south-facing (subsequently the depleted) bank grew faster than those on the north-facing (later enhanced) bank. This difference was reduced significantly during the two decades of fertilization, indicating an effect of the carcass transfer experiment against the background of other factors affecting tree growth.","container-title":"Ecology","DOI":"10.1002/ecy.2453","ISSN":"1939-9170","issue":"11","language":"en","page":"2433-2441","source":"Wiley Online Library","title":"A multidecade experiment shows that fertilization by salmon carcasses enhanced tree growth in the riparian zone","volume":"99","author":[{"family":"Quinn","given":"Thomas P."},{"family":"Helfield","given":"James M."},{"family":"Austin","given":"Catherine S."},{"family":"Hovel","given":"Rachel A."},{"family":"Bunn","given":"Andrew G."}],"issued":{"date-parts":[["2018"]]},"citation-key":"quinn_2018a"}},{"id":206,"uris":["http://zotero.org/users/2189142/items/NKXFZRH5"],"itemData":{"id":206,"type":"thesis","abstract":"The scope and ecological implications of riparian vegetation marine-derived nitrogen (MDN) and alder-derived nitrogen (ADN) use were investigated. Several plant species were sampled during early and late summer at paired salmon and reference streams. Foliar stable nitrogen (δ15N) and carbon (δ13C) isotope values, %N, and Picea lutzii needle length were measured. P. lutzii demonstrated the greatest increase in δ15N and %N at salmon streams. Several species δ15N values increased after salmon spawning, indicating immediate MDN uptake. Spatial δ15N gradients were inconsistent. Alders had a greater influence on some species %N than salmon, but salmon had a greater influence on P. lutzii %N. P. lutzii needle length is positively correlated with MDN use. These findings are the first to depict salmon influences on Kenai Peninsula riparian vegetation mineral nutrition. They demonstrate that MDN effects are not universal across all plant species and are influenced by plant community ecology.","event-place":"United States -- Alaska","genre":"M.S.","language":"English","number-of-pages":"96","publisher":"University of Alaska Anchorage","publisher-place":"United States -- Alaska","source":"ProQuest","title":"Marine derived nitrogen use by Kenai Peninsula riparian plants: Effects on mineral nutrition and growth","title-short":"Marine derived nitrogen use by Kenai Peninsula riparian plants","URL":"http://search.proquest.com/docview/304337010/abstract/C7CCAEBBB7F540B2PQ/1","author":[{"family":"Sayer","given":"Allison M."}],"accessed":{"date-parts":[["2019",8,3]]},"issued":{"date-parts":[["2008"]]},"citation-key":"sayer_2008"}},{"id":2359,"uris":["http://zotero.org/users/2189142/items/HE5K9YT7"],"itemData":{"id":2359,"type":"article-journal","container-title":"Ecosphere","issue":"11","note":"publisher: Wiley Online Library","page":"e03282","source":"Google Scholar","title":"Spawning salmon density influences fruit production of salmonberry (&lt;i&gt;Rubus spectabilis&lt;/i&gt;)","volume":"11","author":[{"family":"Siemens","given":"Lisa D."},{"family":"Dennert","given":"Allison M."},{"family":"Obrist","given":"Debora S."},{"family":"Reynolds","given":"John D."}],"issued":{"date-parts":[["2020"]]},"citation-key":"siemens_2020"}}],"schema":"https://github.com/citation-style-language/schema/raw/master/csl-citation.json"} </w:instrText>
      </w:r>
      <w:r w:rsidRPr="009867C1">
        <w:fldChar w:fldCharType="separate"/>
      </w:r>
      <w:r w:rsidR="0042141C" w:rsidRPr="009867C1">
        <w:t>(Quinn et al., 2018; Sayer, 2008; Siemens et al., 2020)</w:t>
      </w:r>
      <w:r w:rsidRPr="009867C1">
        <w:fldChar w:fldCharType="end"/>
      </w:r>
      <w:r w:rsidRPr="009867C1">
        <w:t xml:space="preserve">, and bird diversity and abundance </w:t>
      </w:r>
      <w:r w:rsidRPr="009867C1">
        <w:fldChar w:fldCharType="begin"/>
      </w:r>
      <w:r w:rsidR="00AC0205">
        <w:instrText xml:space="preserve"> ADDIN ZOTERO_ITEM CSL_CITATION {"citationID":"EBdoB0xf","properties":{"formattedCitation":"(Christie &amp; Reimchen, 2008; Wagner &amp; Reynolds, 2019)","plainCitation":"(Christie &amp; Reimchen, 2008; Wagner &amp; Reynolds, 2019)","noteIndex":0},"citationItems":[{"id":188,"uris":["http://zotero.org/users/2189142/items/FWP68853"],"itemData":{"id":188,"type":"article-journal","container-title":"The Auk","issue":"1","page":"51–59","source":"Google Scholar","title":"Presence of salmon increases passerine density on Pacific Northwest streams","volume":"125","author":[{"family":"Christie","given":"Katie S."},{"family":"Reimchen","given":"T.E."}],"issued":{"date-parts":[["2008"]]},"citation-key":"christie_2008"}},{"id":1850,"uris":["http://zotero.org/users/2189142/items/AHUMBHEI"],"itemData":{"id":1850,"type":"article-journal","abstract":"Resource subsidies across ecosystems can have strong and unforeseen ecological impacts. Marine-derived nutrients from Pacific salmon (Onchorhycus spp.) can be transferred to streams and riparian forests through diverse food web pathways, fertilizing forests and increasing invertebrate abundance, which may in turn affect breeding birds. We quantified the influence of salmon on the abundance and composition of songbird communities across a wide range of salmon-spawning biomass on 14 streams along a remote coastal region of British Columbia, Canada. Point-count data spanning two years were combined with salmon biomass and 13 environmental covariates in riparian forests to test for correlates with bird abundance, foraging guilds, individual species, and avian diversity. We show that bird abundance and diversity increase with salmon biomass and that watershed size and forest composition are less important predictors. This work provides new evidence for the importance of salmon to terrestrial ecosystems and information that can inform ecosystem-based management.","container-title":"PLOS ONE","DOI":"10.1371/journal.pone.0210031","ISSN":"1932-6203","issue":"2","journalAbbreviation":"PLOS ONE","language":"en","page":"e0210031","source":"PLoS Journals","title":"Salmon increase forest bird abundance and diversity","volume":"14","author":[{"family":"Wagner","given":"Marlene A."},{"family":"Reynolds","given":"John D."}],"issued":{"date-parts":[["2019",2,6]]},"citation-key":"wagner_2019"}}],"schema":"https://github.com/citation-style-language/schema/raw/master/csl-citation.json"} </w:instrText>
      </w:r>
      <w:r w:rsidRPr="009867C1">
        <w:fldChar w:fldCharType="separate"/>
      </w:r>
      <w:r w:rsidR="0042141C" w:rsidRPr="009867C1">
        <w:t>(Christie &amp; Reimchen, 2008; Wagner &amp; Reynolds, 2019)</w:t>
      </w:r>
      <w:r w:rsidRPr="009867C1">
        <w:fldChar w:fldCharType="end"/>
      </w:r>
      <w:r w:rsidRPr="009867C1">
        <w:t xml:space="preserve">. They also provide food for numerous terrestrial insects and large mammals such as bears and wolves </w:t>
      </w:r>
      <w:r w:rsidRPr="009867C1">
        <w:fldChar w:fldCharType="begin"/>
      </w:r>
      <w:r w:rsidR="00AC0205">
        <w:instrText xml:space="preserve"> ADDIN ZOTERO_ITEM CSL_CITATION {"citationID":"8aueRuom","properties":{"formattedCitation":"(Hocking et al., 2009; Reimchen, 2017)","plainCitation":"(Hocking et al., 2009; Reimchen, 2017)","noteIndex":0},"citationItems":[{"id":187,"uris":["http://zotero.org/users/2189142/items/5EMDVPKE"],"itemData":{"id":187,"type":"article-journal","abstract":"In coastal streams throughout the north Pacific region, spawning salmon (Oncorhynchus spp.) subsidize terrestrial communities with their nutrients and carcasses. We document the previously unreported composition and ecology of terrestrial invertebrates using salmon carcasses in forest habitats from two high salmon density watersheds in coastal British Columbia. From experimental placement of 186 carcasses, terrestrial Diptera-dominated salmon carcass decay (85.5% of carcasses). Overall, we recorded over 60 species from salmon carcasses, including saprophagous Diptera and Coleoptera (15 spp.), dipteran predators (eight spp.) and parasitoids (four spp.), and opportunistic predators, scavengers, and detritivores (24 spp.). Using stable isotopes of nitrogen and carbon, we reconstruct the dietary niches of select species relative to salmon muscle tissue and previously sampled non-salmon feeding invertebrate species. From comparisons across seasons, sampling locations and larval and adult life stages, we find evidence for a diet of salmon tissue in flies (Calliphora terraenovae and Dryomyza anilis), and beetles (Nicrophorus investigator and Anthobium fimetarium). The parasitic wasps Alysia alticola and Atractodes sp. had the highest levels of enrichment of all species, representing their larval diet of fly larvae that have fed on salmon carcasses 1 year prior to adult wasp sampling. Temporal and spatial isotopic variation in insect indicator species varies by species mobility and the pathway of salmon nutrient uptake. Cataloguing these associations may be useful for developing indices of intact salmon runs, bear foraging, and subsequent nutrient transfer in coastal watersheds.","container-title":"Ecological Research","DOI":"10.1007/s11284-009-0586-5","ISSN":"0912-3814, 1440-1703","issue":"5","journalAbbreviation":"Ecol Res","language":"en","page":"1091-1100","source":"link.springer.com.ezproxy.library.ubc.ca","title":"The ecology of terrestrial invertebrates on Pacific salmon carcasses","volume":"24","author":[{"family":"Hocking","given":"Morgan D."},{"family":"Ring","given":"Richard A."},{"family":"Reimchen","given":"T.E."}],"issued":{"date-parts":[["2009",2,25]]},"citation-key":"hocking_2009a"}},{"id":183,"uris":["http://zotero.org/users/2189142/items/5XY9XX4M"],"itemData":{"id":183,"type":"article-journal","abstract":"Based on five years of field studies (1992, 1993, 1994, 1998, 2000), I quantified bi-directional movement of salmon nutrients through an estuary, stream, and old growth forest in a large protected reserve on Haida Gwaii, British Columbia. In 1993, when most data were collected, about 6000 Chum Salmon (Oncorhynchus keta) entered the river of which 22% of the total biomass of senescent carcasses were swept downstream into the estuary and were scavenged by gulls (n = 350) and subtidal invertebrates. Of the 3700 salmon (10 000 kg) transferred by American Black Bear (Ursus americanus) to the riparian zone and partially consumed along the 800 m of stream channel, 5070 kg of salmon tissues abandoned by the bears were scavenged by Northwestern Crows (Corvus caurinus; n = 200) but mostly (4100 kg) by calliphorid blowfly larvae resulting in larval densities averaging 240/m2 throughout the riparian zone. Total nitrogen input to the soils from the combined effects of bear and scavenger activity as well as carcass input was 18 g/m2 within 10 m of the stream channel. δ15N of foliar tissues of Lanky Moss (Rhytidiadelphus loreus), Red Huckleberry (Vaccinium parvifolium), Salal (Gaultheria shallon), and Western Hemlock (Tsuga heterophylla) ranged about 15‰ to 20‰ among adjacent microsites in each species, with higher values occurring in salmon carcass zones. Total nitrogen in foliar tissues ranged from 1% to 2.4% among microsites and was best predicted by positive correlations with foliar 15N values and secondarily by presence/absence of salmon carcasses. This is the first study to integrate estuarine to riparian ecological processes in the cycling of salmonid nutrients and identifies a range of ecological baselines that can inform the multiple restoration programs underway in degraded watersheds in the North Pacific.","container-title":"Canadian Field Naturalist","ISSN":"0008-3550","language":"en","source":"pubag.nal.usda.gov","title":"Diverse Ecological Pathways of Salmon Nutrients Through an Intact Marine-terrestrial Interface","URL":"https://pubag.nal.usda.gov/catalog/6040059","author":[{"family":"Reimchen","given":"T.E."}],"accessed":{"date-parts":[["2019",8,4]]},"issued":{"date-parts":[["2017"]]},"citation-key":"reimchen_2017"}}],"schema":"https://github.com/citation-style-language/schema/raw/master/csl-citation.json"} </w:instrText>
      </w:r>
      <w:r w:rsidRPr="009867C1">
        <w:fldChar w:fldCharType="separate"/>
      </w:r>
      <w:r w:rsidR="0042141C" w:rsidRPr="009867C1">
        <w:t>(Hocking et al., 2009; Reimchen, 2017)</w:t>
      </w:r>
      <w:r w:rsidRPr="009867C1">
        <w:fldChar w:fldCharType="end"/>
      </w:r>
      <w:r w:rsidRPr="009867C1">
        <w:t xml:space="preserve">.  These myriad effects have contributed to salmon being identified as keystone species in these forests </w:t>
      </w:r>
      <w:r w:rsidRPr="009867C1">
        <w:fldChar w:fldCharType="begin"/>
      </w:r>
      <w:r w:rsidR="00AC0205">
        <w:instrText xml:space="preserve"> ADDIN ZOTERO_ITEM CSL_CITATION {"citationID":"0HgkV5VX","properties":{"formattedCitation":"(Helfield &amp; Naiman, 2006; J. C. Walsh, Pendray, et al., 2020)","plainCitation":"(Helfield &amp; Naiman, 2006; J. C. Walsh, Pendray, et al., 2020)","noteIndex":0},"citationItems":[{"id":470,"uris":["http://zotero.org/users/2189142/items/2JVWJD44"],"itemData":{"id":470,"type":"article-journal","abstract":"The term “keystone species” is used to describe organisms that exert a disproportionately important influence on the ecosystems in which they live. Analogous concepts such as “keystone mutualism” and “mobile links” illustrate how, in many cases, the interactions of two or more species produce an effect greater than that of any one species individually. Because of their role in transporting nutrients from the ocean to river and riparian ecosystems, Pacific salmon (Oncorhynchus spp.) and brown bear (Ursus arctos) have been described as keystone species and mobile links, although few data are available to quantify the importance of this interaction relative to other nutrient vectors. Application of a mass balance model to data from a southwestern Alaskan stream suggests that nitrogen (N) influx to the riparian forest is significantly increased in the presence of both salmon and bear, but not by either species individually. The interactions of salmon and bear may provide up to 24% of riparian N budgets, but this percentage varies in time and space according to variations in salmon escapement, channel morphology and watershed vegetation characteristics, suggesting interdependence and functional redundancy among N sources. These findings illustrate the complexity of interspecific interactions, the importance of linkages across ecosystem boundaries and the necessity of examining the processes and interactions that shape ecological communities, rather than their specific component parts.","container-title":"Ecosystems","DOI":"10.1007/s10021-004-0063-5","ISSN":"1432-9840, 1435-0629","issue":"2","journalAbbreviation":"Ecosystems","language":"en","page":"167-180","source":"link.springer.com.ezproxy.library.ubc.ca","title":"Keystone Interactions: Salmon and Bear in Riparian Forests of Alaska","title-short":"Keystone Interactions","volume":"9","author":[{"family":"Helfield","given":"James M."},{"family":"Naiman","given":"Robert J."}],"issued":{"date-parts":[["2006",3,15]]},"citation-key":"helfield_2006"}},{"id":2334,"uris":["http://zotero.org/users/2189142/items/PK5JHV8R"],"itemData":{"id":2334,"type":"article-journal","abstract":"Pacific salmon influence temperate terrestrial and freshwater ecosystems through the dispersal of marine-derived nutrients and ecosystem engineering of stream beds when spawning. They also support large fisheries, particularly along the west coast of North America. We provide a comprehensive synthesis of relationships between the densities of Pacific salmon and terrestrial and aquatic ecosystems, summarize the direction, shape, and magnitude of these relationships, and identify possible ecosystem-based management indicators and benchmarks. We found 31 studies that provided 172 relationships between salmon density (or salmon abundance) and species abundance, species diversity, food provisioning, individual growth, concentration of marine-derived isotopes, nutrient enhancement, phenology, and several other ecological responses. The most common published relationship was between salmon density and marine-derived isotopes (40%), whereas very few relationships quantified ecosystem-level responses (5%). Only 13% of all relationships tended to reach an asymptote (i.e., a saturating response) as salmon densities increased. The number of salmon killed by bears and the change in biomass of different stream invertebrate taxa between spawning and nonspawning seasons were relationships that usually reached saturation. Approximately 46% of all relationships were best described with linear or curved nonasymptotic models, indicating a lack of saturation. In contrast, 41% of data sets showed no relationship with salmon density or abundance, including many of the relationships with stream invertebrate and biofilm biomass density, marine-derived isotope concentrations, or vegetation density. Bears required the highest densities of salmon to reach their maximum observed food consumption (i.e., 9.2 kg/m2 to reach the 90% threshold of the relationship’s asymptote), followed by freshwater fish abundance (90% threshold = 7.3 kg/m2 of salmon). Although the effects of salmon density on ecosystems are highly varied, it appears that several of these relationships, such as bear food consumption, could be used to develop indicators and benchmarks for ecosystem-based fisheries management.","container-title":"Ecology","DOI":"https://doi.org/10.1002/ecy.3060","ISSN":"1939-9170","issue":"9","language":"en","note":"_eprint: https://esajournals.onlinelibrary.wiley.com/doi/pdf/10.1002/ecy.3060","page":"e03060","source":"Wiley Online Library","title":"Relationships between Pacific salmon and aquatic and terrestrial ecosystems: implications for ecosystem-based management","title-short":"Relationships between Pacific salmon and aquatic and terrestrial ecosystems","volume":"101","author":[{"family":"Walsh","given":"Jessica C."},{"family":"Pendray","given":"Jane E."},{"family":"Godwin","given":"Sean C."},{"family":"Artelle","given":"Kyle A."},{"family":"Kindsvater","given":"Holly K."},{"family":"Field","given":"Rachel D."},{"family":"Harding","given":"Jennifer N."},{"family":"Swain","given":"Noel R."},{"family":"Reynolds","given":"John D."}],"issued":{"date-parts":[["2020"]]},"citation-key":"walsh_2020b"}}],"schema":"https://github.com/citation-style-language/schema/raw/master/csl-citation.json"} </w:instrText>
      </w:r>
      <w:r w:rsidRPr="009867C1">
        <w:fldChar w:fldCharType="separate"/>
      </w:r>
      <w:r w:rsidR="0042141C" w:rsidRPr="009867C1">
        <w:t>(Helfield &amp; Naiman, 2006; J. C. Walsh, Pendray, et al., 2020)</w:t>
      </w:r>
      <w:r w:rsidRPr="009867C1">
        <w:fldChar w:fldCharType="end"/>
      </w:r>
      <w:r w:rsidRPr="009867C1">
        <w:t xml:space="preserve">.  </w:t>
      </w:r>
    </w:p>
    <w:p w14:paraId="7871C1EE" w14:textId="08A7D5EE" w:rsidR="00223F7A" w:rsidRPr="009867C1" w:rsidRDefault="00223F7A" w:rsidP="00223F7A">
      <w:pPr>
        <w:ind w:firstLine="720"/>
      </w:pPr>
      <w:r w:rsidRPr="009867C1">
        <w:rPr>
          <w:lang w:val="en-CA"/>
        </w:rPr>
        <w:t xml:space="preserve">Marine-derived nutrients pass from streams to terrestrial environments through three main pathways: 1. Direct uptake by plants, either from the stream itself or through diffusion into the hyporheic zone </w:t>
      </w:r>
      <w:r w:rsidRPr="009867C1">
        <w:rPr>
          <w:lang w:val="en-CA"/>
        </w:rPr>
        <w:fldChar w:fldCharType="begin"/>
      </w:r>
      <w:r w:rsidR="00AC0205">
        <w:rPr>
          <w:lang w:val="en-CA"/>
        </w:rPr>
        <w:instrText xml:space="preserve"> ADDIN ZOTERO_ITEM CSL_CITATION {"citationID":"WSYIhheb","properties":{"formattedCitation":"(O Keefe &amp; Edwards, 2003; Pinay et al., 2009)","plainCitation":"(O Keefe &amp; Edwards, 2003; Pinay et al., 2009)","noteIndex":0},"citationItems":[{"id":978,"uris":["http://zotero.org/users/2189142/items/GAHD5DZW"],"itemData":{"id":978,"type":"paper-conference","container-title":"American Fisheries Society Symposium","page":"99–110","publisher":"American Fisheries Society","source":"Google Scholar","title":"Evidence for hyporheic transfer and removal of marine-derived nutrients in a sockeye stream in southwest Alaska","URL":"http://riversandcreeks.com/research/publications/okeefe_edwards_2002.pdf","author":[{"family":"O Keefe","given":"THOMAS C."},{"family":"Edwards","given":"RICK T."}],"accessed":{"date-parts":[["2015",6,24]]},"issued":{"date-parts":[["2003"]]},"citation-key":"okeefe_2003"}},{"id":469,"uris":["http://zotero.org/users/2189142/items/6NCAE73A"],"itemData":{"id":469,"type":"article-journal","abstract":"Pacific boreal streams and riparian zones are believed to receive significant N loads that are derived from the ocean in the form of decaying sockeye salmon (Oncorhynchus nerka). Using a small stream in south-central Alaska we examined whether the associated riparian forest could take up the pulse of marine-derived nitrogen (MDN) entering the hyporheic zone from spawning and dying sockeye salmon. We evaluate the relative importance of riparian uptake and denitrification in nitrate-N removal in hyporheic sediment. We found that maximum biological removal of nitrate peaked within 1 h of water entering the hyporheic zone, decreasing exponentially with subsurface flow duration. Plant and microbial uptake reached 14 µg NO 3−-N L−1 min−1 and denitrification reached 4 µg NO 3−-N L−1 min−1 during the initial 2 h of transit time. Our results reinforce the hypothesis that MDN from Pacific salmon can be transferred to riparian zone via hyporheic flow. Most nitrate-N removal along hyporheic flow paths is by plant and microbial uptake (the respective contributions could not be determined). Denitrifying bacteria are present and active in the hyporheic zones of this well-oxygenated Alaskan stream but their contribution to the nitrate-N removal is small compared to plant and microbial uptake in such nitrate-N poor environment. Copyright © 2008 John Wiley &amp; Sons, Ltd.","container-title":"River Research and Applications","DOI":"10.1002/rra.1164","ISSN":"1535-1467","issue":"4","journalAbbreviation":"River Res. Applic.","language":"en","page":"367-375","source":"Wiley Online Library","title":"Nitrate removal in the hyporheic zone of a salmon river in Alaska","volume":"25","author":[{"family":"Pinay","given":"Gilles"},{"family":"O'Keefe","given":"Thomas C."},{"family":"Edwards","given":"Richard T."},{"family":"Naiman","given":"Robert J."}],"issued":{"date-parts":[["2009",5,1]]},"citation-key":"pinay_2009"}}],"schema":"https://github.com/citation-style-language/schema/raw/master/csl-citation.json"} </w:instrText>
      </w:r>
      <w:r w:rsidRPr="009867C1">
        <w:rPr>
          <w:lang w:val="en-CA"/>
        </w:rPr>
        <w:fldChar w:fldCharType="separate"/>
      </w:r>
      <w:r w:rsidR="0042141C" w:rsidRPr="009867C1">
        <w:t>(O Keefe &amp; Edwards, 2003; Pinay et al., 2009)</w:t>
      </w:r>
      <w:r w:rsidRPr="009867C1">
        <w:rPr>
          <w:lang w:val="en-CA"/>
        </w:rPr>
        <w:fldChar w:fldCharType="end"/>
      </w:r>
      <w:r w:rsidRPr="009867C1">
        <w:rPr>
          <w:lang w:val="en-CA"/>
        </w:rPr>
        <w:t xml:space="preserve">; 2. Emergence of aquatic insects </w:t>
      </w:r>
      <w:r w:rsidRPr="009867C1">
        <w:rPr>
          <w:lang w:val="en-CA"/>
        </w:rPr>
        <w:fldChar w:fldCharType="begin"/>
      </w:r>
      <w:r w:rsidR="00AC0205">
        <w:rPr>
          <w:lang w:val="en-CA"/>
        </w:rPr>
        <w:instrText xml:space="preserve"> ADDIN ZOTERO_ITEM CSL_CITATION {"citationID":"4Q707RGQ","properties":{"formattedCitation":"(T. B. Francis et al., 2006)","plainCitation":"(T. B. Francis et al., 2006)","noteIndex":0},"citationItems":[{"id":974,"uris":["http://zotero.org/users/2189142/items/CKT94Z4C"],"itemData":{"id":974,"type":"article-journal","abstract":"Recent research has highlighted the importance of nutrients derived from Pacific salmon (Oncorhynchus spp.) carcasses for coastal freshwater and riparian ecosystems. To investigate the role of emerging aquatic insects in dispersing salmon nutrients from spawning streams to riparian habitats, we quantified the emergence and return rates of mayflies (Ephemeroptera), stoneflies (Plecoptera), and caddisflies (Trichoptera) on Pick Creek in southwestern Alaska and, using stable isotopes, estimated the associated flux of nutrients derived from sockeye salmon (Oncorhynchus nerka) to streamside forests. Between June and September of 2004, 7.6 mg·m–2 of salmon-derived nitrogen emerged from Pick Creek in the form of aquatic invertebrates, 6.7 mg·m–2 of which was transferred to the terrestrial ecosystem. Dispersal patterns on four area streams showed that the majority of stream-borne nutrients are deposited within 25 m of the stream. Aquatic insects represent a minor vector for salmon nutrients to terrestrial systems..., Des recherches récentes soulignent l'importance des nutriments dérivés des carcasses de saumons du Pacifique (Oncorhynchus spp.) pour les écosystèmes côtiers d'eau douce et les écosystèmes des rivages. Afin de déterminer le rôle de l'émergence des insectes aquatiques dans la dispersion des nutriments de saumons depuis les cours d'eau de fraye vers les habitats du rivage, nous avons mesuré les taux d'émergence et de retour des éphémères (Ephemeroptera), des perles (Plecoptera) et des phryganes (Trichoptera) à Pick Creek dans le sud-ouest de l'Alaska; nous avons ensuite estimé le flux correspondant de nutriments dérivés des saumons rouges (Oncorhynchus nerka) vers les forêts riveraines à l'aide d'isotopes stables. Entre juin et septembre 2004, 7,6 mg·m–2 de nutriments provenant des saumons ont émergé de Pick Creek sous forme d'invertébrés aquatiques, dont 6,7 mg·m–2 ont été transmis à l'écosystème terrestre. Les patrons de dispersion dans trois sections du cours d'eau montrent que la majorité des nutriments...","container-title":"Canadian Journal of Fisheries and Aquatic Sciences","DOI":"10.1139/f06-144","ISSN":"0706-652X","issue":"11","journalAbbreviation":"Can. J. Fish. Aquat. Sci.","page":"2543-2552","source":"NRC Research Press","title":"Aquatic insects play a minor role in dispersing salmon-derived nutrients into riparian forests in southwestern Alaska","volume":"63","author":[{"family":"Francis","given":"Tessa B"},{"family":"Schindler","given":"Daniel E"},{"family":"Moore","given":"Jonathan W"}],"issued":{"date-parts":[["2006",11,1]]},"citation-key":"francis_2006a"}}],"schema":"https://github.com/citation-style-language/schema/raw/master/csl-citation.json"} </w:instrText>
      </w:r>
      <w:r w:rsidRPr="009867C1">
        <w:rPr>
          <w:lang w:val="en-CA"/>
        </w:rPr>
        <w:fldChar w:fldCharType="separate"/>
      </w:r>
      <w:r w:rsidR="0042141C" w:rsidRPr="009867C1">
        <w:t>(T. B. Francis et al., 2006)</w:t>
      </w:r>
      <w:r w:rsidRPr="009867C1">
        <w:rPr>
          <w:lang w:val="en-CA"/>
        </w:rPr>
        <w:fldChar w:fldCharType="end"/>
      </w:r>
      <w:r w:rsidRPr="009867C1">
        <w:rPr>
          <w:lang w:val="en-CA"/>
        </w:rPr>
        <w:t xml:space="preserve">; and 3. Direct consumption and distribution by terrestrial animals </w:t>
      </w:r>
      <w:r w:rsidRPr="009867C1">
        <w:rPr>
          <w:lang w:val="en-CA"/>
        </w:rPr>
        <w:fldChar w:fldCharType="begin"/>
      </w:r>
      <w:r w:rsidR="00AC0205">
        <w:rPr>
          <w:lang w:val="en-CA"/>
        </w:rPr>
        <w:instrText xml:space="preserve"> ADDIN ZOTERO_ITEM CSL_CITATION {"citationID":"GN15pEvM","properties":{"formattedCitation":"(Cederholm et al., 1989; Reimchen, 2017)","plainCitation":"(Cederholm et al., 1989; Reimchen, 2017)","noteIndex":0},"citationItems":[{"id":640,"uris":["http://zotero.org/users/2189142/items/443ZIQ5Z"],"itemData":{"id":640,"type":"article-journal","abstract":"We examined the levels of retention and utilization of 945 coho salmon (Oncorhynchus kisutch) carcasses released experimentally into seven spawning streams on the Olympic Peninsula, Washington. Most carcasses were retained in the streams and in adjacent forests, few were flushed beyond 600 m. Organic debris caught and held many carcasses. Much of the fish mass was consumed by 22 species of mammals and birds. The distances that carcasses drifted appeared to be related directly to the occurrence of freshets and inversely to debris load and carnivore scavenging. The capacity of many streams and rivers to retain carcasses has probably been reduced by human activities. The importance of coho carcasses to populations of carnivores and to the dynamics of lotic food webs merits additional study., Les auteurs ont examinés les taux de rétention et d'utilisation de 945 carcasses de saumon quinnat (Oncorhynchus kisutch) placées pour l'expérience dans sept frayères naturelles de la péninsule Olympic dans l'état du Washington. La majorité des carcasses ont été retenues dans les cours d'eau et dans les forêts adjacentes, peu ont été transportées à plus de 600 m du point où elles ont été placées. Les débris organiques ont retenu de nombreuses carcasses. La majeure partie de la chair des poissons a été consommée par 22 espèces de mamnifères et d'oiseaux. La distance de transport des carcasses semble être directement liée à la présence de crues nivales et inversement liée à la charge de débris et à la consommation par les carnivores. La capacité de rétention des carcasses de beaucoup des cours d'eau a probablement été réduite sous l'effet des activités humaines. L'importance des carcasses de quinnats pour les populations de carnivores et pour la dynamique de la chaîne alimentaire lotique devrait être étudié...","container-title":"Canadian Journal of Fisheries and Aquatic Sciences","DOI":"10.1139/f89-173","ISSN":"0706-652X","issue":"8","journalAbbreviation":"Can. J. Fish. Aquat. Sci.","page":"1347-1355","source":"NRC Research Press","title":"Fate of Coho Salmon (Oncorhynchus kisutch) Carcasses in Spawning Streams","volume":"46","author":[{"family":"Cederholm","given":"C. J."},{"family":"Houston","given":"D. B."},{"family":"Cole","given":"D. L."},{"family":"Scarlett","given":"W. J."}],"issued":{"date-parts":[["1989",8,1]]},"citation-key":"cederholm_1989"}},{"id":183,"uris":["http://zotero.org/users/2189142/items/5XY9XX4M"],"itemData":{"id":183,"type":"article-journal","abstract":"Based on five years of field studies (1992, 1993, 1994, 1998, 2000), I quantified bi-directional movement of salmon nutrients through an estuary, stream, and old growth forest in a large protected reserve on Haida Gwaii, British Columbia. In 1993, when most data were collected, about 6000 Chum Salmon (Oncorhynchus keta) entered the river of which 22% of the total biomass of senescent carcasses were swept downstream into the estuary and were scavenged by gulls (n = 350) and subtidal invertebrates. Of the 3700 salmon (10 000 kg) transferred by American Black Bear (Ursus americanus) to the riparian zone and partially consumed along the 800 m of stream channel, 5070 kg of salmon tissues abandoned by the bears were scavenged by Northwestern Crows (Corvus caurinus; n = 200) but mostly (4100 kg) by calliphorid blowfly larvae resulting in larval densities averaging 240/m2 throughout the riparian zone. Total nitrogen input to the soils from the combined effects of bear and scavenger activity as well as carcass input was 18 g/m2 within 10 m of the stream channel. δ15N of foliar tissues of Lanky Moss (Rhytidiadelphus loreus), Red Huckleberry (Vaccinium parvifolium), Salal (Gaultheria shallon), and Western Hemlock (Tsuga heterophylla) ranged about 15‰ to 20‰ among adjacent microsites in each species, with higher values occurring in salmon carcass zones. Total nitrogen in foliar tissues ranged from 1% to 2.4% among microsites and was best predicted by positive correlations with foliar 15N values and secondarily by presence/absence of salmon carcasses. This is the first study to integrate estuarine to riparian ecological processes in the cycling of salmonid nutrients and identifies a range of ecological baselines that can inform the multiple restoration programs underway in degraded watersheds in the North Pacific.","container-title":"Canadian Field Naturalist","ISSN":"0008-3550","language":"en","source":"pubag.nal.usda.gov","title":"Diverse Ecological Pathways of Salmon Nutrients Through an Intact Marine-terrestrial Interface","URL":"https://pubag.nal.usda.gov/catalog/6040059","author":[{"family":"Reimchen","given":"T.E."}],"accessed":{"date-parts":[["2019",8,4]]},"issued":{"date-parts":[["2017"]]},"citation-key":"reimchen_2017"}}],"schema":"https://github.com/citation-style-language/schema/raw/master/csl-citation.json"} </w:instrText>
      </w:r>
      <w:r w:rsidRPr="009867C1">
        <w:rPr>
          <w:lang w:val="en-CA"/>
        </w:rPr>
        <w:fldChar w:fldCharType="separate"/>
      </w:r>
      <w:r w:rsidR="0042141C" w:rsidRPr="009867C1">
        <w:t>(Cederholm et al., 1989; Reimchen, 2017)</w:t>
      </w:r>
      <w:r w:rsidRPr="009867C1">
        <w:rPr>
          <w:lang w:val="en-CA"/>
        </w:rPr>
        <w:fldChar w:fldCharType="end"/>
      </w:r>
      <w:r w:rsidRPr="009867C1">
        <w:t>.</w:t>
      </w:r>
      <w:r w:rsidRPr="009867C1">
        <w:rPr>
          <w:lang w:val="en-CA"/>
        </w:rPr>
        <w:t xml:space="preserve"> Direct consumption and distribution by terrestrial animals is the largest vector by mass </w:t>
      </w:r>
      <w:r w:rsidRPr="009867C1">
        <w:rPr>
          <w:lang w:val="en-CA"/>
        </w:rPr>
        <w:fldChar w:fldCharType="begin"/>
      </w:r>
      <w:r w:rsidR="00AC0205">
        <w:rPr>
          <w:lang w:val="en-CA"/>
        </w:rPr>
        <w:instrText xml:space="preserve"> ADDIN ZOTERO_ITEM CSL_CITATION {"citationID":"2ewUaete","properties":{"formattedCitation":"(Reimchen, 2017)","plainCitation":"(Reimchen, 2017)","noteIndex":0},"citationItems":[{"id":183,"uris":["http://zotero.org/users/2189142/items/5XY9XX4M"],"itemData":{"id":183,"type":"article-journal","abstract":"Based on five years of field studies (1992, 1993, 1994, 1998, 2000), I quantified bi-directional movement of salmon nutrients through an estuary, stream, and old growth forest in a large protected reserve on Haida Gwaii, British Columbia. In 1993, when most data were collected, about 6000 Chum Salmon (Oncorhynchus keta) entered the river of which 22% of the total biomass of senescent carcasses were swept downstream into the estuary and were scavenged by gulls (n = 350) and subtidal invertebrates. Of the 3700 salmon (10 000 kg) transferred by American Black Bear (Ursus americanus) to the riparian zone and partially consumed along the 800 m of stream channel, 5070 kg of salmon tissues abandoned by the bears were scavenged by Northwestern Crows (Corvus caurinus; n = 200) but mostly (4100 kg) by calliphorid blowfly larvae resulting in larval densities averaging 240/m2 throughout the riparian zone. Total nitrogen input to the soils from the combined effects of bear and scavenger activity as well as carcass input was 18 g/m2 within 10 m of the stream channel. δ15N of foliar tissues of Lanky Moss (Rhytidiadelphus loreus), Red Huckleberry (Vaccinium parvifolium), Salal (Gaultheria shallon), and Western Hemlock (Tsuga heterophylla) ranged about 15‰ to 20‰ among adjacent microsites in each species, with higher values occurring in salmon carcass zones. Total nitrogen in foliar tissues ranged from 1% to 2.4% among microsites and was best predicted by positive correlations with foliar 15N values and secondarily by presence/absence of salmon carcasses. This is the first study to integrate estuarine to riparian ecological processes in the cycling of salmonid nutrients and identifies a range of ecological baselines that can inform the multiple restoration programs underway in degraded watersheds in the North Pacific.","container-title":"Canadian Field Naturalist","ISSN":"0008-3550","language":"en","source":"pubag.nal.usda.gov","title":"Diverse Ecological Pathways of Salmon Nutrients Through an Intact Marine-terrestrial Interface","URL":"https://pubag.nal.usda.gov/catalog/6040059","author":[{"family":"Reimchen","given":"T.E."}],"accessed":{"date-parts":[["2019",8,4]]},"issued":{"date-parts":[["2017"]]},"citation-key":"reimchen_2017"}}],"schema":"https://github.com/citation-style-language/schema/raw/master/csl-citation.json"} </w:instrText>
      </w:r>
      <w:r w:rsidRPr="009867C1">
        <w:rPr>
          <w:lang w:val="en-CA"/>
        </w:rPr>
        <w:fldChar w:fldCharType="separate"/>
      </w:r>
      <w:r w:rsidR="0042141C" w:rsidRPr="009867C1">
        <w:t>(Reimchen, 2017)</w:t>
      </w:r>
      <w:r w:rsidRPr="009867C1">
        <w:rPr>
          <w:lang w:val="en-CA"/>
        </w:rPr>
        <w:fldChar w:fldCharType="end"/>
      </w:r>
      <w:r w:rsidRPr="009867C1">
        <w:rPr>
          <w:lang w:val="en-CA"/>
        </w:rPr>
        <w:t xml:space="preserve">, and salmon </w:t>
      </w:r>
      <w:r w:rsidRPr="009867C1">
        <w:t xml:space="preserve">carcass remnants, animal urine and animal feces represent three chemically distinct vectors of nutrient transfer to terrestrial environments </w:t>
      </w:r>
      <w:r w:rsidRPr="009867C1">
        <w:fldChar w:fldCharType="begin"/>
      </w:r>
      <w:r w:rsidR="00AC0205">
        <w:instrText xml:space="preserve"> ADDIN ZOTERO_ITEM CSL_CITATION {"citationID":"1tMtSRfR","properties":{"formattedCitation":"(Cederholm et al., 1999b)","plainCitation":"(Cederholm et al., 1999b)","noteIndex":0},"citationItems":[{"id":1985,"uris":["http://zotero.org/users/2189142/items/AZ2VKS4G"],"itemData":{"id":1985,"type":"article-journal","abstract":"Pacific salmon and other anadromous salmonids represent a major vector for transporting marine nutrients across ecosystem boundaries (i.e., from marine to freshwater and terrestrial ecosystems). Salmon carcasses provide nutrients and energy to biota within aquatic and terrestrial ecosystems through various pathways. In this paper we review and synthesize the growing number of studies documenting this process in different localities. We also discuss the implications for maintaining the nutrient feedback system. Our findings show that future management will need to view spawning salmon and their carcasses as important habitat components for sustaining the production of fish as well as other salmon-dependent species within watersheds.","container-title":"Fisheries","DOI":"10.1577/1548-8446(1999)024&lt;0006:PSC&gt;2.0.CO;2","ISSN":"0363-2415","issue":"10","page":"6-15","source":"Taylor and Francis+NEJM","title":"Pacific Salmon Carcasses: Essential Contributions of Nutrients and Energy for Aquatic and Terrestrial Ecosystems","title-short":"Pacific Salmon Carcasses","volume":"24","author":[{"family":"Cederholm","given":"C. J."},{"family":"Kunze","given":"Matt D."},{"family":"Murota","given":"Takeshi"},{"family":"Sibatani","given":"Atuhiro"}],"issued":{"date-parts":[["1999",10,1]]},"citation-key":"cederholm_1999"}}],"schema":"https://github.com/citation-style-language/schema/raw/master/csl-citation.json"} </w:instrText>
      </w:r>
      <w:r w:rsidRPr="009867C1">
        <w:fldChar w:fldCharType="separate"/>
      </w:r>
      <w:r w:rsidR="0042141C" w:rsidRPr="009867C1">
        <w:t>(Cederholm et al., 1999b)</w:t>
      </w:r>
      <w:r w:rsidRPr="009867C1">
        <w:fldChar w:fldCharType="end"/>
      </w:r>
      <w:r w:rsidRPr="009867C1">
        <w:t xml:space="preserve">. Urine contributes mostly nitrogen in ureic form, while salmon carcasses contain large amounts of N, P, K, Ca, and S, as well as smaller amounts of Mg, Fe, Mn and other substances </w:t>
      </w:r>
      <w:r w:rsidRPr="009867C1">
        <w:fldChar w:fldCharType="begin"/>
      </w:r>
      <w:r w:rsidR="00AC0205">
        <w:instrText xml:space="preserve"> ADDIN ZOTERO_ITEM CSL_CITATION {"citationID":"Oa7Ju9H8","properties":{"formattedCitation":"(Drake et al., 2005)","plainCitation":"(Drake et al., 2005)","noteIndex":0},"citationItems":[{"id":795,"uris":["http://zotero.org/users/2189142/items/RN834UDP"],"itemData":{"id":795,"type":"article-journal","container-title":"Northwest Science","issue":"1","page":"61–71","source":"Google Scholar","title":"Salmon decay and nutrient contributions to riparian forest soils","volume":"79","author":[{"family":"Drake","given":"Deanne C."},{"family":"Smith","given":"Jaron V."},{"family":"Naiman","given":"Robert J."}],"issued":{"date-parts":[["2005"]]},"citation-key":"drake_2005"}}],"schema":"https://github.com/citation-style-language/schema/raw/master/csl-citation.json"} </w:instrText>
      </w:r>
      <w:r w:rsidRPr="009867C1">
        <w:fldChar w:fldCharType="separate"/>
      </w:r>
      <w:r w:rsidR="0042141C" w:rsidRPr="009867C1">
        <w:t>(Drake et al., 2005)</w:t>
      </w:r>
      <w:r w:rsidRPr="009867C1">
        <w:fldChar w:fldCharType="end"/>
      </w:r>
      <w:r w:rsidRPr="009867C1">
        <w:t xml:space="preserve">. </w:t>
      </w:r>
    </w:p>
    <w:p w14:paraId="3F29BBE6" w14:textId="3ACB44E1" w:rsidR="00223F7A" w:rsidRPr="009867C1" w:rsidRDefault="00223F7A" w:rsidP="00223F7A">
      <w:pPr>
        <w:ind w:firstLine="720"/>
      </w:pPr>
      <w:r w:rsidRPr="009867C1">
        <w:t xml:space="preserve">Ultimately, these nutrients accumulate in, are transformed by, and pass through the soil. The effects of MDN on soils has been examined using a variety of experimental approaches, including assessing soil nutrients across regional salmon gradients </w:t>
      </w:r>
      <w:r w:rsidRPr="009867C1">
        <w:fldChar w:fldCharType="begin"/>
      </w:r>
      <w:r w:rsidR="00AC0205">
        <w:instrText xml:space="preserve"> ADDIN ZOTERO_ITEM CSL_CITATION {"citationID":"xj1t1zGK","properties":{"formattedCitation":"(Hocking &amp; Reynolds, 2011; Reimchen et al., 2003)","plainCitation":"(Hocking &amp; Reynolds, 2011; Reimchen et al., 2003)","noteIndex":0},"citationItems":[{"id":550,"uris":["http://zotero.org/users/2189142/items/JR362H46"],"itemData":{"id":550,"type":"article-journal","abstract":"The study of natural gradients in nutrient subsidies between ecosystems allows for predictions of how changes in one system can affect biodiversity in another. We performed a large-scale empirical test of the role of Pacific salmon (Oncorhynchus spp.) in structuring riparian plant communities. A comparison of 50 watersheds in the remote Great Bear Rainforest of British Columbia’s central coast in Canada shows that salmon influence nutrient loading to plants, shifting plant communities toward nutrient-rich species, which in turn decreases plant diversity. These effects are mediated by interactions between salmon density and the physical characteristics of watersheds. Predicting how salmon affect terrestrial ecosystems is central to conservation plans that aim to better integrate ecosystem values into resource management.","container-title":"Science","DOI":"10.1126/science.1201079","ISSN":"0036-8075, 1095-9203","issue":"6024","journalAbbreviation":"Science","language":"en","note":"PMID: 21442794","page":"1609-1612","source":"www.sciencemag.org.ezproxy.library.ubc.ca","title":"Impacts of Salmon on Riparian Plant Diversity","volume":"331","author":[{"family":"Hocking","given":"Morgan D."},{"family":"Reynolds","given":"John D."}],"issued":{"date-parts":[["2011",3,25]]},"citation-key":"hocking_2011"}},{"id":224,"uris":["http://zotero.org/users/2189142/items/JAJXMVKC"],"itemData":{"id":224,"type":"paper-conference","container-title":"American Fisheries Society Symposium","page":"59–70","publisher":"American Fisheries Society","source":"Google Scholar","title":"Isotopic evidence for enrichment of salmon-derived nutrients in vegetation, soil, and insects in riparian zones in coastal British Columbia","author":[{"family":"Reimchen","given":"T. E."},{"family":"Mathewson","given":"D. D."},{"family":"Hocking","given":"M. D."},{"family":"Moran","given":"J."},{"family":"Harris","given":"D."}],"issued":{"date-parts":[["2003"]]},"citation-key":"reimchen_2003"}}],"schema":"https://github.com/citation-style-language/schema/raw/master/csl-citation.json"} </w:instrText>
      </w:r>
      <w:r w:rsidRPr="009867C1">
        <w:fldChar w:fldCharType="separate"/>
      </w:r>
      <w:r w:rsidR="0042141C" w:rsidRPr="009867C1">
        <w:t>(Hocking &amp; Reynolds, 2011; Reimchen et al., 2003)</w:t>
      </w:r>
      <w:r w:rsidRPr="009867C1">
        <w:fldChar w:fldCharType="end"/>
      </w:r>
      <w:r w:rsidRPr="009867C1">
        <w:t xml:space="preserve">, above and below barriers to salmon migration (waterfalls or dams) </w:t>
      </w:r>
      <w:r w:rsidRPr="009867C1">
        <w:fldChar w:fldCharType="begin"/>
      </w:r>
      <w:r w:rsidR="00AC0205">
        <w:instrText xml:space="preserve"> ADDIN ZOTERO_ITEM CSL_CITATION {"citationID":"ie0ONg1M","properties":{"formattedCitation":"(Bartz &amp; Naiman, 2005; Gende et al., 2007; Perry et al., 2017)","plainCitation":"(Bartz &amp; Naiman, 2005; Gende et al., 2007; Perry et al., 2017)","noteIndex":0},"citationItems":[{"id":979,"uris":["http://zotero.org/users/2189142/items/ZW3R5NUV"],"itemData":{"id":979,"type":"article-journal","container-title":"Ecosystems","issue":"5","page":"529–545","source":"Google Scholar","title":"Effects of salmon-borne nutrients on riparian soils and vegetation in southwest Alaska","volume":"8","author":[{"family":"Bartz","given":"Krista K."},{"family":"Naiman","given":"Robert J."}],"issued":{"date-parts":[["2005"]]},"citation-key":"bartz_2005"}},{"id":474,"uris":["http://zotero.org/users/2189142/items/3J3JTBR8"],"itemData":{"id":474,"type":"article-journal","abstract":"Long-term studies in Alaska have demonstrated that bears may capture and carry to the riparian forest a large number of salmon that return to spawn in small freshwater streams. Most of the carcasses are partially consumed, resulting in a large amount of salmon nutrients in the form of biomass deposited on the forest floor. Using an experimental approach, we examined how these carcasses may influence the spatial and temporal dynamics of soil C and N in a riparian forest in southeastern Alaska. At their peak, ammonium (NH4+-N) concentrations in soil 10 cm from carcasses were as much as several orders of magnitude greater than soils in adjacent control plots without carcasses and remained elevated until the onset of winter. Nitrate (NO3–-N) and δ15N concentrations also increased coincident with maximum NH4+-N concentrations. However, soil N concentrations were only moderately elevated 20 cm from carcasses and closely resembled background concentrations at 30 cm. These results suggest that salmon carcasses, v..., Des études à long terme réalisées en Alaska ont démontré que les ours peuvent capturer et transporter vers la forêt riveraine un grand nombre de saumons qui reviennent frayer dans les petits ruisseaux d’eau douce. La plupart des carcasses sont partiellement consommées entraînant le dépôt dune grande quantité de nutriments sous forme de biomasse sur le parterre forestier. À l’aide d’une approche expérimentale, nous avons examiné comment ces carcasses peuvent influencer la dynamique spatiale et temporelle du C et de N du sol dans une forêt riveraine du sud-est de l’Alaska. À son maximum, la concentration d’ammonium (NH4+-N) dans le sol à 10 cm des carcasses était jusqu’à plusieurs ordres de grandeur plus élevée que dans le sol de parcelles témoins adjacentes sans carcasses et est demeurée élevée jusqu’au début de l’hiver. Les concentrations de nitrate (NO3–-N) et de δ15N ont aussi augmenté en même temps que la concentration maximum de NH4+-N. Cependant, la concentration de N dans le sol était seulement modé...","container-title":"Canadian Journal of Forest Research","DOI":"10.1139/X06-318","ISSN":"0045-5067","issue":"7","journalAbbreviation":"Can. J. For. Res.","page":"1194-1202","source":"NRC Research Press","title":"The effects of salmon carcasses on soil nitrogen pools in a riparian forest of southeastern Alaska","volume":"37","author":[{"family":"Gende","given":"Scott M."},{"family":"Miller","given":"Amy E."},{"family":"Hood","given":"Eran"}],"issued":{"date-parts":[["2007",7,1]]},"citation-key":"gende_2007"}},{"id":1599,"uris":["http://zotero.org/users/2189142/items/UCTPBSFV"],"itemData":{"id":1599,"type":"article-journal","abstract":"Riparian forest soils can be highly dynamic, due to frequent fluvial disturbance, erosion, and sediment deposition, but effects of dams on riparian soils are poorly understood. We examined soils along toposequences within three river segments located upstream, between, and downstream of two dams on the Elwha River to evaluate relationships between riparian soil development and forest age, succession, and channel proximity, explore dam effects on riparian soils, and provide a baseline for the largest dam removal in history. We found that older, later-successional forests and geomorphic surfaces contained soils with finer texture and greater depth to cobble, supporting greater forest floor mass, mineral soil nutrient levels, and cation exchange. Forest stand age was a better predictor than channel proximity for many soil characteristics, though elevation and distance from the channel were often also important, highlighting how complex interactions between fluvial disturbance, sediment deposition, and biotic retention regulate soil development in this ecosystem. Soils between the dams, and to a lesser extent below the lower dam, had finer textures and higher mineral soil carbon, nitrogen, and cation exchange than above the dams. These results suggested that decreased fluvial disturbance below the dams, due to reduced sediment supply and channel stabilization, accelerated soil development. In addition, reduced sediment supply below the dams may have decreased soil phosphorus. Soil δ15N suggested that salmon exclusion by the dams had no discernable effect on nitrogen inputs to upstream soils. Recent dam removal may alter riparian soils further, with ongoing implications for riparian ecosystems.","container-title":"Ecosystems","DOI":"10.1007/s10021-016-0080-1","ISSN":"1435-0629","issue":"1","journalAbbreviation":"Ecosystems","language":"en","page":"104-129","source":"Springer Link","title":"Riparian Soil Development Linked to Forest Succession Above and Below Dams Along the Elwha River, Washington, USA","volume":"20","author":[{"family":"Perry","given":"Laura G."},{"family":"Shafroth","given":"Patrick B."},{"family":"Perakis","given":"Steven S."}],"issued":{"date-parts":[["2017",1,1]]},"citation-key":"perry_2017"}}],"schema":"https://github.com/citation-style-language/schema/raw/master/csl-citation.json"} </w:instrText>
      </w:r>
      <w:r w:rsidRPr="009867C1">
        <w:fldChar w:fldCharType="separate"/>
      </w:r>
      <w:r w:rsidR="0042141C" w:rsidRPr="009867C1">
        <w:t>(Bartz &amp; Naiman, 2005; Gende et al., 2007; Perry et al., 2017)</w:t>
      </w:r>
      <w:r w:rsidRPr="009867C1">
        <w:fldChar w:fldCharType="end"/>
      </w:r>
      <w:r w:rsidRPr="009867C1">
        <w:t xml:space="preserve">, and in carcass addition or displacement experiments </w:t>
      </w:r>
      <w:r w:rsidRPr="009867C1">
        <w:fldChar w:fldCharType="begin"/>
      </w:r>
      <w:r w:rsidR="00AC0205">
        <w:instrText xml:space="preserve"> ADDIN ZOTERO_ITEM CSL_CITATION {"citationID":"qyqjcTRj","properties":{"formattedCitation":"(Drake et al., 2005; Feddern et al., 2019; T. A. Wheeler et al., 2014; T. A. Wheeler &amp; Kavanagh, 2017)","plainCitation":"(Drake et al., 2005; Feddern et al., 2019; T. A. Wheeler et al., 2014; T. A. Wheeler &amp; Kavanagh, 2017)","noteIndex":0},"citationItems":[{"id":795,"uris":["http://zotero.org/users/2189142/items/RN834UDP"],"itemData":{"id":795,"type":"article-journal","container-title":"Northwest Science","issue":"1","page":"61–71","source":"Google Scholar","title":"Salmon decay and nutrient contributions to riparian forest soils","volume":"79","author":[{"family":"Drake","given":"Deanne C."},{"family":"Smith","given":"Jaron V."},{"family":"Naiman","given":"Robert J."}],"issued":{"date-parts":[["2005"]]},"citation-key":"drake_2005"}},{"id":1688,"uris":["http://zotero.org/users/2189142/items/YIC4UT3V"],"itemData":{"id":1688,"type":"article-journal","abstract":"Pacific salmon acquire most of their biomass in the ocean before returning to spawn and die in coastal streams and lakes, thus providing subsidies of marine-derived nitrogen (MDN) to freshwater and terrestrial ecosystems. Recent declines in salmon abundance have raised questions of whether managers should mitigate for losses of salmon MDN subsidies. To test the long-term importance of salmon subsidies to riparian ecosystems, we measured soil nitrogen cycling in response to a 20-yr manipulation where salmon carcasses were systematically removed from one bank and deposited on the opposite bank along a 2-km stream in southwestern Alaska. Soil samples were taken at different distances from the stream bank along nine paired transects and measured for organic and inorganic nitrogen concentrations, and nitrogen transformation rates. Marine-derived nitrogen was measured using 15N/14N for bulk soils, and NH4+ and NO3− soil pools. Stable isotope analyses confirmed 15N/14N was elevated on the salmon-enhanced bank compared to the salmon-depleted bank. However, 15N/14N values of plant-available inorganic nitrogen exceeded the 15N/14N of salmon inputs, highlighting nitrogen isotope fractionation in soils that raises significant methodological issues with standard MDN assessments in riparian systems. Surprisingly, despite 20 yr of salmon supplementation, the presence of MDN did not cause a long-term increase in soil nitrogen availability. This finding indicates the importance of MDN to ecosystem nitrogen biogeochemistry, and riparian vegetation may be overestimated for some systems. Given that essential nutrients can also be pollutants, we urge more critical analyses of the role of MDN to inform compensatory mitigation programs targeting salmon nutrient enhancement.","container-title":"Ecosphere","DOI":"10.1002/ecs2.2958","ISSN":"2150-8925","issue":"11","language":"en","page":"e02958","source":"Wiley Online Library","title":"Riparian soil nitrogen cycling and isotopic enrichment in response to a long-term salmon carcass manipulation experiment","volume":"10","author":[{"family":"Feddern","given":"Megan L."},{"family":"Holtgrieve","given":"Gordon W."},{"family":"Perakis","given":"Steven S."},{"family":"Hart","given":"Julia"},{"family":"Ro","given":"Hyejoo"},{"family":"Quinn","given":"Thomas P."}],"issued":{"date-parts":[["2019"]]},"citation-key":"feddern_2019"}},{"id":838,"uris":["http://zotero.org/users/2189142/items/G2C7ZEPI"],"itemData":{"id":838,"type":"article-journal","abstract":"Terrestrial salmon carcass decomposition and nutrient dynamics have been reported for coastal marine ecosystems of the Pacific Northwest but are lacking for semi-arid inland ecosystems of this region. Understanding these processes is a critical step in accurately understanding the biochemical responses to natural salmon deposition and appropriately mitigating for its loss. Additionally, the movement of carcasses for nutrient enhancement poses the risk of spreading pathogens and disease. Freezing and pasteurization of the carcasses reduces this risk. However, the effect of these treatments on decomposition processes is unknown. Decomposition rate and nutrient dynamics were investigated in semi-arid central Idaho by decomposing salmon carcasses in soil-filled microcosms. Rapid thermal accumulation in this semi-arid climate resulted in completion of soft tissue decomposition (skeletonization) in 16 days. Soil dissolved organic C (DOC) and dissolved total N (DTN) increased dramatically with respective increases from pretreatment concentrations of 7 and 48 fold by the time skeletonization occurred. Isotopic analysis of fluids beneath the carcasses revealed up to a 6‰ change in fluid δ13C and δ15N during decomposition as well as an overall 4‰ enrichment in mean fluid δ515N, relative to whole reference carcasses. Freezing and pasteurization of carcasses only yielded differences during the first few days of decomposition relative to the fresh carcasses. These results suggest that decomposition of carcasses in inland riparian forests proceeds very rapidly and that treated carcasses are suitable surrogates for fresh carcasses in semi-arid regions of central Idaho.","container-title":"Northwest Science","DOI":"10.3955/046.088.0206","ISSN":"0029-344X","issue":"2","journalAbbreviation":"Northwest Science","page":"106-119","source":"bioone.org.ezproxy.library.ubc.ca (Atypon)","title":"Terrestrial Salmon Carcass Decomposition: Nutrient and Isotopic Dynamics in Central Idaho","title-short":"Terrestrial Salmon Carcass Decomposition","volume":"88","author":[{"family":"Wheeler","given":"Tadd A."},{"family":"Kavanagh","given":"Kathleen L."},{"family":"Daanen","given":"Steven A."}],"issued":{"date-parts":[["2014",5,1]]},"citation-key":"wheeler_2014"}},{"id":1598,"uris":["http://zotero.org/users/2189142/items/DF4W6BUL"],"itemData":{"id":1598,"type":"article-journal","abstract":"The historic abundance of salmonids returning to natal streams of the inland Pacific Northwest, USA, may have constituted a major nutrient influx into these commonly oligotrophic ecosystems. Inland..., L’abondance historique des salmonidés qui reviennent vers les cours d’eau où ils ont vu le jour dans l’arrière-pays du Pacific Northwest aux États-Unis, ont pu constituer un apport majeur de nutrim...","container-title":"Canadian Journal of Forest Research","DOI":"10.1139/cjfr-2017-0194","ISSN":"0045-5067","issue":"11","journalAbbreviation":"Can. J. For. Res.","page":"1506-1516","source":"NRC Research Press","title":"Soil biogeochemical responses to the deposition of anadromous fish carcasses in inland riparian forests of the Pacific Northwest, USA","volume":"47","author":[{"family":"Wheeler","given":"Tadd A."},{"family":"Kavanagh","given":"Kathleen L."}],"issued":{"date-parts":[["2017",9,5]]},"citation-key":"wheeler_2017"}}],"schema":"https://github.com/citation-style-language/schema/raw/master/csl-citation.json"} </w:instrText>
      </w:r>
      <w:r w:rsidRPr="009867C1">
        <w:fldChar w:fldCharType="separate"/>
      </w:r>
      <w:r w:rsidR="0042141C" w:rsidRPr="009867C1">
        <w:t>(Drake et al., 2005; Feddern et al., 2019; T. A. Wheeler et al., 2014; T. A. Wheeler &amp; Kavanagh, 2017)</w:t>
      </w:r>
      <w:r w:rsidRPr="009867C1">
        <w:fldChar w:fldCharType="end"/>
      </w:r>
      <w:r w:rsidRPr="009867C1">
        <w:t xml:space="preserve">. In other studies, soils have been sampled perpendicular to streams </w:t>
      </w:r>
      <w:r w:rsidRPr="009867C1">
        <w:fldChar w:fldCharType="begin"/>
      </w:r>
      <w:r w:rsidR="00AC0205">
        <w:instrText xml:space="preserve"> ADDIN ZOTERO_ITEM CSL_CITATION {"citationID":"kRQpAwZH","properties":{"formattedCitation":"(Scott et al., 2008)","plainCitation":"(Scott et al., 2008)","noteIndex":0},"citationItems":[{"id":181,"uris":["http://zotero.org/users/2189142/items/IK2SR8WD"],"itemData":{"id":181,"type":"article-journal","abstract":"Abstract.  We used naturally occurring stable isotopes of N to compare N dynamics in near-stream and upslope environments along riparian catenas in N-fixing red","container-title":"Forest Science","DOI":"10.1093/forestscience/54.2.140","ISSN":"0015-749X","issue":"2","journalAbbreviation":"for sci","language":"en","note":"publisher: Oxford Academic","page":"140-147","source":"academic-oup-com.ezproxy.library.ubc.ca","title":"δ15N Patterns of Douglas-Fir and Red Alder Riparian Forests in the Oregon Coast Range","volume":"54","author":[{"family":"Scott","given":"Emily E."},{"family":"Perakis","given":"Steven S."},{"family":"Hibbs","given":"David E."}],"issued":{"date-parts":[["2008",4,1]]},"citation-key":"scott_2008"}}],"schema":"https://github.com/citation-style-language/schema/raw/master/csl-citation.json"} </w:instrText>
      </w:r>
      <w:r w:rsidRPr="009867C1">
        <w:fldChar w:fldCharType="separate"/>
      </w:r>
      <w:r w:rsidR="0042141C" w:rsidRPr="009867C1">
        <w:t>(Scott et al., 2008)</w:t>
      </w:r>
      <w:r w:rsidRPr="009867C1">
        <w:fldChar w:fldCharType="end"/>
      </w:r>
      <w:r w:rsidRPr="009867C1">
        <w:t xml:space="preserve">; across chronosequences of alluvial deposits </w:t>
      </w:r>
      <w:r w:rsidRPr="009867C1">
        <w:fldChar w:fldCharType="begin"/>
      </w:r>
      <w:r w:rsidR="00AC0205">
        <w:instrText xml:space="preserve"> ADDIN ZOTERO_ITEM CSL_CITATION {"citationID":"bSpV1Pi5","properties":{"formattedCitation":"(D\\uc0\\u8217{}Amore et al., 2011, 2020; M. R. Morris &amp; Stanford, 2011)","plainCitation":"(D’Amore et al., 2011, 2020; M. R. Morris &amp; Stanford, 2011)","noteIndex":0},"citationItems":[{"id":970,"uris":["http://zotero.org/users/2189142/items/SQPRJQMG"],"itemData":{"id":970,"type":"article-journal","abstract":"The influence of salmon-derived nutrients (SDN) is widely accepted as a potential factor in the maintenance of aquatic and terrestrial productivity in North American Coastal rainforests. Holocene alluvial landforms are intimately connected with the return of anadromous salmon, but the influence of the soils that occupy these landforms and support this important terrestrial–aquatic ecological coupling have not been examined in SDN studies. We used paleo-ecologic information, soil resource inventories and measurements of soil morphology to construct a soil-geomorphic model for alluvial landforms along salmon spawning channels on Prince of Wales Island, Southeast Alaska, USA. Post-glacial sea-level rise, crustal uplift and subsidence combined with Holocene sediment deposition have formed alluvial terraces and floodplains along rivers on Prince of Wales Island. These alluvial landforms have soils that are mapped as Entisols (Tonowek soil series) and Spodosols (Tuxekan soil series). We propose a soil-geomorphic model where the Spodosols located on terraces are estimated to derive from sediments deposited after the stabilization of landscape approximately 8 kybp to 6 kybp. The stability of these soils is reflected through mature soil development with organic matter accumulation and podzolization. Our model identifies Entisols on floodplains developed from alluvial deposition in the latter Holocene that have soil morphologic features consistent with recent deposition and limited soil development. We used this soil-geomorphic model to test the hypothesis that the terrestrial end-member value commonly used to quantify nitrogen (N) loading on soils through stable isotope analysis differs by soil type and found that the two soil types had significantly different N isotopic (δ15N) values more consistent with soil development than SDN loading. The use of a soil-geomorphic model provides a means to stratify alluvial landforms and constrain the natural variability encountered in studies of riparian nutrient cycles associated with the feedbacks between SDN and terrestrial ecosystems to improve estimates of the fate of SDN in soils and vegetation.","collection-title":"Geomorphology on Multiscale Feedbacks in Ecogeomorphology","container-title":"Geomorphology","DOI":"10.1016/j.geomorph.2010.04.014","ISSN":"0169-555X","issue":"3–4","journalAbbreviation":"Geomorphology","page":"377-386","source":"ScienceDirect","title":"Holocene soil-geomorphic surfaces influence the role of salmon-derived nutrients in the coastal temperate rainforest of Southeast Alaska","volume":"126","author":[{"family":"D'Amore","given":"David V."},{"family":"Bonzey","given":"Nicholas S."},{"family":"Berkowitz","given":"Jacob"},{"family":"Rüegg","given":"Janine"},{"family":"Bridgham","given":"Scott"}],"issued":{"date-parts":[["2011",3,15]]},"citation-key":"damore_2011"}},{"id":2083,"uris":["http://zotero.org/users/2189142/items/UL2T3I39"],"itemData":{"id":2083,"type":"article-journal","container-title":"Soil Science Society of America Journal","issue":"3","note":"publisher: Wiley Online Library","page":"877–887","source":"Google Scholar","title":"The nutrient legacy left by salmon tissue on riparian soils in Southeast Alaska","volume":"84","author":[{"family":"D'Amore","given":"David V."},{"family":"Chaloner","given":"Dominic T."},{"family":"Gerig","given":"Brandon S."},{"family":"Berkowitz","given":"Jacob F."},{"family":"Bridgham","given":"Scott D."}],"issued":{"date-parts":[["2020"]]},"citation-key":"damore_2020"}},{"id":2017,"uris":["http://zotero.org/users/2189142/items/29VSLU8V"],"itemData":{"id":2017,"type":"article-journal","container-title":"Ecological Monographs","issue":"1","note":"publisher: Wiley Online Library","page":"43–61","source":"Google Scholar","title":"Floodplain succession and soil nitrogen accumulation on a salmon river in southwestern Kamchatka","volume":"81","author":[{"family":"Morris","given":"Michael R."},{"family":"Stanford","given":"Jack A."}],"issued":{"date-parts":[["2011"]]},"citation-key":"morris_2011"}}],"schema":"https://github.com/citation-style-language/schema/raw/master/csl-citation.json"} </w:instrText>
      </w:r>
      <w:r w:rsidRPr="009867C1">
        <w:fldChar w:fldCharType="separate"/>
      </w:r>
      <w:r w:rsidR="0042141C" w:rsidRPr="009867C1">
        <w:t>(D’Amore et al., 2011, 2020; M. R. Morris &amp; Stanford, 2011)</w:t>
      </w:r>
      <w:r w:rsidRPr="009867C1">
        <w:fldChar w:fldCharType="end"/>
      </w:r>
      <w:r w:rsidRPr="009867C1">
        <w:t xml:space="preserve">; and inside and outside bear exclosures </w:t>
      </w:r>
      <w:r w:rsidRPr="009867C1">
        <w:fldChar w:fldCharType="begin"/>
      </w:r>
      <w:r w:rsidR="00AC0205">
        <w:instrText xml:space="preserve"> ADDIN ZOTERO_ITEM CSL_CITATION {"citationID":"R8c6gX0A","properties":{"formattedCitation":"(Holtgrieve et al., 2009)","plainCitation":"(Holtgrieve et al., 2009)","noteIndex":0},"citationItems":[{"id":973,"uris":["http://zotero.org/users/2189142/items/RNMUUKA3"],"itemData":{"id":973,"type":"article-journal","abstract":"Two important themes in ecology include the understanding of how interactions among species control ecosystem processes, and how habitats can be connected through transfers of nutrients and energy by mobile organisms. An impressive example of both is the large influx of nutrients and organic matter that anadromous salmon supply to inland aquatic and terrestrial ecosystems and the role of predation by brown bears (Ursus arctos) in transferring these marine-derived nutrients (MDN) from freshwater to riparian habitats. In spite of the recognition that salmon-bear interactions likely play an important role in controlling the flux of MDN from aquatic to riparian habitats, few studies have linked bear predation on salmon to processes such as nitrogen (N) or carbon (C) cycling. We combine landscape-level survey data and a replicated bear-exclosure experiment to test how bear foraging on salmon affects nitrous oxide (N2O) flux, carbon dioxide (CO2) flux, and nutrient concentrations of riparian soils. Our results show that bears feeding on salmon increased soil ammonium (NH4 +) concentrations three-fold and N2O flux by 32-fold. Soil CO2 flux, nitrate (NO3 −), and N transformation differences were negligible in areas where bears fed on salmon. Reference areas without concentrated bear activity showed no detectable change in soil N cycling after the arrival of salmon to streams. Exclosure experiments showed that bear effects on soil nutrient cycles were transient, and soil N processing returned to background conditions within 1 year after bears were removed from the system. These results suggest that recipient ecosystems do not show uniform responses to MDN inputs and highlight the importance of large mobile consumers in generating landscape heterogeneity in nutrient cycles.","container-title":"Ecological Research","DOI":"10.1007/s11284-009-0591-8","ISSN":"0912-3814, 1440-1703","issue":"5","journalAbbreviation":"Ecol Res","language":"en","page":"1125-1135","source":"link.springer.com.ezproxy.library.ubc.ca","title":"Large predators and biogeochemical hotspots: brown bear (Ursus arctos) predation on salmon alters nitrogen cycling in riparian soils","title-short":"Large predators and biogeochemical hotspots","volume":"24","author":[{"family":"Holtgrieve","given":"Gordon W."},{"family":"Schindler","given":"Daniel E."},{"family":"Jewett","given":"Peter K."}],"issued":{"date-parts":[["2009",3,18]]},"citation-key":"holtgrieve_2009"}}],"schema":"https://github.com/citation-style-language/schema/raw/master/csl-citation.json"} </w:instrText>
      </w:r>
      <w:r w:rsidRPr="009867C1">
        <w:fldChar w:fldCharType="separate"/>
      </w:r>
      <w:r w:rsidR="0042141C" w:rsidRPr="009867C1">
        <w:t>(Holtgrieve et al., 2009)</w:t>
      </w:r>
      <w:r w:rsidRPr="009867C1">
        <w:fldChar w:fldCharType="end"/>
      </w:r>
      <w:r w:rsidRPr="009867C1">
        <w:t xml:space="preserve">. Due to being predators and of marine origin, salmon flesh is isotopically enriched in </w:t>
      </w:r>
      <w:r w:rsidRPr="009867C1">
        <w:rPr>
          <w:vertAlign w:val="superscript"/>
        </w:rPr>
        <w:t>15</w:t>
      </w:r>
      <w:r w:rsidRPr="009867C1">
        <w:t>N, and these diverse methodologies have often used nitrogen isotopic signatures as a primary response variable. This has shown increased δ</w:t>
      </w:r>
      <w:r w:rsidRPr="009867C1">
        <w:rPr>
          <w:vertAlign w:val="superscript"/>
        </w:rPr>
        <w:t>15</w:t>
      </w:r>
      <w:r w:rsidRPr="009867C1">
        <w:t xml:space="preserve">N </w:t>
      </w:r>
      <w:r w:rsidRPr="009867C1">
        <w:fldChar w:fldCharType="begin"/>
      </w:r>
      <w:r w:rsidR="00AC0205">
        <w:instrText xml:space="preserve"> ADDIN ZOTERO_ITEM CSL_CITATION {"citationID":"ZTf7vMQV","properties":{"formattedCitation":"(Bartz &amp; Naiman, 2005; Feddern et al., 2019; Gende et al., 2007; A. E. Morris et al., 2005b; M. R. Morris &amp; Stanford, 2011; Reimchen et al., 2003; T. A. Wheeler &amp; Kavanagh, 2017)","plainCitation":"(Bartz &amp; Naiman, 2005; Feddern et al., 2019; Gende et al., 2007; A. E. Morris et al., 2005b; M. R. Morris &amp; Stanford, 2011; Reimchen et al., 2003; T. A. Wheeler &amp; Kavanagh, 2017)","noteIndex":0},"citationItems":[{"id":979,"uris":["http://zotero.org/users/2189142/items/ZW3R5NUV"],"itemData":{"id":979,"type":"article-journal","container-title":"Ecosystems","issue":"5","page":"529–545","source":"Google Scholar","title":"Effects of salmon-borne nutrients on riparian soils and vegetation in southwest Alaska","volume":"8","author":[{"family":"Bartz","given":"Krista K."},{"family":"Naiman","given":"Robert J."}],"issued":{"date-parts":[["2005"]]},"citation-key":"bartz_2005"}},{"id":1688,"uris":["http://zotero.org/users/2189142/items/YIC4UT3V"],"itemData":{"id":1688,"type":"article-journal","abstract":"Pacific salmon acquire most of their biomass in the ocean before returning to spawn and die in coastal streams and lakes, thus providing subsidies of marine-derived nitrogen (MDN) to freshwater and terrestrial ecosystems. Recent declines in salmon abundance have raised questions of whether managers should mitigate for losses of salmon MDN subsidies. To test the long-term importance of salmon subsidies to riparian ecosystems, we measured soil nitrogen cycling in response to a 20-yr manipulation where salmon carcasses were systematically removed from one bank and deposited on the opposite bank along a 2-km stream in southwestern Alaska. Soil samples were taken at different distances from the stream bank along nine paired transects and measured for organic and inorganic nitrogen concentrations, and nitrogen transformation rates. Marine-derived nitrogen was measured using 15N/14N for bulk soils, and NH4+ and NO3− soil pools. Stable isotope analyses confirmed 15N/14N was elevated on the salmon-enhanced bank compared to the salmon-depleted bank. However, 15N/14N values of plant-available inorganic nitrogen exceeded the 15N/14N of salmon inputs, highlighting nitrogen isotope fractionation in soils that raises significant methodological issues with standard MDN assessments in riparian systems. Surprisingly, despite 20 yr of salmon supplementation, the presence of MDN did not cause a long-term increase in soil nitrogen availability. This finding indicates the importance of MDN to ecosystem nitrogen biogeochemistry, and riparian vegetation may be overestimated for some systems. Given that essential nutrients can also be pollutants, we urge more critical analyses of the role of MDN to inform compensatory mitigation programs targeting salmon nutrient enhancement.","container-title":"Ecosphere","DOI":"10.1002/ecs2.2958","ISSN":"2150-8925","issue":"11","language":"en","page":"e02958","source":"Wiley Online Library","title":"Riparian soil nitrogen cycling and isotopic enrichment in response to a long-term salmon carcass manipulation experiment","volume":"10","author":[{"family":"Feddern","given":"Megan L."},{"family":"Holtgrieve","given":"Gordon W."},{"family":"Perakis","given":"Steven S."},{"family":"Hart","given":"Julia"},{"family":"Ro","given":"Hyejoo"},{"family":"Quinn","given":"Thomas P."}],"issued":{"date-parts":[["2019"]]},"citation-key":"feddern_2019"}},{"id":474,"uris":["http://zotero.org/users/2189142/items/3J3JTBR8"],"itemData":{"id":474,"type":"article-journal","abstract":"Long-term studies in Alaska have demonstrated that bears may capture and carry to the riparian forest a large number of salmon that return to spawn in small freshwater streams. Most of the carcasses are partially consumed, resulting in a large amount of salmon nutrients in the form of biomass deposited on the forest floor. Using an experimental approach, we examined how these carcasses may influence the spatial and temporal dynamics of soil C and N in a riparian forest in southeastern Alaska. At their peak, ammonium (NH4+-N) concentrations in soil 10 cm from carcasses were as much as several orders of magnitude greater than soils in adjacent control plots without carcasses and remained elevated until the onset of winter. Nitrate (NO3–-N) and δ15N concentrations also increased coincident with maximum NH4+-N concentrations. However, soil N concentrations were only moderately elevated 20 cm from carcasses and closely resembled background concentrations at 30 cm. These results suggest that salmon carcasses, v..., Des études à long terme réalisées en Alaska ont démontré que les ours peuvent capturer et transporter vers la forêt riveraine un grand nombre de saumons qui reviennent frayer dans les petits ruisseaux d’eau douce. La plupart des carcasses sont partiellement consommées entraînant le dépôt dune grande quantité de nutriments sous forme de biomasse sur le parterre forestier. À l’aide d’une approche expérimentale, nous avons examiné comment ces carcasses peuvent influencer la dynamique spatiale et temporelle du C et de N du sol dans une forêt riveraine du sud-est de l’Alaska. À son maximum, la concentration d’ammonium (NH4+-N) dans le sol à 10 cm des carcasses était jusqu’à plusieurs ordres de grandeur plus élevée que dans le sol de parcelles témoins adjacentes sans carcasses et est demeurée élevée jusqu’au début de l’hiver. Les concentrations de nitrate (NO3–-N) et de δ15N ont aussi augmenté en même temps que la concentration maximum de NH4+-N. Cependant, la concentration de N dans le sol était seulement modé...","container-title":"Canadian Journal of Forest Research","DOI":"10.1139/X06-318","ISSN":"0045-5067","issue":"7","journalAbbreviation":"Can. J. For. Res.","page":"1194-1202","source":"NRC Research Press","title":"The effects of salmon carcasses on soil nitrogen pools in a riparian forest of southeastern Alaska","volume":"37","author":[{"family":"Gende","given":"Scott M."},{"family":"Miller","given":"Amy E."},{"family":"Hood","given":"Eran"}],"issued":{"date-parts":[["2007",7,1]]},"citation-key":"gende_2007"}},{"id":"Mdw2eqP8/sFyk2AGZ","uris":["http://zotero.org/users/2189142/items/VQN2DZQ5"],"itemData":{"id":1047,"type":"article-journal","abstract":"Pacific salmon (Oncorhynchus spp.) transport nitrogen (N) from oceans to inland ecosystems. Salmon δ15N is higher than δ15N expected in terrestrial plants, so linear two-source mixing models have commonly been used to quantify contributions of marine-derived N (MDN) to riparian ecosystems based on riparian plant δ15N. However, isotopic fractionation potentially contributes to error in MDN estimates by changing δ15N of salmon-derived N appearing in soil and plants. We used a simulation model to examine potential effects of fractionation on MDN estimates. We also measured changes in δ15N and δ13C as N and carbon (C) moved from bear feces into soil, and compared MDN estimates using three different estimates for the marine endmember of a linear mixing model. Simulation demonstrated that fractionation during soil N losses could lead to large overestimations of MDN when δ15N of salmon tissue is used as the marine endmember. δ15N of bear feces was significantly enriched (by 1.9) relative to salmon tissue, but d..., Le saumon du Pacifique (Oncorhynchus spp.) transporte de l'azote (N) des océans vers les écosystèmes continentaux. Comme le δ15N du saumon est plus élevé que le δ15N anticipé pour les plantes terrestres, des modèles linéaires de mélange de deux sources de fluides ont souvent été utilisés pour quantifier les contributions de N dérivé du milieu marin (ADMM) aux écosystèmes riverains en se basant sur le δ15N des plantes riveraines. Toutefois, le fractionnement isotopique peut contribuer à fausser les estimations de l'ADMM en changeant le δ15N de N du saumon apparaissant dans le sol et les plantes. Les auteurs ont utilisé un modèle de simulation pour examiner les effets potentiels du fractionnement sur les estimations de l'ADMM. Ils ont aussi mesuré les changements dans le δ15N et le δ13C étant donné que le N et le carbone (C) passent des fèces d'ours au sol, et ils ont comparé les estimations de l'ADMM en utilisant trois estimés différents pour le pôle marin d'un modèle linéaire de mélange de fluides. Les si...","container-title":"Canadian Journal of Forest Research","DOI":"10.1139/x05-094","ISSN":"0045-5067","issue":"7","journalAbbreviation":"Can. J. For. Res.","page":"1604-1616","source":"NRC Research Press","title":"Evaluation of isotopic fractionation error on calculations of marine-derived nitrogen in terrestrial ecosystems","volume":"35","author":[{"family":"Morris","given":"Arthur EL"},{"family":"Stark","given":"John M"},{"family":"Gilbert","given":"Barrie K"}],"issued":{"date-parts":[["2005",7,1]]}}},{"id":2017,"uris":["http://zotero.org/users/2189142/items/29VSLU8V"],"itemData":{"id":2017,"type":"article-journal","container-title":"Ecological Monographs","issue":"1","note":"publisher: Wiley Online Library","page":"43–61","source":"Google Scholar","title":"Floodplain succession and soil nitrogen accumulation on a salmon river in southwestern Kamchatka","volume":"81","author":[{"family":"Morris","given":"Michael R."},{"family":"Stanford","given":"Jack A."}],"issued":{"date-parts":[["2011"]]},"citation-key":"morris_2011"}},{"id":224,"uris":["http://zotero.org/users/2189142/items/JAJXMVKC"],"itemData":{"id":224,"type":"paper-conference","container-title":"American Fisheries Society Symposium","page":"59–70","publisher":"American Fisheries Society","source":"Google Scholar","title":"Isotopic evidence for enrichment of salmon-derived nutrients in vegetation, soil, and insects in riparian zones in coastal British Columbia","author":[{"family":"Reimchen","given":"T. E."},{"family":"Mathewson","given":"D. D."},{"family":"Hocking","given":"M. D."},{"family":"Moran","given":"J."},{"family":"Harris","given":"D."}],"issued":{"date-parts":[["2003"]]},"citation-key":"reimchen_2003"}},{"id":1598,"uris":["http://zotero.org/users/2189142/items/DF4W6BUL"],"itemData":{"id":1598,"type":"article-journal","abstract":"The historic abundance of salmonids returning to natal streams of the inland Pacific Northwest, USA, may have constituted a major nutrient influx into these commonly oligotrophic ecosystems. Inland..., L’abondance historique des salmonidés qui reviennent vers les cours d’eau où ils ont vu le jour dans l’arrière-pays du Pacific Northwest aux États-Unis, ont pu constituer un apport majeur de nutrim...","container-title":"Canadian Journal of Forest Research","DOI":"10.1139/cjfr-2017-0194","ISSN":"0045-5067","issue":"11","journalAbbreviation":"Can. J. For. Res.","page":"1506-1516","source":"NRC Research Press","title":"Soil biogeochemical responses to the deposition of anadromous fish carcasses in inland riparian forests of the Pacific Northwest, USA","volume":"47","author":[{"family":"Wheeler","given":"Tadd A."},{"family":"Kavanagh","given":"Kathleen L."}],"issued":{"date-parts":[["2017",9,5]]},"citation-key":"wheeler_2017"}}],"schema":"https://github.com/citation-style-language/schema/raw/master/csl-citation.json"} </w:instrText>
      </w:r>
      <w:r w:rsidRPr="009867C1">
        <w:fldChar w:fldCharType="separate"/>
      </w:r>
      <w:r w:rsidR="0042141C" w:rsidRPr="009867C1">
        <w:t>(Bartz &amp; Naiman, 2005; Feddern et al., 2019; Gende et al., 2007; A. E. Morris et al., 2005b; M. R. Morris &amp; Stanford, 2011; Reimchen et al., 2003; T. A. Wheeler &amp; Kavanagh, 2017)</w:t>
      </w:r>
      <w:r w:rsidRPr="009867C1">
        <w:fldChar w:fldCharType="end"/>
      </w:r>
      <w:r w:rsidRPr="009867C1">
        <w:t>, decreased δ</w:t>
      </w:r>
      <w:r w:rsidRPr="009867C1">
        <w:rPr>
          <w:vertAlign w:val="superscript"/>
        </w:rPr>
        <w:t>15</w:t>
      </w:r>
      <w:r w:rsidRPr="009867C1">
        <w:t xml:space="preserve">N </w:t>
      </w:r>
      <w:r w:rsidRPr="009867C1">
        <w:fldChar w:fldCharType="begin"/>
      </w:r>
      <w:r w:rsidR="00AC0205">
        <w:instrText xml:space="preserve"> ADDIN ZOTERO_ITEM CSL_CITATION {"citationID":"BBkahaE2","properties":{"formattedCitation":"(Scott et al., 2008)","plainCitation":"(Scott et al., 2008)","noteIndex":0},"citationItems":[{"id":181,"uris":["http://zotero.org/users/2189142/items/IK2SR8WD"],"itemData":{"id":181,"type":"article-journal","abstract":"Abstract.  We used naturally occurring stable isotopes of N to compare N dynamics in near-stream and upslope environments along riparian catenas in N-fixing red","container-title":"Forest Science","DOI":"10.1093/forestscience/54.2.140","ISSN":"0015-749X","issue":"2","journalAbbreviation":"for sci","language":"en","note":"publisher: Oxford Academic","page":"140-147","source":"academic-oup-com.ezproxy.library.ubc.ca","title":"δ15N Patterns of Douglas-Fir and Red Alder Riparian Forests in the Oregon Coast Range","volume":"54","author":[{"family":"Scott","given":"Emily E."},{"family":"Perakis","given":"Steven S."},{"family":"Hibbs","given":"David E."}],"issued":{"date-parts":[["2008",4,1]]},"citation-key":"scott_2008"}}],"schema":"https://github.com/citation-style-language/schema/raw/master/csl-citation.json"} </w:instrText>
      </w:r>
      <w:r w:rsidRPr="009867C1">
        <w:fldChar w:fldCharType="separate"/>
      </w:r>
      <w:r w:rsidR="0042141C" w:rsidRPr="009867C1">
        <w:t>(Scott et al., 2008)</w:t>
      </w:r>
      <w:r w:rsidRPr="009867C1">
        <w:fldChar w:fldCharType="end"/>
      </w:r>
      <w:r w:rsidRPr="009867C1">
        <w:t xml:space="preserve">, or no change </w:t>
      </w:r>
      <w:r w:rsidRPr="009867C1">
        <w:fldChar w:fldCharType="begin"/>
      </w:r>
      <w:r w:rsidR="00AC0205">
        <w:instrText xml:space="preserve"> ADDIN ZOTERO_ITEM CSL_CITATION {"citationID":"xl99B2ln","properties":{"formattedCitation":"(Perry et al., 2017)","plainCitation":"(Perry et al., 2017)","noteIndex":0},"citationItems":[{"id":1599,"uris":["http://zotero.org/users/2189142/items/UCTPBSFV"],"itemData":{"id":1599,"type":"article-journal","abstract":"Riparian forest soils can be highly dynamic, due to frequent fluvial disturbance, erosion, and sediment deposition, but effects of dams on riparian soils are poorly understood. We examined soils along toposequences within three river segments located upstream, between, and downstream of two dams on the Elwha River to evaluate relationships between riparian soil development and forest age, succession, and channel proximity, explore dam effects on riparian soils, and provide a baseline for the largest dam removal in history. We found that older, later-successional forests and geomorphic surfaces contained soils with finer texture and greater depth to cobble, supporting greater forest floor mass, mineral soil nutrient levels, and cation exchange. Forest stand age was a better predictor than channel proximity for many soil characteristics, though elevation and distance from the channel were often also important, highlighting how complex interactions between fluvial disturbance, sediment deposition, and biotic retention regulate soil development in this ecosystem. Soils between the dams, and to a lesser extent below the lower dam, had finer textures and higher mineral soil carbon, nitrogen, and cation exchange than above the dams. These results suggested that decreased fluvial disturbance below the dams, due to reduced sediment supply and channel stabilization, accelerated soil development. In addition, reduced sediment supply below the dams may have decreased soil phosphorus. Soil δ15N suggested that salmon exclusion by the dams had no discernable effect on nitrogen inputs to upstream soils. Recent dam removal may alter riparian soils further, with ongoing implications for riparian ecosystems.","container-title":"Ecosystems","DOI":"10.1007/s10021-016-0080-1","ISSN":"1435-0629","issue":"1","journalAbbreviation":"Ecosystems","language":"en","page":"104-129","source":"Springer Link","title":"Riparian Soil Development Linked to Forest Succession Above and Below Dams Along the Elwha River, Washington, USA","volume":"20","author":[{"family":"Perry","given":"Laura G."},{"family":"Shafroth","given":"Patrick B."},{"family":"Perakis","given":"Steven S."}],"issued":{"date-parts":[["2017",1,1]]},"citation-key":"perry_2017"}}],"schema":"https://github.com/citation-style-language/schema/raw/master/csl-citation.json"} </w:instrText>
      </w:r>
      <w:r w:rsidRPr="009867C1">
        <w:fldChar w:fldCharType="separate"/>
      </w:r>
      <w:r w:rsidR="0042141C" w:rsidRPr="009867C1">
        <w:t>(Perry et al., 2017)</w:t>
      </w:r>
      <w:r w:rsidRPr="009867C1">
        <w:fldChar w:fldCharType="end"/>
      </w:r>
      <w:r w:rsidRPr="009867C1">
        <w:t xml:space="preserve"> along gradients of salmon nutrient inputs. In addition, MDN have been shown to be associated with increased total soil N </w:t>
      </w:r>
      <w:r w:rsidRPr="009867C1">
        <w:fldChar w:fldCharType="begin"/>
      </w:r>
      <w:r w:rsidR="00AC0205">
        <w:instrText xml:space="preserve"> ADDIN ZOTERO_ITEM CSL_CITATION {"citationID":"KkyWZR9z","properties":{"formattedCitation":"(Bartz &amp; Naiman, 2005; Gende et al., 2007; Holtgrieve et al., 2009; M. R. Morris &amp; Stanford, 2011; Perry et al., 2017; T. A. Wheeler et al., 2014; T. A. Wheeler &amp; Kavanagh, 2017)","plainCitation":"(Bartz &amp; Naiman, 2005; Gende et al., 2007; Holtgrieve et al., 2009; M. R. Morris &amp; Stanford, 2011; Perry et al., 2017; T. A. Wheeler et al., 2014; T. A. Wheeler &amp; Kavanagh, 2017)","noteIndex":0},"citationItems":[{"id":979,"uris":["http://zotero.org/users/2189142/items/ZW3R5NUV"],"itemData":{"id":979,"type":"article-journal","container-title":"Ecosystems","issue":"5","page":"529–545","source":"Google Scholar","title":"Effects of salmon-borne nutrients on riparian soils and vegetation in southwest Alaska","volume":"8","author":[{"family":"Bartz","given":"Krista K."},{"family":"Naiman","given":"Robert J."}],"issued":{"date-parts":[["2005"]]},"citation-key":"bartz_2005"}},{"id":474,"uris":["http://zotero.org/users/2189142/items/3J3JTBR8"],"itemData":{"id":474,"type":"article-journal","abstract":"Long-term studies in Alaska have demonstrated that bears may capture and carry to the riparian forest a large number of salmon that return to spawn in small freshwater streams. Most of the carcasses are partially consumed, resulting in a large amount of salmon nutrients in the form of biomass deposited on the forest floor. Using an experimental approach, we examined how these carcasses may influence the spatial and temporal dynamics of soil C and N in a riparian forest in southeastern Alaska. At their peak, ammonium (NH4+-N) concentrations in soil 10 cm from carcasses were as much as several orders of magnitude greater than soils in adjacent control plots without carcasses and remained elevated until the onset of winter. Nitrate (NO3–-N) and δ15N concentrations also increased coincident with maximum NH4+-N concentrations. However, soil N concentrations were only moderately elevated 20 cm from carcasses and closely resembled background concentrations at 30 cm. These results suggest that salmon carcasses, v..., Des études à long terme réalisées en Alaska ont démontré que les ours peuvent capturer et transporter vers la forêt riveraine un grand nombre de saumons qui reviennent frayer dans les petits ruisseaux d’eau douce. La plupart des carcasses sont partiellement consommées entraînant le dépôt dune grande quantité de nutriments sous forme de biomasse sur le parterre forestier. À l’aide d’une approche expérimentale, nous avons examiné comment ces carcasses peuvent influencer la dynamique spatiale et temporelle du C et de N du sol dans une forêt riveraine du sud-est de l’Alaska. À son maximum, la concentration d’ammonium (NH4+-N) dans le sol à 10 cm des carcasses était jusqu’à plusieurs ordres de grandeur plus élevée que dans le sol de parcelles témoins adjacentes sans carcasses et est demeurée élevée jusqu’au début de l’hiver. Les concentrations de nitrate (NO3–-N) et de δ15N ont aussi augmenté en même temps que la concentration maximum de NH4+-N. Cependant, la concentration de N dans le sol était seulement modé...","container-title":"Canadian Journal of Forest Research","DOI":"10.1139/X06-318","ISSN":"0045-5067","issue":"7","journalAbbreviation":"Can. J. For. Res.","page":"1194-1202","source":"NRC Research Press","title":"The effects of salmon carcasses on soil nitrogen pools in a riparian forest of southeastern Alaska","volume":"37","author":[{"family":"Gende","given":"Scott M."},{"family":"Miller","given":"Amy E."},{"family":"Hood","given":"Eran"}],"issued":{"date-parts":[["2007",7,1]]},"citation-key":"gende_2007"}},{"id":973,"uris":["http://zotero.org/users/2189142/items/RNMUUKA3"],"itemData":{"id":973,"type":"article-journal","abstract":"Two important themes in ecology include the understanding of how interactions among species control ecosystem processes, and how habitats can be connected through transfers of nutrients and energy by mobile organisms. An impressive example of both is the large influx of nutrients and organic matter that anadromous salmon supply to inland aquatic and terrestrial ecosystems and the role of predation by brown bears (Ursus arctos) in transferring these marine-derived nutrients (MDN) from freshwater to riparian habitats. In spite of the recognition that salmon-bear interactions likely play an important role in controlling the flux of MDN from aquatic to riparian habitats, few studies have linked bear predation on salmon to processes such as nitrogen (N) or carbon (C) cycling. We combine landscape-level survey data and a replicated bear-exclosure experiment to test how bear foraging on salmon affects nitrous oxide (N2O) flux, carbon dioxide (CO2) flux, and nutrient concentrations of riparian soils. Our results show that bears feeding on salmon increased soil ammonium (NH4 +) concentrations three-fold and N2O flux by 32-fold. Soil CO2 flux, nitrate (NO3 −), and N transformation differences were negligible in areas where bears fed on salmon. Reference areas without concentrated bear activity showed no detectable change in soil N cycling after the arrival of salmon to streams. Exclosure experiments showed that bear effects on soil nutrient cycles were transient, and soil N processing returned to background conditions within 1 year after bears were removed from the system. These results suggest that recipient ecosystems do not show uniform responses to MDN inputs and highlight the importance of large mobile consumers in generating landscape heterogeneity in nutrient cycles.","container-title":"Ecological Research","DOI":"10.1007/s11284-009-0591-8","ISSN":"0912-3814, 1440-1703","issue":"5","journalAbbreviation":"Ecol Res","language":"en","page":"1125-1135","source":"link.springer.com.ezproxy.library.ubc.ca","title":"Large predators and biogeochemical hotspots: brown bear (Ursus arctos) predation on salmon alters nitrogen cycling in riparian soils","title-short":"Large predators and biogeochemical hotspots","volume":"24","author":[{"family":"Holtgrieve","given":"Gordon W."},{"family":"Schindler","given":"Daniel E."},{"family":"Jewett","given":"Peter K."}],"issued":{"date-parts":[["2009",3,18]]},"citation-key":"holtgrieve_2009"}},{"id":2017,"uris":["http://zotero.org/users/2189142/items/29VSLU8V"],"itemData":{"id":2017,"type":"article-journal","container-title":"Ecological Monographs","issue":"1","note":"publisher: Wiley Online Library","page":"43–61","source":"Google Scholar","title":"Floodplain succession and soil nitrogen accumulation on a salmon river in southwestern Kamchatka","volume":"81","author":[{"family":"Morris","given":"Michael R."},{"family":"Stanford","given":"Jack A."}],"issued":{"date-parts":[["2011"]]},"citation-key":"morris_2011"}},{"id":1599,"uris":["http://zotero.org/users/2189142/items/UCTPBSFV"],"itemData":{"id":1599,"type":"article-journal","abstract":"Riparian forest soils can be highly dynamic, due to frequent fluvial disturbance, erosion, and sediment deposition, but effects of dams on riparian soils are poorly understood. We examined soils along toposequences within three river segments located upstream, between, and downstream of two dams on the Elwha River to evaluate relationships between riparian soil development and forest age, succession, and channel proximity, explore dam effects on riparian soils, and provide a baseline for the largest dam removal in history. We found that older, later-successional forests and geomorphic surfaces contained soils with finer texture and greater depth to cobble, supporting greater forest floor mass, mineral soil nutrient levels, and cation exchange. Forest stand age was a better predictor than channel proximity for many soil characteristics, though elevation and distance from the channel were often also important, highlighting how complex interactions between fluvial disturbance, sediment deposition, and biotic retention regulate soil development in this ecosystem. Soils between the dams, and to a lesser extent below the lower dam, had finer textures and higher mineral soil carbon, nitrogen, and cation exchange than above the dams. These results suggested that decreased fluvial disturbance below the dams, due to reduced sediment supply and channel stabilization, accelerated soil development. In addition, reduced sediment supply below the dams may have decreased soil phosphorus. Soil δ15N suggested that salmon exclusion by the dams had no discernable effect on nitrogen inputs to upstream soils. Recent dam removal may alter riparian soils further, with ongoing implications for riparian ecosystems.","container-title":"Ecosystems","DOI":"10.1007/s10021-016-0080-1","ISSN":"1435-0629","issue":"1","journalAbbreviation":"Ecosystems","language":"en","page":"104-129","source":"Springer Link","title":"Riparian Soil Development Linked to Forest Succession Above and Below Dams Along the Elwha River, Washington, USA","volume":"20","author":[{"family":"Perry","given":"Laura G."},{"family":"Shafroth","given":"Patrick B."},{"family":"Perakis","given":"Steven S."}],"issued":{"date-parts":[["2017",1,1]]},"citation-key":"perry_2017"}},{"id":838,"uris":["http://zotero.org/users/2189142/items/G2C7ZEPI"],"itemData":{"id":838,"type":"article-journal","abstract":"Terrestrial salmon carcass decomposition and nutrient dynamics have been reported for coastal marine ecosystems of the Pacific Northwest but are lacking for semi-arid inland ecosystems of this region. Understanding these processes is a critical step in accurately understanding the biochemical responses to natural salmon deposition and appropriately mitigating for its loss. Additionally, the movement of carcasses for nutrient enhancement poses the risk of spreading pathogens and disease. Freezing and pasteurization of the carcasses reduces this risk. However, the effect of these treatments on decomposition processes is unknown. Decomposition rate and nutrient dynamics were investigated in semi-arid central Idaho by decomposing salmon carcasses in soil-filled microcosms. Rapid thermal accumulation in this semi-arid climate resulted in completion of soft tissue decomposition (skeletonization) in 16 days. Soil dissolved organic C (DOC) and dissolved total N (DTN) increased dramatically with respective increases from pretreatment concentrations of 7 and 48 fold by the time skeletonization occurred. Isotopic analysis of fluids beneath the carcasses revealed up to a 6‰ change in fluid δ13C and δ15N during decomposition as well as an overall 4‰ enrichment in mean fluid δ515N, relative to whole reference carcasses. Freezing and pasteurization of carcasses only yielded differences during the first few days of decomposition relative to the fresh carcasses. These results suggest that decomposition of carcasses in inland riparian forests proceeds very rapidly and that treated carcasses are suitable surrogates for fresh carcasses in semi-arid regions of central Idaho.","container-title":"Northwest Science","DOI":"10.3955/046.088.0206","ISSN":"0029-344X","issue":"2","journalAbbreviation":"Northwest Science","page":"106-119","source":"bioone.org.ezproxy.library.ubc.ca (Atypon)","title":"Terrestrial Salmon Carcass Decomposition: Nutrient and Isotopic Dynamics in Central Idaho","title-short":"Terrestrial Salmon Carcass Decomposition","volume":"88","author":[{"family":"Wheeler","given":"Tadd A."},{"family":"Kavanagh","given":"Kathleen L."},{"family":"Daanen","given":"Steven A."}],"issued":{"date-parts":[["2014",5,1]]},"citation-key":"wheeler_2014"}},{"id":1598,"uris":["http://zotero.org/users/2189142/items/DF4W6BUL"],"itemData":{"id":1598,"type":"article-journal","abstract":"The historic abundance of salmonids returning to natal streams of the inland Pacific Northwest, USA, may have constituted a major nutrient influx into these commonly oligotrophic ecosystems. Inland..., L’abondance historique des salmonidés qui reviennent vers les cours d’eau où ils ont vu le jour dans l’arrière-pays du Pacific Northwest aux États-Unis, ont pu constituer un apport majeur de nutrim...","container-title":"Canadian Journal of Forest Research","DOI":"10.1139/cjfr-2017-0194","ISSN":"0045-5067","issue":"11","journalAbbreviation":"Can. J. For. Res.","page":"1506-1516","source":"NRC Research Press","title":"Soil biogeochemical responses to the deposition of anadromous fish carcasses in inland riparian forests of the Pacific Northwest, USA","volume":"47","author":[{"family":"Wheeler","given":"Tadd A."},{"family":"Kavanagh","given":"Kathleen L."}],"issued":{"date-parts":[["2017",9,5]]},"citation-key":"wheeler_2017"}}],"schema":"https://github.com/citation-style-language/schema/raw/master/csl-citation.json"} </w:instrText>
      </w:r>
      <w:r w:rsidRPr="009867C1">
        <w:fldChar w:fldCharType="separate"/>
      </w:r>
      <w:r w:rsidR="0042141C" w:rsidRPr="009867C1">
        <w:t>(Bartz &amp; Naiman, 2005; Gende et al., 2007; Holtgrieve et al., 2009; M. R. Morris &amp; Stanford, 2011; Perry et al., 2017; T. A. Wheeler et al., 2014; T. A. Wheeler &amp; Kavanagh, 2017)</w:t>
      </w:r>
      <w:r w:rsidRPr="009867C1">
        <w:fldChar w:fldCharType="end"/>
      </w:r>
      <w:r w:rsidRPr="009867C1">
        <w:t xml:space="preserve">, nitrate </w:t>
      </w:r>
      <w:r w:rsidRPr="009867C1">
        <w:fldChar w:fldCharType="begin"/>
      </w:r>
      <w:r w:rsidR="00AC0205">
        <w:instrText xml:space="preserve"> ADDIN ZOTERO_ITEM CSL_CITATION {"citationID":"Jvac1Rp4","properties":{"formattedCitation":"(Drake et al., 2005; Gende et al., 2007; Holtgrieve et al., 2009)","plainCitation":"(Drake et al., 2005; Gende et al., 2007; Holtgrieve et al., 2009)","noteIndex":0},"citationItems":[{"id":795,"uris":["http://zotero.org/users/2189142/items/RN834UDP"],"itemData":{"id":795,"type":"article-journal","container-title":"Northwest Science","issue":"1","page":"61–71","source":"Google Scholar","title":"Salmon decay and nutrient contributions to riparian forest soils","volume":"79","author":[{"family":"Drake","given":"Deanne C."},{"family":"Smith","given":"Jaron V."},{"family":"Naiman","given":"Robert J."}],"issued":{"date-parts":[["2005"]]},"citation-key":"drake_2005"}},{"id":474,"uris":["http://zotero.org/users/2189142/items/3J3JTBR8"],"itemData":{"id":474,"type":"article-journal","abstract":"Long-term studies in Alaska have demonstrated that bears may capture and carry to the riparian forest a large number of salmon that return to spawn in small freshwater streams. Most of the carcasses are partially consumed, resulting in a large amount of salmon nutrients in the form of biomass deposited on the forest floor. Using an experimental approach, we examined how these carcasses may influence the spatial and temporal dynamics of soil C and N in a riparian forest in southeastern Alaska. At their peak, ammonium (NH4+-N) concentrations in soil 10 cm from carcasses were as much as several orders of magnitude greater than soils in adjacent control plots without carcasses and remained elevated until the onset of winter. Nitrate (NO3–-N) and δ15N concentrations also increased coincident with maximum NH4+-N concentrations. However, soil N concentrations were only moderately elevated 20 cm from carcasses and closely resembled background concentrations at 30 cm. These results suggest that salmon carcasses, v..., Des études à long terme réalisées en Alaska ont démontré que les ours peuvent capturer et transporter vers la forêt riveraine un grand nombre de saumons qui reviennent frayer dans les petits ruisseaux d’eau douce. La plupart des carcasses sont partiellement consommées entraînant le dépôt dune grande quantité de nutriments sous forme de biomasse sur le parterre forestier. À l’aide d’une approche expérimentale, nous avons examiné comment ces carcasses peuvent influencer la dynamique spatiale et temporelle du C et de N du sol dans une forêt riveraine du sud-est de l’Alaska. À son maximum, la concentration d’ammonium (NH4+-N) dans le sol à 10 cm des carcasses était jusqu’à plusieurs ordres de grandeur plus élevée que dans le sol de parcelles témoins adjacentes sans carcasses et est demeurée élevée jusqu’au début de l’hiver. Les concentrations de nitrate (NO3–-N) et de δ15N ont aussi augmenté en même temps que la concentration maximum de NH4+-N. Cependant, la concentration de N dans le sol était seulement modé...","container-title":"Canadian Journal of Forest Research","DOI":"10.1139/X06-318","ISSN":"0045-5067","issue":"7","journalAbbreviation":"Can. J. For. Res.","page":"1194-1202","source":"NRC Research Press","title":"The effects of salmon carcasses on soil nitrogen pools in a riparian forest of southeastern Alaska","volume":"37","author":[{"family":"Gende","given":"Scott M."},{"family":"Miller","given":"Amy E."},{"family":"Hood","given":"Eran"}],"issued":{"date-parts":[["2007",7,1]]},"citation-key":"gende_2007"}},{"id":973,"uris":["http://zotero.org/users/2189142/items/RNMUUKA3"],"itemData":{"id":973,"type":"article-journal","abstract":"Two important themes in ecology include the understanding of how interactions among species control ecosystem processes, and how habitats can be connected through transfers of nutrients and energy by mobile organisms. An impressive example of both is the large influx of nutrients and organic matter that anadromous salmon supply to inland aquatic and terrestrial ecosystems and the role of predation by brown bears (Ursus arctos) in transferring these marine-derived nutrients (MDN) from freshwater to riparian habitats. In spite of the recognition that salmon-bear interactions likely play an important role in controlling the flux of MDN from aquatic to riparian habitats, few studies have linked bear predation on salmon to processes such as nitrogen (N) or carbon (C) cycling. We combine landscape-level survey data and a replicated bear-exclosure experiment to test how bear foraging on salmon affects nitrous oxide (N2O) flux, carbon dioxide (CO2) flux, and nutrient concentrations of riparian soils. Our results show that bears feeding on salmon increased soil ammonium (NH4 +) concentrations three-fold and N2O flux by 32-fold. Soil CO2 flux, nitrate (NO3 −), and N transformation differences were negligible in areas where bears fed on salmon. Reference areas without concentrated bear activity showed no detectable change in soil N cycling after the arrival of salmon to streams. Exclosure experiments showed that bear effects on soil nutrient cycles were transient, and soil N processing returned to background conditions within 1 year after bears were removed from the system. These results suggest that recipient ecosystems do not show uniform responses to MDN inputs and highlight the importance of large mobile consumers in generating landscape heterogeneity in nutrient cycles.","container-title":"Ecological Research","DOI":"10.1007/s11284-009-0591-8","ISSN":"0912-3814, 1440-1703","issue":"5","journalAbbreviation":"Ecol Res","language":"en","page":"1125-1135","source":"link.springer.com.ezproxy.library.ubc.ca","title":"Large predators and biogeochemical hotspots: brown bear (Ursus arctos) predation on salmon alters nitrogen cycling in riparian soils","title-short":"Large predators and biogeochemical hotspots","volume":"24","author":[{"family":"Holtgrieve","given":"Gordon W."},{"family":"Schindler","given":"Daniel E."},{"family":"Jewett","given":"Peter K."}],"issued":{"date-parts":[["2009",3,18]]},"citation-key":"holtgrieve_2009"}}],"schema":"https://github.com/citation-style-language/schema/raw/master/csl-citation.json"} </w:instrText>
      </w:r>
      <w:r w:rsidRPr="009867C1">
        <w:fldChar w:fldCharType="separate"/>
      </w:r>
      <w:r w:rsidR="0042141C" w:rsidRPr="009867C1">
        <w:t>(Drake et al., 2005; Gende et al., 2007; Holtgrieve et al., 2009)</w:t>
      </w:r>
      <w:r w:rsidRPr="009867C1">
        <w:fldChar w:fldCharType="end"/>
      </w:r>
      <w:r w:rsidRPr="009867C1">
        <w:t xml:space="preserve">, ammonium </w:t>
      </w:r>
      <w:r w:rsidRPr="009867C1">
        <w:fldChar w:fldCharType="begin"/>
      </w:r>
      <w:r w:rsidR="00AC0205">
        <w:instrText xml:space="preserve"> ADDIN ZOTERO_ITEM CSL_CITATION {"citationID":"7cignPBL","properties":{"formattedCitation":"(Drake et al., 2005; Gende et al., 2007; Holtgrieve et al., 2009)","plainCitation":"(Drake et al., 2005; Gende et al., 2007; Holtgrieve et al., 2009)","noteIndex":0},"citationItems":[{"id":795,"uris":["http://zotero.org/users/2189142/items/RN834UDP"],"itemData":{"id":795,"type":"article-journal","container-title":"Northwest Science","issue":"1","page":"61–71","source":"Google Scholar","title":"Salmon decay and nutrient contributions to riparian forest soils","volume":"79","author":[{"family":"Drake","given":"Deanne C."},{"family":"Smith","given":"Jaron V."},{"family":"Naiman","given":"Robert J."}],"issued":{"date-parts":[["2005"]]},"citation-key":"drake_2005"}},{"id":474,"uris":["http://zotero.org/users/2189142/items/3J3JTBR8"],"itemData":{"id":474,"type":"article-journal","abstract":"Long-term studies in Alaska have demonstrated that bears may capture and carry to the riparian forest a large number of salmon that return to spawn in small freshwater streams. Most of the carcasses are partially consumed, resulting in a large amount of salmon nutrients in the form of biomass deposited on the forest floor. Using an experimental approach, we examined how these carcasses may influence the spatial and temporal dynamics of soil C and N in a riparian forest in southeastern Alaska. At their peak, ammonium (NH4+-N) concentrations in soil 10 cm from carcasses were as much as several orders of magnitude greater than soils in adjacent control plots without carcasses and remained elevated until the onset of winter. Nitrate (NO3–-N) and δ15N concentrations also increased coincident with maximum NH4+-N concentrations. However, soil N concentrations were only moderately elevated 20 cm from carcasses and closely resembled background concentrations at 30 cm. These results suggest that salmon carcasses, v..., Des études à long terme réalisées en Alaska ont démontré que les ours peuvent capturer et transporter vers la forêt riveraine un grand nombre de saumons qui reviennent frayer dans les petits ruisseaux d’eau douce. La plupart des carcasses sont partiellement consommées entraînant le dépôt dune grande quantité de nutriments sous forme de biomasse sur le parterre forestier. À l’aide d’une approche expérimentale, nous avons examiné comment ces carcasses peuvent influencer la dynamique spatiale et temporelle du C et de N du sol dans une forêt riveraine du sud-est de l’Alaska. À son maximum, la concentration d’ammonium (NH4+-N) dans le sol à 10 cm des carcasses était jusqu’à plusieurs ordres de grandeur plus élevée que dans le sol de parcelles témoins adjacentes sans carcasses et est demeurée élevée jusqu’au début de l’hiver. Les concentrations de nitrate (NO3–-N) et de δ15N ont aussi augmenté en même temps que la concentration maximum de NH4+-N. Cependant, la concentration de N dans le sol était seulement modé...","container-title":"Canadian Journal of Forest Research","DOI":"10.1139/X06-318","ISSN":"0045-5067","issue":"7","journalAbbreviation":"Can. J. For. Res.","page":"1194-1202","source":"NRC Research Press","title":"The effects of salmon carcasses on soil nitrogen pools in a riparian forest of southeastern Alaska","volume":"37","author":[{"family":"Gende","given":"Scott M."},{"family":"Miller","given":"Amy E."},{"family":"Hood","given":"Eran"}],"issued":{"date-parts":[["2007",7,1]]},"citation-key":"gende_2007"}},{"id":973,"uris":["http://zotero.org/users/2189142/items/RNMUUKA3"],"itemData":{"id":973,"type":"article-journal","abstract":"Two important themes in ecology include the understanding of how interactions among species control ecosystem processes, and how habitats can be connected through transfers of nutrients and energy by mobile organisms. An impressive example of both is the large influx of nutrients and organic matter that anadromous salmon supply to inland aquatic and terrestrial ecosystems and the role of predation by brown bears (Ursus arctos) in transferring these marine-derived nutrients (MDN) from freshwater to riparian habitats. In spite of the recognition that salmon-bear interactions likely play an important role in controlling the flux of MDN from aquatic to riparian habitats, few studies have linked bear predation on salmon to processes such as nitrogen (N) or carbon (C) cycling. We combine landscape-level survey data and a replicated bear-exclosure experiment to test how bear foraging on salmon affects nitrous oxide (N2O) flux, carbon dioxide (CO2) flux, and nutrient concentrations of riparian soils. Our results show that bears feeding on salmon increased soil ammonium (NH4 +) concentrations three-fold and N2O flux by 32-fold. Soil CO2 flux, nitrate (NO3 −), and N transformation differences were negligible in areas where bears fed on salmon. Reference areas without concentrated bear activity showed no detectable change in soil N cycling after the arrival of salmon to streams. Exclosure experiments showed that bear effects on soil nutrient cycles were transient, and soil N processing returned to background conditions within 1 year after bears were removed from the system. These results suggest that recipient ecosystems do not show uniform responses to MDN inputs and highlight the importance of large mobile consumers in generating landscape heterogeneity in nutrient cycles.","container-title":"Ecological Research","DOI":"10.1007/s11284-009-0591-8","ISSN":"0912-3814, 1440-1703","issue":"5","journalAbbreviation":"Ecol Res","language":"en","page":"1125-1135","source":"link.springer.com.ezproxy.library.ubc.ca","title":"Large predators and biogeochemical hotspots: brown bear (Ursus arctos) predation on salmon alters nitrogen cycling in riparian soils","title-short":"Large predators and biogeochemical hotspots","volume":"24","author":[{"family":"Holtgrieve","given":"Gordon W."},{"family":"Schindler","given":"Daniel E."},{"family":"Jewett","given":"Peter K."}],"issued":{"date-parts":[["2009",3,18]]},"citation-key":"holtgrieve_2009"}}],"schema":"https://github.com/citation-style-language/schema/raw/master/csl-citation.json"} </w:instrText>
      </w:r>
      <w:r w:rsidRPr="009867C1">
        <w:fldChar w:fldCharType="separate"/>
      </w:r>
      <w:r w:rsidR="0042141C" w:rsidRPr="009867C1">
        <w:t>(Drake et al., 2005; Gende et al., 2007; Holtgrieve et al., 2009)</w:t>
      </w:r>
      <w:r w:rsidRPr="009867C1">
        <w:fldChar w:fldCharType="end"/>
      </w:r>
      <w:r w:rsidRPr="009867C1">
        <w:t>, and NO</w:t>
      </w:r>
      <w:r w:rsidRPr="009867C1">
        <w:rPr>
          <w:vertAlign w:val="subscript"/>
        </w:rPr>
        <w:t>2</w:t>
      </w:r>
      <w:r w:rsidRPr="009867C1">
        <w:t xml:space="preserve"> (gas) </w:t>
      </w:r>
      <w:r w:rsidRPr="009867C1">
        <w:fldChar w:fldCharType="begin"/>
      </w:r>
      <w:r w:rsidR="00AC0205">
        <w:instrText xml:space="preserve"> ADDIN ZOTERO_ITEM CSL_CITATION {"citationID":"6D9IYCi0","properties":{"formattedCitation":"(Holtgrieve et al., 2009)","plainCitation":"(Holtgrieve et al., 2009)","noteIndex":0},"citationItems":[{"id":973,"uris":["http://zotero.org/users/2189142/items/RNMUUKA3"],"itemData":{"id":973,"type":"article-journal","abstract":"Two important themes in ecology include the understanding of how interactions among species control ecosystem processes, and how habitats can be connected through transfers of nutrients and energy by mobile organisms. An impressive example of both is the large influx of nutrients and organic matter that anadromous salmon supply to inland aquatic and terrestrial ecosystems and the role of predation by brown bears (Ursus arctos) in transferring these marine-derived nutrients (MDN) from freshwater to riparian habitats. In spite of the recognition that salmon-bear interactions likely play an important role in controlling the flux of MDN from aquatic to riparian habitats, few studies have linked bear predation on salmon to processes such as nitrogen (N) or carbon (C) cycling. We combine landscape-level survey data and a replicated bear-exclosure experiment to test how bear foraging on salmon affects nitrous oxide (N2O) flux, carbon dioxide (CO2) flux, and nutrient concentrations of riparian soils. Our results show that bears feeding on salmon increased soil ammonium (NH4 +) concentrations three-fold and N2O flux by 32-fold. Soil CO2 flux, nitrate (NO3 −), and N transformation differences were negligible in areas where bears fed on salmon. Reference areas without concentrated bear activity showed no detectable change in soil N cycling after the arrival of salmon to streams. Exclosure experiments showed that bear effects on soil nutrient cycles were transient, and soil N processing returned to background conditions within 1 year after bears were removed from the system. These results suggest that recipient ecosystems do not show uniform responses to MDN inputs and highlight the importance of large mobile consumers in generating landscape heterogeneity in nutrient cycles.","container-title":"Ecological Research","DOI":"10.1007/s11284-009-0591-8","ISSN":"0912-3814, 1440-1703","issue":"5","journalAbbreviation":"Ecol Res","language":"en","page":"1125-1135","source":"link.springer.com.ezproxy.library.ubc.ca","title":"Large predators and biogeochemical hotspots: brown bear (Ursus arctos) predation on salmon alters nitrogen cycling in riparian soils","title-short":"Large predators and biogeochemical hotspots","volume":"24","author":[{"family":"Holtgrieve","given":"Gordon W."},{"family":"Schindler","given":"Daniel E."},{"family":"Jewett","given":"Peter K."}],"issued":{"date-parts":[["2009",3,18]]},"citation-key":"holtgrieve_2009"}}],"schema":"https://github.com/citation-style-language/schema/raw/master/csl-citation.json"} </w:instrText>
      </w:r>
      <w:r w:rsidRPr="009867C1">
        <w:fldChar w:fldCharType="separate"/>
      </w:r>
      <w:r w:rsidR="0042141C" w:rsidRPr="009867C1">
        <w:t>(Holtgrieve et al., 2009)</w:t>
      </w:r>
      <w:r w:rsidRPr="009867C1">
        <w:fldChar w:fldCharType="end"/>
      </w:r>
      <w:r w:rsidRPr="009867C1">
        <w:t xml:space="preserve"> concentrations, although others have also found no effects of MDN on total N </w:t>
      </w:r>
      <w:r w:rsidRPr="009867C1">
        <w:fldChar w:fldCharType="begin"/>
      </w:r>
      <w:r w:rsidR="00AC0205">
        <w:instrText xml:space="preserve"> ADDIN ZOTERO_ITEM CSL_CITATION {"citationID":"m3VmZtPu","properties":{"formattedCitation":"(Scott et al., 2008)","plainCitation":"(Scott et al., 2008)","noteIndex":0},"citationItems":[{"id":181,"uris":["http://zotero.org/users/2189142/items/IK2SR8WD"],"itemData":{"id":181,"type":"article-journal","abstract":"Abstract.  We used naturally occurring stable isotopes of N to compare N dynamics in near-stream and upslope environments along riparian catenas in N-fixing red","container-title":"Forest Science","DOI":"10.1093/forestscience/54.2.140","ISSN":"0015-749X","issue":"2","journalAbbreviation":"for sci","language":"en","note":"publisher: Oxford Academic","page":"140-147","source":"academic-oup-com.ezproxy.library.ubc.ca","title":"δ15N Patterns of Douglas-Fir and Red Alder Riparian Forests in the Oregon Coast Range","volume":"54","author":[{"family":"Scott","given":"Emily E."},{"family":"Perakis","given":"Steven S."},{"family":"Hibbs","given":"David E."}],"issued":{"date-parts":[["2008",4,1]]},"citation-key":"scott_2008"}}],"schema":"https://github.com/citation-style-language/schema/raw/master/csl-citation.json"} </w:instrText>
      </w:r>
      <w:r w:rsidRPr="009867C1">
        <w:fldChar w:fldCharType="separate"/>
      </w:r>
      <w:r w:rsidR="0042141C" w:rsidRPr="009867C1">
        <w:t>(Scott et al., 2008)</w:t>
      </w:r>
      <w:r w:rsidRPr="009867C1">
        <w:fldChar w:fldCharType="end"/>
      </w:r>
      <w:r w:rsidRPr="009867C1">
        <w:t xml:space="preserve">, </w:t>
      </w:r>
      <w:r w:rsidR="007E0DD4">
        <w:t>or</w:t>
      </w:r>
      <w:r w:rsidRPr="009867C1">
        <w:t xml:space="preserve"> nitrate and ammonium </w:t>
      </w:r>
      <w:r w:rsidRPr="009867C1">
        <w:fldChar w:fldCharType="begin"/>
      </w:r>
      <w:r w:rsidR="00AC0205">
        <w:instrText xml:space="preserve"> ADDIN ZOTERO_ITEM CSL_CITATION {"citationID":"uYvnrz06","properties":{"formattedCitation":"(Feddern et al., 2019)","plainCitation":"(Feddern et al., 2019)","noteIndex":0},"citationItems":[{"id":1688,"uris":["http://zotero.org/users/2189142/items/YIC4UT3V"],"itemData":{"id":1688,"type":"article-journal","abstract":"Pacific salmon acquire most of their biomass in the ocean before returning to spawn and die in coastal streams and lakes, thus providing subsidies of marine-derived nitrogen (MDN) to freshwater and terrestrial ecosystems. Recent declines in salmon abundance have raised questions of whether managers should mitigate for losses of salmon MDN subsidies. To test the long-term importance of salmon subsidies to riparian ecosystems, we measured soil nitrogen cycling in response to a 20-yr manipulation where salmon carcasses were systematically removed from one bank and deposited on the opposite bank along a 2-km stream in southwestern Alaska. Soil samples were taken at different distances from the stream bank along nine paired transects and measured for organic and inorganic nitrogen concentrations, and nitrogen transformation rates. Marine-derived nitrogen was measured using 15N/14N for bulk soils, and NH4+ and NO3− soil pools. Stable isotope analyses confirmed 15N/14N was elevated on the salmon-enhanced bank compared to the salmon-depleted bank. However, 15N/14N values of plant-available inorganic nitrogen exceeded the 15N/14N of salmon inputs, highlighting nitrogen isotope fractionation in soils that raises significant methodological issues with standard MDN assessments in riparian systems. Surprisingly, despite 20 yr of salmon supplementation, the presence of MDN did not cause a long-term increase in soil nitrogen availability. This finding indicates the importance of MDN to ecosystem nitrogen biogeochemistry, and riparian vegetation may be overestimated for some systems. Given that essential nutrients can also be pollutants, we urge more critical analyses of the role of MDN to inform compensatory mitigation programs targeting salmon nutrient enhancement.","container-title":"Ecosphere","DOI":"10.1002/ecs2.2958","ISSN":"2150-8925","issue":"11","language":"en","page":"e02958","source":"Wiley Online Library","title":"Riparian soil nitrogen cycling and isotopic enrichment in response to a long-term salmon carcass manipulation experiment","volume":"10","author":[{"family":"Feddern","given":"Megan L."},{"family":"Holtgrieve","given":"Gordon W."},{"family":"Perakis","given":"Steven S."},{"family":"Hart","given":"Julia"},{"family":"Ro","given":"Hyejoo"},{"family":"Quinn","given":"Thomas P."}],"issued":{"date-parts":[["2019"]]},"citation-key":"feddern_2019"}}],"schema":"https://github.com/citation-style-language/schema/raw/master/csl-citation.json"} </w:instrText>
      </w:r>
      <w:r w:rsidRPr="009867C1">
        <w:fldChar w:fldCharType="separate"/>
      </w:r>
      <w:r w:rsidR="0042141C" w:rsidRPr="009867C1">
        <w:t>(Feddern et al., 2019)</w:t>
      </w:r>
      <w:r w:rsidRPr="009867C1">
        <w:fldChar w:fldCharType="end"/>
      </w:r>
      <w:r w:rsidRPr="009867C1">
        <w:t xml:space="preserve">. </w:t>
      </w:r>
    </w:p>
    <w:p w14:paraId="3F1A4AE2" w14:textId="004ED6C1" w:rsidR="00223F7A" w:rsidRPr="009867C1" w:rsidRDefault="00223F7A" w:rsidP="00223F7A">
      <w:pPr>
        <w:ind w:firstLine="720"/>
      </w:pPr>
      <w:r w:rsidRPr="009867C1">
        <w:t xml:space="preserve">Despite over two decades of attention, soil characteristics other than nitrogen have been rarely studied in salmon forest soil assessments. Phosphorus, critical for the health of plant proteins, nucleic acids, and photosynthesis </w:t>
      </w:r>
      <w:r w:rsidRPr="009867C1">
        <w:fldChar w:fldCharType="begin"/>
      </w:r>
      <w:r w:rsidR="00AC0205">
        <w:instrText xml:space="preserve"> ADDIN ZOTERO_ITEM CSL_CITATION {"citationID":"zisekB0s","properties":{"formattedCitation":"(Maathuis, 2009)","plainCitation":"(Maathuis, 2009)","noteIndex":0},"citationItems":[{"id":9933,"uris":["http://zotero.org/users/2189142/items/WEMB3EU3"],"itemData":{"id":9933,"type":"article-journal","abstract":"Plants require calcium, magnesium, nitrogen, phosphorous, potassium and sulfur in relatively large amounts (&gt;0.1% of dry mass) and each of these so-called macronutrients is essential for a plant to complete its life cycle. Normally, these minerals are taken up by plant roots from the soil solution in ionic form with the metals Ca2+, Mg2+ and K+ present as free cations, P and S as their oxyanions phosphate (PO43−) and sulfate (SO42−) and N as anionic nitrate (NO3−) or cation ammonium (NH4+). Recently, important progress has been made in identifying transport and regulatory mechanisms for macronutrients and the mechanisms of uptake and distribution. These and the main physiological roles of each nutrient will be discussed.","collection-title":"Physiology and Metabolism","container-title":"Current Opinion in Plant Biology","DOI":"10.1016/j.pbi.2009.04.003","ISSN":"1369-5266","issue":"3","journalAbbreviation":"Current Opinion in Plant Biology","language":"en","page":"250-258","source":"ScienceDirect","title":"Physiological functions of mineral macronutrients","volume":"12","author":[{"family":"Maathuis","given":"Frans JM"}],"issued":{"date-parts":[["2009",6,1]]},"citation-key":"maathuis_2009"}}],"schema":"https://github.com/citation-style-language/schema/raw/master/csl-citation.json"} </w:instrText>
      </w:r>
      <w:r w:rsidRPr="009867C1">
        <w:fldChar w:fldCharType="separate"/>
      </w:r>
      <w:r w:rsidR="0042141C" w:rsidRPr="009867C1">
        <w:t>(Maathuis, 2009)</w:t>
      </w:r>
      <w:r w:rsidRPr="009867C1">
        <w:fldChar w:fldCharType="end"/>
      </w:r>
      <w:r w:rsidRPr="009867C1">
        <w:t xml:space="preserve">, has been found to have variable responses to MDN addition, and studies have found it to increase </w:t>
      </w:r>
      <w:r w:rsidRPr="009867C1">
        <w:fldChar w:fldCharType="begin"/>
      </w:r>
      <w:r w:rsidR="00AC0205">
        <w:instrText xml:space="preserve"> ADDIN ZOTERO_ITEM CSL_CITATION {"citationID":"EY29HInk","properties":{"formattedCitation":"(Drake et al., 2005)","plainCitation":"(Drake et al., 2005)","noteIndex":0},"citationItems":[{"id":795,"uris":["http://zotero.org/users/2189142/items/RN834UDP"],"itemData":{"id":795,"type":"article-journal","container-title":"Northwest Science","issue":"1","page":"61–71","source":"Google Scholar","title":"Salmon decay and nutrient contributions to riparian forest soils","volume":"79","author":[{"family":"Drake","given":"Deanne C."},{"family":"Smith","given":"Jaron V."},{"family":"Naiman","given":"Robert J."}],"issued":{"date-parts":[["2005"]]},"citation-key":"drake_2005"}}],"schema":"https://github.com/citation-style-language/schema/raw/master/csl-citation.json"} </w:instrText>
      </w:r>
      <w:r w:rsidRPr="009867C1">
        <w:fldChar w:fldCharType="separate"/>
      </w:r>
      <w:r w:rsidR="0042141C" w:rsidRPr="009867C1">
        <w:t>(Drake et al., 2005)</w:t>
      </w:r>
      <w:r w:rsidRPr="009867C1">
        <w:fldChar w:fldCharType="end"/>
      </w:r>
      <w:r w:rsidRPr="009867C1">
        <w:t xml:space="preserve">, not change </w:t>
      </w:r>
      <w:r w:rsidRPr="009867C1">
        <w:fldChar w:fldCharType="begin"/>
      </w:r>
      <w:r w:rsidR="00AC0205">
        <w:instrText xml:space="preserve"> ADDIN ZOTERO_ITEM CSL_CITATION {"citationID":"cTUGEWq6","properties":{"formattedCitation":"(Bartz &amp; Naiman, 2005)","plainCitation":"(Bartz &amp; Naiman, 2005)","noteIndex":0},"citationItems":[{"id":979,"uris":["http://zotero.org/users/2189142/items/ZW3R5NUV"],"itemData":{"id":979,"type":"article-journal","container-title":"Ecosystems","issue":"5","page":"529–545","source":"Google Scholar","title":"Effects of salmon-borne nutrients on riparian soils and vegetation in southwest Alaska","volume":"8","author":[{"family":"Bartz","given":"Krista K."},{"family":"Naiman","given":"Robert J."}],"issued":{"date-parts":[["2005"]]},"citation-key":"bartz_2005"}}],"schema":"https://github.com/citation-style-language/schema/raw/master/csl-citation.json"} </w:instrText>
      </w:r>
      <w:r w:rsidRPr="009867C1">
        <w:fldChar w:fldCharType="separate"/>
      </w:r>
      <w:r w:rsidR="0042141C" w:rsidRPr="009867C1">
        <w:t>(Bartz &amp; Naiman, 2005)</w:t>
      </w:r>
      <w:r w:rsidRPr="009867C1">
        <w:fldChar w:fldCharType="end"/>
      </w:r>
      <w:r w:rsidRPr="009867C1">
        <w:t xml:space="preserve"> or decrease </w:t>
      </w:r>
      <w:r w:rsidRPr="009867C1">
        <w:fldChar w:fldCharType="begin"/>
      </w:r>
      <w:r w:rsidR="00AC0205">
        <w:instrText xml:space="preserve"> ADDIN ZOTERO_ITEM CSL_CITATION {"citationID":"VIUau9Vj","properties":{"formattedCitation":"(Perry et al., 2017)","plainCitation":"(Perry et al., 2017)","noteIndex":0},"citationItems":[{"id":1599,"uris":["http://zotero.org/users/2189142/items/UCTPBSFV"],"itemData":{"id":1599,"type":"article-journal","abstract":"Riparian forest soils can be highly dynamic, due to frequent fluvial disturbance, erosion, and sediment deposition, but effects of dams on riparian soils are poorly understood. We examined soils along toposequences within three river segments located upstream, between, and downstream of two dams on the Elwha River to evaluate relationships between riparian soil development and forest age, succession, and channel proximity, explore dam effects on riparian soils, and provide a baseline for the largest dam removal in history. We found that older, later-successional forests and geomorphic surfaces contained soils with finer texture and greater depth to cobble, supporting greater forest floor mass, mineral soil nutrient levels, and cation exchange. Forest stand age was a better predictor than channel proximity for many soil characteristics, though elevation and distance from the channel were often also important, highlighting how complex interactions between fluvial disturbance, sediment deposition, and biotic retention regulate soil development in this ecosystem. Soils between the dams, and to a lesser extent below the lower dam, had finer textures and higher mineral soil carbon, nitrogen, and cation exchange than above the dams. These results suggested that decreased fluvial disturbance below the dams, due to reduced sediment supply and channel stabilization, accelerated soil development. In addition, reduced sediment supply below the dams may have decreased soil phosphorus. Soil δ15N suggested that salmon exclusion by the dams had no discernable effect on nitrogen inputs to upstream soils. Recent dam removal may alter riparian soils further, with ongoing implications for riparian ecosystems.","container-title":"Ecosystems","DOI":"10.1007/s10021-016-0080-1","ISSN":"1435-0629","issue":"1","journalAbbreviation":"Ecosystems","language":"en","page":"104-129","source":"Springer Link","title":"Riparian Soil Development Linked to Forest Succession Above and Below Dams Along the Elwha River, Washington, USA","volume":"20","author":[{"family":"Perry","given":"Laura G."},{"family":"Shafroth","given":"Patrick B."},{"family":"Perakis","given":"Steven S."}],"issued":{"date-parts":[["2017",1,1]]},"citation-key":"perry_2017"}}],"schema":"https://github.com/citation-style-language/schema/raw/master/csl-citation.json"} </w:instrText>
      </w:r>
      <w:r w:rsidRPr="009867C1">
        <w:fldChar w:fldCharType="separate"/>
      </w:r>
      <w:r w:rsidR="0042141C" w:rsidRPr="009867C1">
        <w:t>(Perry et al., 2017)</w:t>
      </w:r>
      <w:r w:rsidRPr="009867C1">
        <w:fldChar w:fldCharType="end"/>
      </w:r>
      <w:r w:rsidRPr="009867C1">
        <w:t xml:space="preserve"> in response to increased salmon inputs. Calcium, potassium, and other exchangeable cations (sodium, magnesium, and aggregate cation exchange capacity) are also important for plant cell signaling, photosynthesis, and the structuring of cell walls </w:t>
      </w:r>
      <w:r w:rsidRPr="009867C1">
        <w:fldChar w:fldCharType="begin"/>
      </w:r>
      <w:r w:rsidR="00AC0205">
        <w:instrText xml:space="preserve"> ADDIN ZOTERO_ITEM CSL_CITATION {"citationID":"M3PERbdZ","properties":{"formattedCitation":"(Maathuis, 2009)","plainCitation":"(Maathuis, 2009)","noteIndex":0},"citationItems":[{"id":9933,"uris":["http://zotero.org/users/2189142/items/WEMB3EU3"],"itemData":{"id":9933,"type":"article-journal","abstract":"Plants require calcium, magnesium, nitrogen, phosphorous, potassium and sulfur in relatively large amounts (&gt;0.1% of dry mass) and each of these so-called macronutrients is essential for a plant to complete its life cycle. Normally, these minerals are taken up by plant roots from the soil solution in ionic form with the metals Ca2+, Mg2+ and K+ present as free cations, P and S as their oxyanions phosphate (PO43−) and sulfate (SO42−) and N as anionic nitrate (NO3−) or cation ammonium (NH4+). Recently, important progress has been made in identifying transport and regulatory mechanisms for macronutrients and the mechanisms of uptake and distribution. These and the main physiological roles of each nutrient will be discussed.","collection-title":"Physiology and Metabolism","container-title":"Current Opinion in Plant Biology","DOI":"10.1016/j.pbi.2009.04.003","ISSN":"1369-5266","issue":"3","journalAbbreviation":"Current Opinion in Plant Biology","language":"en","page":"250-258","source":"ScienceDirect","title":"Physiological functions of mineral macronutrients","volume":"12","author":[{"family":"Maathuis","given":"Frans JM"}],"issued":{"date-parts":[["2009",6,1]]},"citation-key":"maathuis_2009"}}],"schema":"https://github.com/citation-style-language/schema/raw/master/csl-citation.json"} </w:instrText>
      </w:r>
      <w:r w:rsidRPr="009867C1">
        <w:fldChar w:fldCharType="separate"/>
      </w:r>
      <w:r w:rsidR="0042141C" w:rsidRPr="009867C1">
        <w:t>(Maathuis, 2009)</w:t>
      </w:r>
      <w:r w:rsidRPr="009867C1">
        <w:fldChar w:fldCharType="end"/>
      </w:r>
      <w:r w:rsidR="00552946">
        <w:t>.</w:t>
      </w:r>
      <w:r w:rsidRPr="009867C1">
        <w:t xml:space="preserve"> </w:t>
      </w:r>
      <w:r w:rsidR="00552946">
        <w:t>T</w:t>
      </w:r>
      <w:r w:rsidRPr="009867C1">
        <w:t xml:space="preserve">he two studies where </w:t>
      </w:r>
      <w:r w:rsidR="00552946">
        <w:t>cations</w:t>
      </w:r>
      <w:r w:rsidRPr="009867C1">
        <w:t xml:space="preserve"> were examined showed conflicting reports of both increases and decreases in response to salmon inputs </w:t>
      </w:r>
      <w:r w:rsidRPr="009867C1">
        <w:fldChar w:fldCharType="begin"/>
      </w:r>
      <w:r w:rsidR="00AC0205">
        <w:instrText xml:space="preserve"> ADDIN ZOTERO_ITEM CSL_CITATION {"citationID":"ochxG7Hn","properties":{"formattedCitation":"(Drake et al., 2005; Perry et al., 2017)","plainCitation":"(Drake et al., 2005; Perry et al., 2017)","noteIndex":0},"citationItems":[{"id":795,"uris":["http://zotero.org/users/2189142/items/RN834UDP"],"itemData":{"id":795,"type":"article-journal","container-title":"Northwest Science","issue":"1","page":"61–71","source":"Google Scholar","title":"Salmon decay and nutrient contributions to riparian forest soils","volume":"79","author":[{"family":"Drake","given":"Deanne C."},{"family":"Smith","given":"Jaron V."},{"family":"Naiman","given":"Robert J."}],"issued":{"date-parts":[["2005"]]},"citation-key":"drake_2005"}},{"id":1599,"uris":["http://zotero.org/users/2189142/items/UCTPBSFV"],"itemData":{"id":1599,"type":"article-journal","abstract":"Riparian forest soils can be highly dynamic, due to frequent fluvial disturbance, erosion, and sediment deposition, but effects of dams on riparian soils are poorly understood. We examined soils along toposequences within three river segments located upstream, between, and downstream of two dams on the Elwha River to evaluate relationships between riparian soil development and forest age, succession, and channel proximity, explore dam effects on riparian soils, and provide a baseline for the largest dam removal in history. We found that older, later-successional forests and geomorphic surfaces contained soils with finer texture and greater depth to cobble, supporting greater forest floor mass, mineral soil nutrient levels, and cation exchange. Forest stand age was a better predictor than channel proximity for many soil characteristics, though elevation and distance from the channel were often also important, highlighting how complex interactions between fluvial disturbance, sediment deposition, and biotic retention regulate soil development in this ecosystem. Soils between the dams, and to a lesser extent below the lower dam, had finer textures and higher mineral soil carbon, nitrogen, and cation exchange than above the dams. These results suggested that decreased fluvial disturbance below the dams, due to reduced sediment supply and channel stabilization, accelerated soil development. In addition, reduced sediment supply below the dams may have decreased soil phosphorus. Soil δ15N suggested that salmon exclusion by the dams had no discernable effect on nitrogen inputs to upstream soils. Recent dam removal may alter riparian soils further, with ongoing implications for riparian ecosystems.","container-title":"Ecosystems","DOI":"10.1007/s10021-016-0080-1","ISSN":"1435-0629","issue":"1","journalAbbreviation":"Ecosystems","language":"en","page":"104-129","source":"Springer Link","title":"Riparian Soil Development Linked to Forest Succession Above and Below Dams Along the Elwha River, Washington, USA","volume":"20","author":[{"family":"Perry","given":"Laura G."},{"family":"Shafroth","given":"Patrick B."},{"family":"Perakis","given":"Steven S."}],"issued":{"date-parts":[["2017",1,1]]},"citation-key":"perry_2017"}}],"schema":"https://github.com/citation-style-language/schema/raw/master/csl-citation.json"} </w:instrText>
      </w:r>
      <w:r w:rsidRPr="009867C1">
        <w:fldChar w:fldCharType="separate"/>
      </w:r>
      <w:r w:rsidR="0042141C" w:rsidRPr="009867C1">
        <w:t>(Drake et al., 2005; Perry et al., 2017)</w:t>
      </w:r>
      <w:r w:rsidRPr="009867C1">
        <w:fldChar w:fldCharType="end"/>
      </w:r>
      <w:r w:rsidRPr="009867C1">
        <w:t xml:space="preserve">. These same studies showed that salmon inputs were correlated with increases in sulfur, iron, manganese and pH. pH has rarely been reported in the salmon forest literature, despite being a ‘master variable’ in driving both soil chemistry </w:t>
      </w:r>
      <w:r w:rsidRPr="009867C1">
        <w:fldChar w:fldCharType="begin"/>
      </w:r>
      <w:r w:rsidR="00AC0205">
        <w:instrText xml:space="preserve"> ADDIN ZOTERO_ITEM CSL_CITATION {"citationID":"vQdp6oZB","properties":{"formattedCitation":"(Strawn et al., 2020)","plainCitation":"(Strawn et al., 2020)","noteIndex":0},"citationItems":[{"id":113,"uris":["http://zotero.org/users/2189142/items/TKTKNWNC"],"itemData":{"id":113,"type":"book","abstract":"Provides comprehensive coverage of the chemical interactions among organic and inorganic solids, air, water, microorganisms, and the plant roots in soil This book focuses on the species and reaction processes of chemicals in soils, with applications to environmental and agricultural issues. Topics range from discussion of fundamental chemical processes to review of properties and reactions of chemicals in the environment. This new edition contains more examples, more illustrations, more details of calculations, and reorganized material within the chapters, including nearly 100 new equations and 51 new figures. Each section also ends with an important concepts overview as well as new questions for readers to answer.  Starting with an introduction to the subject, Soil Chemistry, 5th Edition offers in-depth coverage of properties of elements and molecules; characteristics of chemicals in soils; soil water chemistry; redox reactions in soils; mineralogy and weathering processes in soils; and chemistry of soil clays. The book also provides chapters that examine production and chemistry of soil organic matter; surface properties of soil colloids; adsorption processes in soils; measuring and predicting sorption processes in soils; soil acidity; and salt-affected soils.   Provides a basic description of important research and fundamental knowledge in the field of soil chemistry Contains more than 200 references provided in figure and table captions and at the end of the chapters Extensively revised with updated figures and tables   Soil Chemistry, 5th Edition is an excellent text for senior-level soil chemistry students.","edition":"5 edition","event-place":"Hoboken, NJ","ISBN":"978-1-119-51518-0","language":"English","number-of-pages":"376","publisher":"Wiley-Blackwell","publisher-place":"Hoboken, NJ","source":"Amazon","title":"Soil Chemistry, 5th edition","author":[{"family":"Strawn","given":"Daniel G."},{"family":"Bohn","given":"Hinrich L."},{"family":"O'Connor","given":"George A."}],"issued":{"date-parts":[["2020",1,28]]},"citation-key":"strawn_2020"}}],"schema":"https://github.com/citation-style-language/schema/raw/master/csl-citation.json"} </w:instrText>
      </w:r>
      <w:r w:rsidRPr="009867C1">
        <w:fldChar w:fldCharType="separate"/>
      </w:r>
      <w:r w:rsidR="0042141C" w:rsidRPr="009867C1">
        <w:t>(Strawn et al., 2020)</w:t>
      </w:r>
      <w:r w:rsidRPr="009867C1">
        <w:fldChar w:fldCharType="end"/>
      </w:r>
      <w:r w:rsidRPr="009867C1">
        <w:t xml:space="preserve"> and microbial community composition </w:t>
      </w:r>
      <w:r w:rsidRPr="009867C1">
        <w:fldChar w:fldCharType="begin"/>
      </w:r>
      <w:r w:rsidR="00AC0205">
        <w:instrText xml:space="preserve"> ADDIN ZOTERO_ITEM CSL_CITATION {"citationID":"cuHLKSsd","properties":{"formattedCitation":"(Delgado-Baquerizo et al., 2018)","plainCitation":"(Delgado-Baquerizo et al., 2018)","noteIndex":0},"citationItems":[{"id":51,"uris":["http://zotero.org/users/2189142/items/H9NXE7QF"],"itemData":{"id":51,"type":"article-journal","abstract":"A global map of soil bacteria\nSoil bacteria play key roles in regulating terrestrial carbon dynamics, nutrient cycles, and plant productivity. However, the natural histories and distributions of these organisms remain largely undocumented. Delgado-Baquerizo et al. provide a survey of the dominant bacterial taxa found around the world. In soil collections from six continents, they found that only 2% of bacterial taxa account for nearly half of the soil bacterial communities across the globe. These dominant taxa could be clustered into ecological groups of co-occurring bacteria that share habitat preferences. The findings will allow for a more predictive understanding of soil bacterial diversity and distribution.\nScience, this issue p. 320\nThe immense diversity of soil bacterial communities has stymied efforts to characterize individual taxa and document their global distributions. We analyzed soils from 237 locations across six continents and found that only 2% of bacterial phylotypes (~500 phylotypes) consistently accounted for almost half of the soil bacterial communities worldwide. Despite the overwhelming diversity of bacterial communities, relatively few bacterial taxa are abundant in soils globally. We clustered these dominant taxa into ecological groups to build the first global atlas of soil bacterial taxa. Our study narrows down the immense number of bacterial taxa to a “most wanted” list that will be fruitful targets for genomic and cultivation-based efforts aimed at improving our understanding of soil microbes and their contributions to ecosystem functioning.\nRelatively few soil bacterial taxa dominate terrestrial ecosystems worldwide, with predictable distributions and ecology.\nRelatively few soil bacterial taxa dominate terrestrial ecosystems worldwide, with predictable distributions and ecology.","container-title":"Science","DOI":"10.1126/science.aap9516","ISSN":"0036-8075, 1095-9203","issue":"6373","language":"en","note":"publisher: American Association for the Advancement of Science\nsection: Report\nPMID: 29348236","page":"320-325","source":"science-sciencemag-org.ezproxy.library.ubc.ca","title":"A global atlas of the dominant bacteria found in soil","volume":"359","author":[{"family":"Delgado-Baquerizo","given":"Manuel"},{"family":"Oliverio","given":"Angela M."},{"family":"Brewer","given":"Tess E."},{"family":"Benavent-González","given":"Alberto"},{"family":"Eldridge","given":"David J."},{"family":"Bardgett","given":"Richard D."},{"family":"Maestre","given":"Fernando T."},{"family":"Singh","given":"Brajesh K."},{"family":"Fierer","given":"Noah"}],"issued":{"date-parts":[["2018",1,19]]},"citation-key":"delgado-baquerizo_2018"}}],"schema":"https://github.com/citation-style-language/schema/raw/master/csl-citation.json"} </w:instrText>
      </w:r>
      <w:r w:rsidRPr="009867C1">
        <w:fldChar w:fldCharType="separate"/>
      </w:r>
      <w:r w:rsidR="0042141C" w:rsidRPr="009867C1">
        <w:t>(Delgado-Baquerizo et al., 2018)</w:t>
      </w:r>
      <w:r w:rsidRPr="009867C1">
        <w:fldChar w:fldCharType="end"/>
      </w:r>
      <w:r w:rsidRPr="009867C1">
        <w:t xml:space="preserve">, and its response to salmon inputs has only been reported in a single study where it was found to increase with salmon below migration-blocking dams </w:t>
      </w:r>
      <w:r w:rsidRPr="009867C1">
        <w:fldChar w:fldCharType="begin"/>
      </w:r>
      <w:r w:rsidR="00AC0205">
        <w:instrText xml:space="preserve"> ADDIN ZOTERO_ITEM CSL_CITATION {"citationID":"ZsLu1XNg","properties":{"formattedCitation":"(Perry et al., 2017)","plainCitation":"(Perry et al., 2017)","noteIndex":0},"citationItems":[{"id":1599,"uris":["http://zotero.org/users/2189142/items/UCTPBSFV"],"itemData":{"id":1599,"type":"article-journal","abstract":"Riparian forest soils can be highly dynamic, due to frequent fluvial disturbance, erosion, and sediment deposition, but effects of dams on riparian soils are poorly understood. We examined soils along toposequences within three river segments located upstream, between, and downstream of two dams on the Elwha River to evaluate relationships between riparian soil development and forest age, succession, and channel proximity, explore dam effects on riparian soils, and provide a baseline for the largest dam removal in history. We found that older, later-successional forests and geomorphic surfaces contained soils with finer texture and greater depth to cobble, supporting greater forest floor mass, mineral soil nutrient levels, and cation exchange. Forest stand age was a better predictor than channel proximity for many soil characteristics, though elevation and distance from the channel were often also important, highlighting how complex interactions between fluvial disturbance, sediment deposition, and biotic retention regulate soil development in this ecosystem. Soils between the dams, and to a lesser extent below the lower dam, had finer textures and higher mineral soil carbon, nitrogen, and cation exchange than above the dams. These results suggested that decreased fluvial disturbance below the dams, due to reduced sediment supply and channel stabilization, accelerated soil development. In addition, reduced sediment supply below the dams may have decreased soil phosphorus. Soil δ15N suggested that salmon exclusion by the dams had no discernable effect on nitrogen inputs to upstream soils. Recent dam removal may alter riparian soils further, with ongoing implications for riparian ecosystems.","container-title":"Ecosystems","DOI":"10.1007/s10021-016-0080-1","ISSN":"1435-0629","issue":"1","journalAbbreviation":"Ecosystems","language":"en","page":"104-129","source":"Springer Link","title":"Riparian Soil Development Linked to Forest Succession Above and Below Dams Along the Elwha River, Washington, USA","volume":"20","author":[{"family":"Perry","given":"Laura G."},{"family":"Shafroth","given":"Patrick B."},{"family":"Perakis","given":"Steven S."}],"issued":{"date-parts":[["2017",1,1]]},"citation-key":"perry_2017"}}],"schema":"https://github.com/citation-style-language/schema/raw/master/csl-citation.json"} </w:instrText>
      </w:r>
      <w:r w:rsidRPr="009867C1">
        <w:fldChar w:fldCharType="separate"/>
      </w:r>
      <w:r w:rsidR="0042141C" w:rsidRPr="009867C1">
        <w:t>(Perry et al., 2017)</w:t>
      </w:r>
      <w:r w:rsidRPr="009867C1">
        <w:fldChar w:fldCharType="end"/>
      </w:r>
      <w:r w:rsidRPr="009867C1">
        <w:t xml:space="preserve">. Carbon is increasingly being recognized as another soil ‘master variable’ which serves to mediate all other soil functions </w:t>
      </w:r>
      <w:r w:rsidRPr="009867C1">
        <w:fldChar w:fldCharType="begin"/>
      </w:r>
      <w:r w:rsidR="00AC0205">
        <w:instrText xml:space="preserve"> ADDIN ZOTERO_ITEM CSL_CITATION {"citationID":"7kBw1vSM","properties":{"formattedCitation":"(Schmidt et al., 2011; Solly et al., 2020)","plainCitation":"(Schmidt et al., 2011; Solly et al., 2020)","noteIndex":0},"citationItems":[{"id":850,"uris":["http://zotero.org/users/2189142/items/EJTCRHXB"],"itemData":{"id":850,"type":"article-journal","abstract":"Globally, soil organic matter (SOM) contains more than three times as much carbon as either the atmosphere or terrestrial vegetation. Yet it remains largely unknown why some SOM persists for millennia whereas other SOM decomposes readily—and this limits our ability to predict how soils will respond to climate change. Recent analytical and experimental advances have demonstrated that molecular structure alone does not control SOM stability: in fact, environmental and biological controls predominate. Here we propose ways to include this understanding in a new generation of experiments and soil carbon models, thereby improving predictions of the SOM response to global warming.","container-title":"Nature","DOI":"10.1038/nature10386","ISSN":"0028-0836","issue":"7367","journalAbbreviation":"Nature","language":"en","page":"49-56","source":"www.nature.com","title":"Persistence of soil organic matter as an ecosystem property","volume":"478","author":[{"family":"Schmidt","given":"Michael W. I."},{"family":"Torn","given":"Margaret S."},{"family":"Abiven","given":"Samuel"},{"family":"Dittmar","given":"Thorsten"},{"family":"Guggenberger","given":"Georg"},{"family":"Janssens","given":"Ivan A."},{"family":"Kleber","given":"Markus"},{"family":"Kögel-Knabner","given":"Ingrid"},{"family":"Lehmann","given":"Johannes"},{"family":"Manning","given":"David A. C."},{"family":"Nannipieri","given":"Paolo"},{"family":"Rasse","given":"Daniel P."},{"family":"Weiner","given":"Steve"},{"family":"Trumbore","given":"Susan E."}],"issued":{"date-parts":[["2011",10,6]]},"citation-key":"schmidt_2011"}},{"id":1,"uris":["http://zotero.org/users/2189142/items/888IL946"],"itemData":{"id":1,"type":"article-journal","abstract":"An improved identification of the environmental variables that can be used to predict the content of soil organic carbon (SOC) stored belowground is required to reduce uncertainties in estimating the response of the largest terrestrial carbon reservoir to environmental change. Recent studies indicate that some metal cations can have an active role in the stabilization of SOC, primarily by coordinating the interaction between soil minerals and organic matter through cation bridging and by creating complexes with organic molecules when their hydration shells are displaced. The effective cation exchange capacity (CEC eff.) is a measure that integrates information about available soil surfaces to which metal cations are retained. Therefore, we critically tested the relationship between CEC eff. and SOC content using regression analyses for more than 1000 forest sites across Switzerland, spanning a unique gradient of mean annual precipitation (640-2500 mm), elevation (277-2207 m a.s.l), pH (2.8-8.1) and covering different geologies and vegetation types. Within these sites, SOC content is significantly related to CEC eff., in both topsoils and subsoils. Our results demonstrate that in Swiss forest topsoils (5.5, between 59 and 83 % of subsoil CEC eff. originates from exchangeable calcium, whereas in acidic soils exchangeable aluminum contributes between 21 and 44 % of the CEC eff. Exchangeable iron contributes to less than 1 % of the variability in CEC eff. Overall this study indicates that in Swiss forests subsoils, CEC eff. strongly reflects the surface of soil minerals to which SOC can be bound by metal cations. The strength of the relationship between CEC eff. and SOC content depends on the pH of the soil, with the highest amount of variation of SOC content explained by CEC eff. in subsoils with pH &gt;5.5.","container-title":"Frontiers in Forests and Global Change","DOI":"10.3389/ffgc.2020.00098","ISSN":"2624-893X","journalAbbreviation":"Front. For. Glob. Change","language":"English","note":"publisher: Frontiers","source":"Frontiers","title":"A Critical Evaluation of the Relationship Between the Effective Cation Exchange Capacity and Soil Organic Carbon Content in Swiss Forest Soils","URL":"https://www.frontiersin.org/articles/10.3389/ffgc.2020.00098/full","volume":"3","author":[{"family":"Solly","given":"Emily F."},{"family":"Weber","given":"Valentino"},{"family":"Zimmermann","given":"Stephan"},{"family":"Walthert","given":"Lorenz"},{"family":"Hagedorn","given":"Frank"},{"family":"Schmidt","given":"Michael W. I."}],"accessed":{"date-parts":[["2021",2,10]]},"issued":{"date-parts":[["2020"]]},"citation-key":"solly_2020"}}],"schema":"https://github.com/citation-style-language/schema/raw/master/csl-citation.json"} </w:instrText>
      </w:r>
      <w:r w:rsidRPr="009867C1">
        <w:fldChar w:fldCharType="separate"/>
      </w:r>
      <w:r w:rsidR="0042141C" w:rsidRPr="009867C1">
        <w:t>(Schmidt et al., 2011; Solly et al., 2020)</w:t>
      </w:r>
      <w:r w:rsidRPr="009867C1">
        <w:fldChar w:fldCharType="end"/>
      </w:r>
      <w:r w:rsidRPr="009867C1">
        <w:t xml:space="preserve">, and which </w:t>
      </w:r>
      <w:r w:rsidRPr="009867C1">
        <w:rPr>
          <w:lang w:val="en-CA"/>
        </w:rPr>
        <w:t xml:space="preserve">has received considerable attention in recent years as a mediator of soil redox potential that positively correlates with soil fertility </w:t>
      </w:r>
      <w:r w:rsidRPr="009867C1">
        <w:rPr>
          <w:lang w:val="en-CA"/>
        </w:rPr>
        <w:fldChar w:fldCharType="begin"/>
      </w:r>
      <w:r w:rsidR="00AC0205">
        <w:rPr>
          <w:lang w:val="en-CA"/>
        </w:rPr>
        <w:instrText xml:space="preserve"> ADDIN ZOTERO_ITEM CSL_CITATION {"citationID":"9po68mgI","properties":{"formattedCitation":"(Diacono &amp; Montemurro, 2011; Jiang et al., 2018; Schmidt et al., 2011)","plainCitation":"(Diacono &amp; Montemurro, 2011; Jiang et al., 2018; Schmidt et al., 2011)","noteIndex":0},"citationItems":[{"id":173,"uris":["http://zotero.org/users/2189142/items/B2A5D7AZ"],"itemData":{"id":173,"type":"chapter","abstract":"Common agricultural practices such as excessive use of agro-chemicals, deep tillage and luxury irrigation have degraded soils, polluted water resources and contaminated the atmosphere. There is increasing concern about interrelated environmental problems such as soil degradation, desertification, erosion, and accelerated greenhouse effects and climate change. The decline in organic matter content of many soils is becoming a major process of soil degradation, particularly in European semi-arid Mediterranean regions. Degraded soils are not fertile and thus cannot maintain sustainable production. At the same time, the production of urban and industrial organic waste materials is widespread. Therefore, strategies for recycling such organic waste in agriculture must be developed. Here, we review long-term experiments (3–60 years) on the effects of organic amendments used both for organic matter replenishment and to avoid the application of high levels of chemical fertilizers. The major points of our analysis are: (1) many effects, e.g. carbon sequestration in the soil and possible build-up of toxic elements, evolve slowly, so it is necessary to refer to long-term trials. (2) Repeated application of exogenous organic matter to cropland led to an improvement in soil biological functions. For instance, microbial biomass carbon increased by up to 100% using high-rate compost treatments, and enzymatic activity increased by 30% with sludge addition. (3) Long-lasting application of organic amendments increased organic carbon by up to 90% versus unfertilized soil, and up to 100% versus chemical fertilizer treatments. (4) Regular addition of organic residues, particularly the composted ones, increased soil physical fertility, mainly by improving aggregate stability and decreasing soil bulk density. (5) The best agronomic performance of compost is often obtained with the highest rates and frequency of applications. Furthermore, applying these strategies, there were additional beneficial effects such as the slow release of nitrogen fertilizer. (6) Crop yield increased by up to 250% by long-term applications of high rates of municipal solid waste compost. Stabilized organic amendments do not reduce the crop yield quality, but improve it. (7) Organic amendments play a positive role in climate change mitigation by soil carbon sequestration, the size of which is dependent on their type, the rates and the frequency of application. (8) There is no tangible evidence demonstrating negative impacts of heavy metals applied to soil, particularly when high-quality compost was used for long periods. (9) Repeated application of composted materials enhances soil organic nitrogen content by up to 90%, storing it for mineralization in future cropping seasons, often without inducing nitrate leaching to groundwater.","container-title":"Sustainable Agriculture Volume 2","event-place":"Dordrecht","ISBN":"978-94-007-0394-0","language":"en","note":"DOI: 10.1007/978-94-007-0394-0_34","page":"761-786","publisher":"Springer Netherlands","publisher-place":"Dordrecht","source":"Springer Link","title":"Long-Term Effects of Organic Amendments on Soil Fertility","URL":"https://doi.org/10.1007/978-94-007-0394-0_34","author":[{"family":"Diacono","given":"Mariangela"},{"family":"Montemurro","given":"Francesco"}],"editor":[{"family":"Lichtfouse","given":"Eric"},{"family":"Hamelin","given":"Marjolaine"},{"family":"Navarrete","given":"Mireille"},{"family":"Debaeke","given":"Philippe"}],"accessed":{"date-parts":[["2020",5,18]]},"issued":{"date-parts":[["2011"]]},"citation-key":"diacono_2011"}},{"id":1983,"uris":["http://zotero.org/users/2189142/items/V96663ZM"],"itemData":{"id":1983,"type":"article-journal","abstract":"Elevated anthropogenic acid deposition has accelerated forest soil acidification in southern China. However, the observed responses to increased acid inputs are quite variable among different forest soils, and the reasons remain unclear. To study the causes for the different responses, soil columns taken from a young pine forest (PF) and an old evergreen broadleaved forest (BF) were applied three levels of acid addition treatments for 60 days. We found that the PF soils were quite acid-sensitive, and the high acid treatment significantly decreased soil pH at 0–20 cm soil layer while significantly increased exchangeable H+ at both 0–20 and 20–40 cm soil layers. Both the low and high acid treatments significantly increased exchangeable Na+ at 0–20 cm soil layer and Ca2+ and Mg2+ at 20–40 cm soil layer. Furthermore, the high acid treatment also significantly increased leaching losses of H+, Ca2+, Mg2+ and Al3+. In contrast, the BF soils were able to buffer both the low and high acid treatments without significantly decreasing soil pH and increasing major exchangeable cations including Al3+ and their leaching losses. The significant differences in soil organic matter content were found to be responsible for these different responses, as a result of significantly positive correlation between cation exchange capacity (CEC) and organic carbon in both forest soils. The BF soils had higher organic matter than the PF soils, therefore a greater CEC for consuming H+ and a stronger capacity for binding cations. Our results explained why the PF soil pH decreased from 4.3 to 3.8, while the BF soil pH did not change significantly over the last 16 years, and highlighted the important roles of soil organic matter in acid buffering and retaining of major cations, especially for Al3+ in the very acidic forest soils in southern China.","container-title":"Chemical Geology","DOI":"10.1016/j.chemgeo.2018.10.009","ISSN":"0009-2541","journalAbbreviation":"Chemical Geology","language":"en","page":"86-94","source":"ScienceDirect","title":"Soil organic matter is important for acid buffering and reducing aluminum leaching from acidic forest soils","volume":"501","author":[{"family":"Jiang","given":"Jun"},{"family":"Wang","given":"Ying-Ping"},{"family":"Yu","given":"Mengxiao"},{"family":"Cao","given":"Nannan"},{"family":"Yan","given":"Junhua"}],"issued":{"date-parts":[["2018",11,30]]},"citation-key":"jiang_2018"}},{"id":850,"uris":["http://zotero.org/users/2189142/items/EJTCRHXB"],"itemData":{"id":850,"type":"article-journal","abstract":"Globally, soil organic matter (SOM) contains more than three times as much carbon as either the atmosphere or terrestrial vegetation. Yet it remains largely unknown why some SOM persists for millennia whereas other SOM decomposes readily—and this limits our ability to predict how soils will respond to climate change. Recent analytical and experimental advances have demonstrated that molecular structure alone does not control SOM stability: in fact, environmental and biological controls predominate. Here we propose ways to include this understanding in a new generation of experiments and soil carbon models, thereby improving predictions of the SOM response to global warming.","container-title":"Nature","DOI":"10.1038/nature10386","ISSN":"0028-0836","issue":"7367","journalAbbreviation":"Nature","language":"en","page":"49-56","source":"www.nature.com","title":"Persistence of soil organic matter as an ecosystem property","volume":"478","author":[{"family":"Schmidt","given":"Michael W. I."},{"family":"Torn","given":"Margaret S."},{"family":"Abiven","given":"Samuel"},{"family":"Dittmar","given":"Thorsten"},{"family":"Guggenberger","given":"Georg"},{"family":"Janssens","given":"Ivan A."},{"family":"Kleber","given":"Markus"},{"family":"Kögel-Knabner","given":"Ingrid"},{"family":"Lehmann","given":"Johannes"},{"family":"Manning","given":"David A. C."},{"family":"Nannipieri","given":"Paolo"},{"family":"Rasse","given":"Daniel P."},{"family":"Weiner","given":"Steve"},{"family":"Trumbore","given":"Susan E."}],"issued":{"date-parts":[["2011",10,6]]},"citation-key":"schmidt_2011"}}],"schema":"https://github.com/citation-style-language/schema/raw/master/csl-citation.json"} </w:instrText>
      </w:r>
      <w:r w:rsidRPr="009867C1">
        <w:rPr>
          <w:lang w:val="en-CA"/>
        </w:rPr>
        <w:fldChar w:fldCharType="separate"/>
      </w:r>
      <w:r w:rsidR="0042141C" w:rsidRPr="009867C1">
        <w:t>(Diacono &amp; Montemurro, 2011; Jiang et al., 2018; Schmidt et al., 2011)</w:t>
      </w:r>
      <w:r w:rsidRPr="009867C1">
        <w:rPr>
          <w:lang w:val="en-CA"/>
        </w:rPr>
        <w:fldChar w:fldCharType="end"/>
      </w:r>
      <w:r w:rsidRPr="009867C1">
        <w:rPr>
          <w:lang w:val="en-CA"/>
        </w:rPr>
        <w:t xml:space="preserve">. </w:t>
      </w:r>
      <w:r w:rsidRPr="009867C1">
        <w:t>Three studies have examined soil carbon with regards to salmon inputs, and two found that soil carbon stocks increased and CO</w:t>
      </w:r>
      <w:r w:rsidRPr="009867C1">
        <w:rPr>
          <w:vertAlign w:val="subscript"/>
        </w:rPr>
        <w:t>2</w:t>
      </w:r>
      <w:r w:rsidRPr="009867C1">
        <w:t xml:space="preserve"> flux decreased with salmon inputs </w:t>
      </w:r>
      <w:r w:rsidRPr="009867C1">
        <w:fldChar w:fldCharType="begin"/>
      </w:r>
      <w:r w:rsidR="00AC0205">
        <w:instrText xml:space="preserve"> ADDIN ZOTERO_ITEM CSL_CITATION {"citationID":"wnLNj5FB","properties":{"formattedCitation":"(T. A. Wheeler et al., 2014; T. A. Wheeler &amp; Kavanagh, 2017)","plainCitation":"(T. A. Wheeler et al., 2014; T. A. Wheeler &amp; Kavanagh, 2017)","noteIndex":0},"citationItems":[{"id":838,"uris":["http://zotero.org/users/2189142/items/G2C7ZEPI"],"itemData":{"id":838,"type":"article-journal","abstract":"Terrestrial salmon carcass decomposition and nutrient dynamics have been reported for coastal marine ecosystems of the Pacific Northwest but are lacking for semi-arid inland ecosystems of this region. Understanding these processes is a critical step in accurately understanding the biochemical responses to natural salmon deposition and appropriately mitigating for its loss. Additionally, the movement of carcasses for nutrient enhancement poses the risk of spreading pathogens and disease. Freezing and pasteurization of the carcasses reduces this risk. However, the effect of these treatments on decomposition processes is unknown. Decomposition rate and nutrient dynamics were investigated in semi-arid central Idaho by decomposing salmon carcasses in soil-filled microcosms. Rapid thermal accumulation in this semi-arid climate resulted in completion of soft tissue decomposition (skeletonization) in 16 days. Soil dissolved organic C (DOC) and dissolved total N (DTN) increased dramatically with respective increases from pretreatment concentrations of 7 and 48 fold by the time skeletonization occurred. Isotopic analysis of fluids beneath the carcasses revealed up to a 6‰ change in fluid δ13C and δ15N during decomposition as well as an overall 4‰ enrichment in mean fluid δ515N, relative to whole reference carcasses. Freezing and pasteurization of carcasses only yielded differences during the first few days of decomposition relative to the fresh carcasses. These results suggest that decomposition of carcasses in inland riparian forests proceeds very rapidly and that treated carcasses are suitable surrogates for fresh carcasses in semi-arid regions of central Idaho.","container-title":"Northwest Science","DOI":"10.3955/046.088.0206","ISSN":"0029-344X","issue":"2","journalAbbreviation":"Northwest Science","page":"106-119","source":"bioone.org.ezproxy.library.ubc.ca (Atypon)","title":"Terrestrial Salmon Carcass Decomposition: Nutrient and Isotopic Dynamics in Central Idaho","title-short":"Terrestrial Salmon Carcass Decomposition","volume":"88","author":[{"family":"Wheeler","given":"Tadd A."},{"family":"Kavanagh","given":"Kathleen L."},{"family":"Daanen","given":"Steven A."}],"issued":{"date-parts":[["2014",5,1]]},"citation-key":"wheeler_2014"}},{"id":1598,"uris":["http://zotero.org/users/2189142/items/DF4W6BUL"],"itemData":{"id":1598,"type":"article-journal","abstract":"The historic abundance of salmonids returning to natal streams of the inland Pacific Northwest, USA, may have constituted a major nutrient influx into these commonly oligotrophic ecosystems. Inland..., L’abondance historique des salmonidés qui reviennent vers les cours d’eau où ils ont vu le jour dans l’arrière-pays du Pacific Northwest aux États-Unis, ont pu constituer un apport majeur de nutrim...","container-title":"Canadian Journal of Forest Research","DOI":"10.1139/cjfr-2017-0194","ISSN":"0045-5067","issue":"11","journalAbbreviation":"Can. J. For. Res.","page":"1506-1516","source":"NRC Research Press","title":"Soil biogeochemical responses to the deposition of anadromous fish carcasses in inland riparian forests of the Pacific Northwest, USA","volume":"47","author":[{"family":"Wheeler","given":"Tadd A."},{"family":"Kavanagh","given":"Kathleen L."}],"issued":{"date-parts":[["2017",9,5]]},"citation-key":"wheeler_2017"}}],"schema":"https://github.com/citation-style-language/schema/raw/master/csl-citation.json"} </w:instrText>
      </w:r>
      <w:r w:rsidRPr="009867C1">
        <w:fldChar w:fldCharType="separate"/>
      </w:r>
      <w:r w:rsidR="0042141C" w:rsidRPr="009867C1">
        <w:t>(T. A. Wheeler et al., 2014; T. A. Wheeler &amp; Kavanagh, 2017)</w:t>
      </w:r>
      <w:r w:rsidRPr="009867C1">
        <w:fldChar w:fldCharType="end"/>
      </w:r>
      <w:r w:rsidRPr="009867C1">
        <w:t xml:space="preserve">, and one showed mixed results of both increases and decreases of soil carbon along a series of salmon-blocking dams </w:t>
      </w:r>
      <w:r w:rsidRPr="009867C1">
        <w:fldChar w:fldCharType="begin"/>
      </w:r>
      <w:r w:rsidR="00AC0205">
        <w:instrText xml:space="preserve"> ADDIN ZOTERO_ITEM CSL_CITATION {"citationID":"nN6M4mjK","properties":{"formattedCitation":"(Perry et al., 2017)","plainCitation":"(Perry et al., 2017)","noteIndex":0},"citationItems":[{"id":1599,"uris":["http://zotero.org/users/2189142/items/UCTPBSFV"],"itemData":{"id":1599,"type":"article-journal","abstract":"Riparian forest soils can be highly dynamic, due to frequent fluvial disturbance, erosion, and sediment deposition, but effects of dams on riparian soils are poorly understood. We examined soils along toposequences within three river segments located upstream, between, and downstream of two dams on the Elwha River to evaluate relationships between riparian soil development and forest age, succession, and channel proximity, explore dam effects on riparian soils, and provide a baseline for the largest dam removal in history. We found that older, later-successional forests and geomorphic surfaces contained soils with finer texture and greater depth to cobble, supporting greater forest floor mass, mineral soil nutrient levels, and cation exchange. Forest stand age was a better predictor than channel proximity for many soil characteristics, though elevation and distance from the channel were often also important, highlighting how complex interactions between fluvial disturbance, sediment deposition, and biotic retention regulate soil development in this ecosystem. Soils between the dams, and to a lesser extent below the lower dam, had finer textures and higher mineral soil carbon, nitrogen, and cation exchange than above the dams. These results suggested that decreased fluvial disturbance below the dams, due to reduced sediment supply and channel stabilization, accelerated soil development. In addition, reduced sediment supply below the dams may have decreased soil phosphorus. Soil δ15N suggested that salmon exclusion by the dams had no discernable effect on nitrogen inputs to upstream soils. Recent dam removal may alter riparian soils further, with ongoing implications for riparian ecosystems.","container-title":"Ecosystems","DOI":"10.1007/s10021-016-0080-1","ISSN":"1435-0629","issue":"1","journalAbbreviation":"Ecosystems","language":"en","page":"104-129","source":"Springer Link","title":"Riparian Soil Development Linked to Forest Succession Above and Below Dams Along the Elwha River, Washington, USA","volume":"20","author":[{"family":"Perry","given":"Laura G."},{"family":"Shafroth","given":"Patrick B."},{"family":"Perakis","given":"Steven S."}],"issued":{"date-parts":[["2017",1,1]]},"citation-key":"perry_2017"}}],"schema":"https://github.com/citation-style-language/schema/raw/master/csl-citation.json"} </w:instrText>
      </w:r>
      <w:r w:rsidRPr="009867C1">
        <w:fldChar w:fldCharType="separate"/>
      </w:r>
      <w:r w:rsidR="0042141C" w:rsidRPr="009867C1">
        <w:t>(Perry et al., 2017)</w:t>
      </w:r>
      <w:r w:rsidRPr="009867C1">
        <w:fldChar w:fldCharType="end"/>
      </w:r>
      <w:r w:rsidRPr="009867C1">
        <w:t xml:space="preserve">. </w:t>
      </w:r>
    </w:p>
    <w:p w14:paraId="6EB7A241" w14:textId="26498B29" w:rsidR="00223F7A" w:rsidRPr="009867C1" w:rsidRDefault="00223F7A" w:rsidP="00223F7A">
      <w:pPr>
        <w:ind w:firstLine="720"/>
      </w:pPr>
      <w:r w:rsidRPr="009867C1">
        <w:t>Due to the release of hydrogen ions from the oxidation of ammonium (NH</w:t>
      </w:r>
      <w:r w:rsidRPr="009867C1">
        <w:rPr>
          <w:vertAlign w:val="subscript"/>
        </w:rPr>
        <w:t>4</w:t>
      </w:r>
      <w:r w:rsidRPr="009867C1">
        <w:rPr>
          <w:vertAlign w:val="superscript"/>
        </w:rPr>
        <w:t>+</w:t>
      </w:r>
      <w:r w:rsidRPr="009867C1">
        <w:t xml:space="preserve">), decreases in pH are often associated with high rates of </w:t>
      </w:r>
      <w:r w:rsidR="007E0DD4">
        <w:t>ammonium</w:t>
      </w:r>
      <w:r w:rsidRPr="009867C1">
        <w:t xml:space="preserve"> application </w:t>
      </w:r>
      <w:r w:rsidRPr="009867C1">
        <w:fldChar w:fldCharType="begin"/>
      </w:r>
      <w:r w:rsidR="00AC0205">
        <w:instrText xml:space="preserve"> ADDIN ZOTERO_ITEM CSL_CITATION {"citationID":"ncwVOB7t","properties":{"formattedCitation":"(W. Gao et al., 2015; D. Tian &amp; Niu, 2015)","plainCitation":"(W. Gao et al., 2015; D. Tian &amp; Niu, 2015)","noteIndex":0},"citationItems":[{"id":1875,"uris":["http://zotero.org/users/2189142/items/8VPFM6YH"],"itemData":{"id":1875,"type":"article-journal","container-title":"Journal of Soils and Sediments","issue":"4","note":"publisher: Springer","page":"863–879","source":"Google Scholar","title":"Effects of nitrogen deposition and fertilization on N transformations in forest soils: a review","title-short":"Effects of nitrogen deposition and fertilization on N transformations in forest soils","volume":"15","author":[{"family":"Gao","given":"Wenlong"},{"family":"Yang","given":"Hao"},{"family":"Kou","given":"Liang"},{"family":"Li","given":"Shenggong"}],"issued":{"date-parts":[["2015"]]},"citation-key":"gao_2015"}},{"id":164,"uris":["http://zotero.org/users/2189142/items/HSTAI8Q3"],"itemData":{"id":164,"type":"article-journal","abstract":"Nitrogen (N) deposition-induced soil acidification has become a global problem. However, the response patterns of soil acidification to N addition and the underlying mechanisms remain far from clear. Here, we conducted a meta-analysis of 106 studies to reveal global patterns of soil acidification in responses to N addition. We found that N addition significantly reduced soil pH by 0.26 on average globally. However, the responses of soil pH varied with ecosystem types, N addition rate, N fertilization forms, and experimental durations. Soil pH decreased most in grassland, whereas boreal forest was not observed a decrease to N addition in soil acidification. Soil pH decreased linearly with N addition rates. Addition of urea and NH4NO3 contributed more to soil acidification than NH4-form fertilizer. When experimental duration was longer than 20 years, N addition effects on soil acidification diminished. Environmental factors such as initial soil pH, soil carbon and nitrogen content, precipitation, and temperature all influenced the responses of soil pH. Base cations of Ca2+, Mg2+ and K+ were critical important in buffering against N-induced soil acidification at the early stage. However, N addition has shifted global soils into the Al3+ buffering phase. Overall, this study indicates that acidification in global soils is very sensitive to N deposition, which is greatly modified by biotic and abiotic factors. Global soils are now at a buffering transition from base cations (Ca2+, Mg2+ and K+) to non-base cations (Mn2+ and Al3+). This calls our attention to care about the limitation of base cations and the toxic impact of non-base cations for terrestrial ecosystems with N deposition.","container-title":"Environmental Research Letters","DOI":"10.1088/1748-9326/10/2/024019","ISSN":"1748-9326","issue":"2","journalAbbreviation":"Environ. Res. Lett.","language":"en","note":"publisher: IOP Publishing","page":"024019","source":"Institute of Physics","title":"A global analysis of soil acidification caused by nitrogen addition","volume":"10","author":[{"family":"Tian","given":"Dashuan"},{"family":"Niu","given":"Shuli"}],"issued":{"date-parts":[["2015",2]]},"citation-key":"tian_2015"}}],"schema":"https://github.com/citation-style-language/schema/raw/master/csl-citation.json"} </w:instrText>
      </w:r>
      <w:r w:rsidRPr="009867C1">
        <w:fldChar w:fldCharType="separate"/>
      </w:r>
      <w:r w:rsidR="0042141C" w:rsidRPr="009867C1">
        <w:t>(W. Gao et al., 2015; D. Tian &amp; Niu, 2015)</w:t>
      </w:r>
      <w:r w:rsidRPr="009867C1">
        <w:fldChar w:fldCharType="end"/>
      </w:r>
      <w:r w:rsidRPr="009867C1">
        <w:t xml:space="preserve">. This nitrogen-driven acidification has important implications for soil fertility, as lower pH is associated with higher aluminum toxicity </w:t>
      </w:r>
      <w:r w:rsidRPr="009867C1">
        <w:fldChar w:fldCharType="begin"/>
      </w:r>
      <w:r w:rsidR="00AC0205">
        <w:instrText xml:space="preserve"> ADDIN ZOTERO_ITEM CSL_CITATION {"citationID":"uTq0BxAL","properties":{"formattedCitation":"(Fenn et al., 2006; X. Q. Zhao &amp; Shen, 2018)","plainCitation":"(Fenn et al., 2006; X. Q. Zhao &amp; Shen, 2018)","noteIndex":0},"citationItems":[{"id":698,"uris":["http://zotero.org/users/2189142/items/KEB6BDWX"],"itemData":{"id":698,"type":"article-journal","abstract":"Forest soil acidification and depletion of nutrient cations have been reported for several forested regions in North America, predominantly in the eastern United States, including the northeast and in the central Appalachians, but also in parts of southeastern Canada and the southern U.S. Continuing regional inputs of nitrogen and sulfur are of concern because of leaching of base cations, increased availability of soil Al, and the accumulation and ultimate transmission of acidity from forest soils to streams. Losses of calcium from forest soils and forested watersheds have now been documented as a sensitive early indicator and a functionally significant response to acid deposition for a wide range of forest soils in North America. For red spruce, a clear link has been established between acidic deposition, alterations in calcium and aluminum supplies and increased sensitivity to winter injury. Cation depletion appears to contribute to sugar maple decline on some soils, specifically the high mortality rates observed in northern Pennsylvania over the last decade. While responses to liming have not been systematically examined in North America, in a study in Pennsylvania, restoring basic cations through liming increased basal area growth of sugar maple and levels of calcium and magnesium in soil and foliage. In the San Bernardino Mountains in southern California near the west coast, the pH of the A horizon has declined by at least 2 pH units (to pH 4.0-4.3) over the past 30 years, with no detrimental effects on bole growth; presumably, because of the Mediterranean climate, base cation pools are still high and not limiting for plant growth.","container-title":"Journal of Forest Science","page":"3-13","source":"Treesearch","title":"Status of soil acidification in North America","volume":"52","author":[{"family":"Fenn","given":"M. E."},{"family":"Huntington","given":"T. G."},{"family":"McLaughlin","given":"S. B."},{"family":"Eagar","given":"C."},{"family":"Gomez","given":"A."},{"family":"Cook","given":"R. B. ;"}],"issued":{"date-parts":[["2006"]]},"citation-key":"fenn_2006"}},{"id":2643,"uris":["http://zotero.org/users/2189142/items/YLHJ4HFT"],"itemData":{"id":2643,"type":"article-journal","abstract":"Aluminum (Al) is the most abundant metal in the Earth’s crust and is not an essential element for plant growth. In contrast, nitrogen (N) is the most important mineral element for plant growth, but this non-metal is often present at low levels in soils, and plants are often N deficient. Aluminum toxicity is dominant in acid soils, and so plants growing in acid soils have to overcome both Al toxicity and N limitation. Because of low N-use efficiency, large amounts of N fertilizers are applied to crop fields to achieve high yields, leading to soil acidification and potential Al toxicity. Aluminum lowers plant N uptake and N-use efficiency because Al inhibits root growth. Although numerous studies have investigated the interactions between Al and N, a complete review of these studies was lacking. This review describes: 1) the link between plant Al tolerance and ammonium/nitrate (NH4+/NO3-) preference; 2) the effects of NH4+/NO3- and pH on Al toxicity; 3) the effects of Al on soil N transformations; and 4) the effects of Al on NH4+/NO3- uptake and assimilation by plants. Acid soils are characterized chemically by a relatively high ratio of NH4+ to NO3- and high concentrations of toxic Al. Aluminum-tolerant plants generally prefer NH4+ as an N source, while Al-sensitive plants prefer NO3-. Compared with NO3-, NH4+ increases the solubilization of toxic Al into soil solutions, but NH4+ generally alleviates Al phytotoxicity under solution culture because the protons from NH4+ compete with Al3+ for adsorption sites on the root surface. Plant NO3- uptake and nitrate reductase activity are both inhibited by Al, while plant NH4+ uptake is inhibited to a smaller degree than NO3-. Together, the results of numerous studies indicate that there is a synergistic interaction between plant Al tolerance and NH4+ nutrition. This has important implications for the adaptation of plants to acid soils that are dominated chemically by toxic Al as well as NH4+. Finally, we discuss how this knowledge can be used to increase plant Al tolerance and N-use efficiency in acid soils.","container-title":"Frontiers in Plant Science","DOI":"10.3389/fpls.2018.00807","ISSN":"1664-462X","journalAbbreviation":"Front. Plant Sci.","language":"English","note":"publisher: Frontiers","source":"Frontiers","title":"Aluminum–Nitrogen Interactions in the Soil–Plant System","URL":"https://www.frontiersin.org/articles/10.3389/fpls.2018.00807/full","volume":"9","author":[{"family":"Zhao","given":"Xue Qiang"},{"family":"Shen","given":"Ren F."}],"accessed":{"date-parts":[["2020",3,26]]},"issued":{"date-parts":[["2018"]]},"citation-key":"zhao_2018"}}],"schema":"https://github.com/citation-style-language/schema/raw/master/csl-citation.json"} </w:instrText>
      </w:r>
      <w:r w:rsidRPr="009867C1">
        <w:fldChar w:fldCharType="separate"/>
      </w:r>
      <w:r w:rsidR="0042141C" w:rsidRPr="009867C1">
        <w:t>(Fenn et al., 2006; X. Q. Zhao &amp; Shen, 2018)</w:t>
      </w:r>
      <w:r w:rsidRPr="009867C1">
        <w:fldChar w:fldCharType="end"/>
      </w:r>
      <w:r w:rsidRPr="009867C1">
        <w:t xml:space="preserve"> and decreased stocks of exchangeable cations such as calcium due to nitrate-assisted co-leaching </w:t>
      </w:r>
      <w:r w:rsidRPr="009867C1">
        <w:fldChar w:fldCharType="begin"/>
      </w:r>
      <w:r w:rsidR="00AC0205">
        <w:instrText xml:space="preserve"> ADDIN ZOTERO_ITEM CSL_CITATION {"citationID":"zWTRE4Gs","properties":{"formattedCitation":"(Brady &amp; Weil, 2016; Perakis et al., 2013)","plainCitation":"(Brady &amp; Weil, 2016; Perakis et al., 2013)","noteIndex":0},"citationItems":[{"id":1589,"uris":["http://zotero.org/users/2189142/items/H5W3G2XL"],"itemData":{"id":1589,"type":"book","publisher":"Pearson","source":"Google Scholar","title":"The nature and properties of soils","author":[{"family":"Brady","given":"Nyle C."},{"family":"Weil","given":"Ray R."}],"issued":{"date-parts":[["2016"]]},"citation-key":"brady_2016"}},{"id":1315,"uris":["http://zotero.org/users/2189142/items/E8B468M3"],"itemData":{"id":1315,"type":"article-journal","abstract":"High nitrogen (N) accumulation in terrestrial ecosystems can shift patterns of nutrient limitation and deficiency beyond N toward other nutrients, most notably phosphorus (P) and base cations (calcium [Ca], magnesium [Mg], and potassium [K]). We examined how naturally high N accumulation from a legacy of symbiotic N fixation shaped P and base cation cycling across a gradient of nine temperate conifer forests in the Oregon Coast Range. We were particularly interested in whether long-term legacies of symbiotic N fixation promoted coupled N and organic P accumulation in soils, and whether biotic demands by non-fixing vegetation could conserve ecosystem base cations as N accumulated. Total soil N (0–100 cm) pools increased nearly threefold across the N gradient, leading to increased nitrate leaching, declines in soil pH from 5.8 to 4.2, 10-fold declines in soil exchangeable Ca, Mg, and K, and increased mobilization of aluminum. These results suggest that long-term N enrichment had acidified soils and depleted much of the readily weatherable base cation pool. Soil organic P increased with both soil N and C across the gradient, but soil inorganic P, biomass P, and P leaching loss did not vary with N, implying that historic symbiotic N fixation promoted soil organic P accumulation and P sufficiency for non-fixers. Even though soil pools of Ca, Mg, and K all declined as soil N increased, only Ca declined in biomass pools, suggesting the emergence of Ca deficiency at high N. Biotic conservation and tight recycling of Ca increased in response to whole-ecosystem Ca depletion, as indicated by preferential accumulation of Ca in biomass and surface soil. Our findings support a hierarchical model of coupled N–Ca cycling under long-term soil N enrichment, whereby ecosystem-level N saturation and nitrate leaching deplete readily available soil Ca, stimulating biotic Ca conservation as overall supply diminishes. We conclude that a legacy of biological N fixation can increase N and P accumulation in soil organic matter to the point that neither nutrient is limiting to subsequent non-fixers, while also resulting in natural N saturation that intensifies base cation depletion and deficiency.","container-title":"Ecological Applications","DOI":"10.1890/12-2204.1","ISSN":"1939-5582","issue":"8","language":"en","page":"1947-1961","source":"Wiley Online Library","title":"Forest calcium depletion and biotic retention along a soil nitrogen gradient","volume":"23","author":[{"family":"Perakis","given":"Steven S."},{"family":"Sinkhorn","given":"Emily R."},{"family":"Catricala","given":"Christina E."},{"family":"Bullen","given":"Thomas D."},{"family":"Fitzpatrick","given":"John A."},{"family":"Hynicka","given":"Justin D."},{"family":"Cromack","given":"Kermit"}],"issued":{"date-parts":[["2013",12,1]]},"citation-key":"perakis_2013"}}],"schema":"https://github.com/citation-style-language/schema/raw/master/csl-citation.json"} </w:instrText>
      </w:r>
      <w:r w:rsidRPr="009867C1">
        <w:fldChar w:fldCharType="separate"/>
      </w:r>
      <w:r w:rsidR="0042141C" w:rsidRPr="009867C1">
        <w:t>(Brady &amp; Weil, 2016; Perakis et al., 2013)</w:t>
      </w:r>
      <w:r w:rsidRPr="009867C1">
        <w:fldChar w:fldCharType="end"/>
      </w:r>
      <w:r w:rsidRPr="009867C1">
        <w:t xml:space="preserve">. </w:t>
      </w:r>
      <w:r w:rsidR="00552946">
        <w:t>H</w:t>
      </w:r>
      <w:r w:rsidR="00552946" w:rsidRPr="009867C1">
        <w:t>igher soluble aluminum and iron concentrations may be indicative of an ongoing process of nitrogen-mediated acidification</w:t>
      </w:r>
      <w:r w:rsidR="00552946">
        <w:t>, but</w:t>
      </w:r>
      <w:r w:rsidR="00552946" w:rsidRPr="009867C1">
        <w:t xml:space="preserve"> </w:t>
      </w:r>
      <w:r w:rsidR="00552946">
        <w:t>m</w:t>
      </w:r>
      <w:r w:rsidRPr="009867C1">
        <w:t xml:space="preserve">etals have never been investigated in soils along salmon gradients. </w:t>
      </w:r>
      <w:r w:rsidRPr="009867C1">
        <w:rPr>
          <w:lang w:val="en-CA"/>
        </w:rPr>
        <w:t xml:space="preserve">In agricultural and forest settings, this type of soil acidification can be caused by nitrogen deposition at similar or lower deposition rates than those estimated for MDN inputs </w:t>
      </w:r>
      <w:r w:rsidRPr="009867C1">
        <w:rPr>
          <w:lang w:val="en-CA"/>
        </w:rPr>
        <w:fldChar w:fldCharType="begin"/>
      </w:r>
      <w:r w:rsidR="00AC0205">
        <w:rPr>
          <w:lang w:val="en-CA"/>
        </w:rPr>
        <w:instrText xml:space="preserve"> ADDIN ZOTERO_ITEM CSL_CITATION {"citationID":"sJhrbUIp","properties":{"formattedCitation":"(D. Tian &amp; Niu, 2015)","plainCitation":"(D. Tian &amp; Niu, 2015)","noteIndex":0},"citationItems":[{"id":164,"uris":["http://zotero.org/users/2189142/items/HSTAI8Q3"],"itemData":{"id":164,"type":"article-journal","abstract":"Nitrogen (N) deposition-induced soil acidification has become a global problem. However, the response patterns of soil acidification to N addition and the underlying mechanisms remain far from clear. Here, we conducted a meta-analysis of 106 studies to reveal global patterns of soil acidification in responses to N addition. We found that N addition significantly reduced soil pH by 0.26 on average globally. However, the responses of soil pH varied with ecosystem types, N addition rate, N fertilization forms, and experimental durations. Soil pH decreased most in grassland, whereas boreal forest was not observed a decrease to N addition in soil acidification. Soil pH decreased linearly with N addition rates. Addition of urea and NH4NO3 contributed more to soil acidification than NH4-form fertilizer. When experimental duration was longer than 20 years, N addition effects on soil acidification diminished. Environmental factors such as initial soil pH, soil carbon and nitrogen content, precipitation, and temperature all influenced the responses of soil pH. Base cations of Ca2+, Mg2+ and K+ were critical important in buffering against N-induced soil acidification at the early stage. However, N addition has shifted global soils into the Al3+ buffering phase. Overall, this study indicates that acidification in global soils is very sensitive to N deposition, which is greatly modified by biotic and abiotic factors. Global soils are now at a buffering transition from base cations (Ca2+, Mg2+ and K+) to non-base cations (Mn2+ and Al3+). This calls our attention to care about the limitation of base cations and the toxic impact of non-base cations for terrestrial ecosystems with N deposition.","container-title":"Environmental Research Letters","DOI":"10.1088/1748-9326/10/2/024019","ISSN":"1748-9326","issue":"2","journalAbbreviation":"Environ. Res. Lett.","language":"en","note":"publisher: IOP Publishing","page":"024019","source":"Institute of Physics","title":"A global analysis of soil acidification caused by nitrogen addition","volume":"10","author":[{"family":"Tian","given":"Dashuan"},{"family":"Niu","given":"Shuli"}],"issued":{"date-parts":[["2015",2]]},"citation-key":"tian_2015"}}],"schema":"https://github.com/citation-style-language/schema/raw/master/csl-citation.json"} </w:instrText>
      </w:r>
      <w:r w:rsidRPr="009867C1">
        <w:rPr>
          <w:lang w:val="en-CA"/>
        </w:rPr>
        <w:fldChar w:fldCharType="separate"/>
      </w:r>
      <w:r w:rsidR="0042141C" w:rsidRPr="009867C1">
        <w:t>(D. Tian &amp; Niu, 2015)</w:t>
      </w:r>
      <w:r w:rsidRPr="009867C1">
        <w:rPr>
          <w:lang w:val="en-CA"/>
        </w:rPr>
        <w:fldChar w:fldCharType="end"/>
      </w:r>
      <w:r w:rsidRPr="009867C1">
        <w:rPr>
          <w:lang w:val="en-CA"/>
        </w:rPr>
        <w:t xml:space="preserve">. </w:t>
      </w:r>
      <w:r w:rsidRPr="009867C1">
        <w:t xml:space="preserve">If occurring at these sites, this process would predict a decrease in pH, an increase in soluble aluminum concentrations, and decreased exchangeable cation concentrations with higher salmon inputs. This phenomenon could be ongoing even as salmon directly deposit nitrogen, phosphorus, and calcium to riparian systems, and potentially offset fertility gains from direct deposition. </w:t>
      </w:r>
    </w:p>
    <w:p w14:paraId="15D895DF" w14:textId="62A543DA" w:rsidR="00223F7A" w:rsidRPr="009867C1" w:rsidRDefault="00223F7A" w:rsidP="00223F7A">
      <w:pPr>
        <w:ind w:firstLine="720"/>
      </w:pPr>
      <w:r w:rsidRPr="009867C1">
        <w:rPr>
          <w:lang w:val="en-CA"/>
        </w:rPr>
        <w:t>Soil fertility is a integrative concept that accounts for nutrient availability</w:t>
      </w:r>
      <w:r w:rsidRPr="009867C1">
        <w:t xml:space="preserve">, water conditions, soil aeration and physical stability, and the absence of substances that can inhibit plant growth </w:t>
      </w:r>
      <w:r w:rsidRPr="009867C1">
        <w:fldChar w:fldCharType="begin"/>
      </w:r>
      <w:r w:rsidR="00AC0205">
        <w:instrText xml:space="preserve"> ADDIN ZOTERO_ITEM CSL_CITATION {"citationID":"PjqYg44r","properties":{"formattedCitation":"(Fisher et al., 2012; Nicolodi &amp; Gianello, 2014; Patzel et al., 2000)","plainCitation":"(Fisher et al., 2012; Nicolodi &amp; Gianello, 2014; Patzel et al., 2000)","noteIndex":0},"citationItems":[{"id":167,"uris":["http://zotero.org/users/2189142/items/N3GF3JPU"],"itemData":{"id":167,"type":"article-journal","abstract":"Most vegetation is limited in productivity by nutrient availability, but the magnitude of limitation globally is not known. Nutrient limitation is directly relevant not only to ecology and agriculture, but also to the global carbon cycle by regulating how much atmospheric CO2the terrestrial biosphere can sequester. We attempt to identify total nutrient limitation in terrestrial plant productivity globally using ecophysiological theory and new developments in remote sensing for evapotranspiration and plant productivity. Our map of nutrient limitation qualitatively reproduces known regional nutrient gradients (e.g., across Amazonia), highlights differences in nutrient addition to croplands (e.g., between “developed” and “developing” countries), identifies the role of nutrients on the distribution of major biomes (e.g., tree line migration in boreal North America), and compares similarly to a ground-based test along the Long Substrate Age Gradient in Hawaii, U.S.A. (e.g., foliar and soil nutrients, litter decomposition). Nonetheless, challenges in representing light and water use efficiencies, disturbance, and comparison to ground data with multiple interacting nutrients provide avenues for further progress on refining such a global map. Global average reduction in terrestrial plant productivity was within 16–28%, depending on treatment of disturbance; these values can be compared to global carbon cycle model estimates of carbon uptake reduction with nutrient cycle inclusion.","container-title":"Global Biogeochemical Cycles","DOI":"10.1029/2011GB004252","ISSN":"1944-9224","issue":"3","language":"en","note":"_eprint: https://onlinelibrary.wiley.com/doi/pdf/10.1029/2011GB004252","source":"Wiley Online Library","title":"Global nutrient limitation in terrestrial vegetation","URL":"http://agupubs.onlinelibrary.wiley.com/doi/abs/10.1029/2011GB004252","volume":"26","author":[{"family":"Fisher","given":"Joshua B."},{"family":"Badgley","given":"Grayson"},{"family":"Blyth","given":"Eleanor"}],"accessed":{"date-parts":[["2020",5,21]]},"issued":{"date-parts":[["2012"]]},"citation-key":"fisher_2012"}},{"id":168,"uris":["http://zotero.org/users/2189142/items/QBBBLVGU"],"itemData":{"id":168,"type":"webpage","abstract":"The application of the principles of thermodynamics and General Systems Theory is responsible for important progress in the study of soil and its fertility, and this application can even improve our understanding of the processes that govern the functioning of soil and determine the magnitude of soil fertility. Consequently, we can improve the evaluation and practices recommended for preserving or improving the soil and its fertility, contributing to sustainable food production. Recalling how the concept and human perception of soil have evolved is fundamental to improve our understanding. Thus, this article aims to encourage people to reflect on the application of the principles of thermodynamics of non-equilibrium and General Systems Theory in studying the soil and its fertility and to participate in constructing a new notion of soil fertility, able to express what is perceived by plants. Several authors in the last century have considered the soil to be an open system; however, this approach is a recent in Brazil. Fertility can be coherently understood as one of the emergent properties of the soil system by applying the principles of thermodynamics of non-equilibrium and General Systems Theory to the study of soil.","container-title":"Sustainable Agriculture Research","language":"en","note":"issue: 1\nsource: ageconsearch.umn.edu\nnumber: 526-2016-37873\nvolume: 4\nDOI: 10.22004/ag.econ.230408","title":"Understanding Soil as an Open System and Fertility as an Emergent Property of the Soil System","URL":"https://ageconsearch.umn.edu/record/230408","author":[{"family":"Nicolodi","given":"Margarete"},{"family":"Gianello","given":"Clesio"}],"accessed":{"date-parts":[["2020",5,21]]},"issued":{"date-parts":[["2014"]]},"citation-key":"nicolodi_2014"}},{"id":171,"uris":["http://zotero.org/users/2189142/items/5WQ9TM2R"],"itemData":{"id":171,"type":"article-journal","abstract":"This paper is based on an extensive review of soil fertility in the literature of soil science, agronomy and ethnic studies. The spectrum of scientific opinions on soil fertility was visualized in mind-maps, definition types were analyzed, and problems within the conceptual approach towards soil fertility were shown. Differently oriented concepts were divided between the terms of soil fertility and soil quality. Soil fertility is not applicable as a technical term in natural sciences as it describes a definite, but dispositional (concealed), soil feature; therefore, it is not fully operationalizable for the natural sciences. Soil quality denotes undefined and interchangeable sets of appreciated soil attributes and functionalities, which are assigned by value judgements. It is a tool that integrates different soil state variables and functions in order to evaluate the capacity of a soil to do what it is expected (i.e. function) or to assess the sustainability of current land-use practices. The phenomenon of soil fertility appears to the consciousness as an autonomous counter-instance with its own mental and material qualities, referred to in traditional cultic cultivation. The main features of cultic cultivation of soil fertility are the uniting of the four elements, the religio towards the spiritual side of nature, the sacrificial, and the eros. A reevaluation of the soil fertility phenomenon in modern terms would be an innovative and forward-looking research program. Practical and scientific work on soil fertility should rediscover and revive the feeling for, and apperception of, the phenomenon of soil fertility in its mental and material aspects.","container-title":"Journal of Plant Nutrition and Soil Science","DOI":"10.1002/(SICI)1522-2624(200004)163:2&lt;129::AID-JPLN129&gt;3.0.CO;2-D","ISSN":"1522-2624","issue":"2","language":"en","note":"_eprint: https://onlinelibrary.wiley.com/doi/pdf/10.1002/%28SICI%291522-2624%28200004%29163%3A2%3C129%3A%3AAID-JPLN129%3E3.0.CO%3B2-D","page":"129-142","source":"Wiley Online Library","title":"Soil Fertility — Phenomenon and Concept","volume":"163","author":[{"family":"Patzel","given":"Nikola"},{"family":"Sticher","given":"Hans"},{"family":"Karlen","given":"Douglas L."}],"issued":{"date-parts":[["2000"]]},"citation-key":"patzel_2000"}}],"schema":"https://github.com/citation-style-language/schema/raw/master/csl-citation.json"} </w:instrText>
      </w:r>
      <w:r w:rsidRPr="009867C1">
        <w:fldChar w:fldCharType="separate"/>
      </w:r>
      <w:r w:rsidR="00DC56DD" w:rsidRPr="00DC56DD">
        <w:t>(Fisher et al., 2012; Nicolodi &amp; Gianello, 2014; Patzel et al., 2000)</w:t>
      </w:r>
      <w:r w:rsidRPr="009867C1">
        <w:fldChar w:fldCharType="end"/>
      </w:r>
      <w:r w:rsidRPr="009867C1">
        <w:t xml:space="preserve">. </w:t>
      </w:r>
      <w:r w:rsidRPr="009867C1">
        <w:rPr>
          <w:lang w:val="en-CA"/>
        </w:rPr>
        <w:t xml:space="preserve">Temperate rain forests are considered nitrogen-limited </w:t>
      </w:r>
      <w:r w:rsidRPr="009867C1">
        <w:rPr>
          <w:lang w:val="en-CA"/>
        </w:rPr>
        <w:fldChar w:fldCharType="begin"/>
      </w:r>
      <w:r w:rsidR="00AC0205">
        <w:rPr>
          <w:lang w:val="en-CA"/>
        </w:rPr>
        <w:instrText xml:space="preserve"> ADDIN ZOTERO_ITEM CSL_CITATION {"citationID":"mwIDv64k","properties":{"formattedCitation":"(Edmonds et al., 1989; LeBauer &amp; Treseder, 2008)","plainCitation":"(Edmonds et al., 1989; LeBauer &amp; Treseder, 2008)","noteIndex":0},"citationItems":[{"id":1625,"uris":["http://zotero.org/users/2189142/items/X33TKGHH"],"itemData":{"id":1625,"type":"article-journal","container-title":"Maintaining the long-term productivity of Pacific northwest forest ecosystems. Edited by D. Perry, R. Meurisse, B. Thomas, R. Miller, J. Boyle, C. Perry, and R. Powers. Timber Press, Portland, Ore","page":"17–35","source":"Google Scholar","title":"Nutrient cycling: effects on productivity of northwest forests","title-short":"Nutrient cycling","author":[{"family":"Edmonds","given":"Robert L."},{"family":"Binkley","given":"Dan"},{"family":"Feller","given":"Michael C."},{"family":"Sollins","given":"Phillip"},{"family":"Abee","given":"Albert"},{"family":"Myrold","given":"David D."}],"issued":{"date-parts":[["1989"]]},"citation-key":"edmonds_1989"}},{"id":1626,"uris":["http://zotero.org/users/2189142/items/ZKW6XXHR"],"itemData":{"id":1626,"type":"article-journal","abstract":"Our meta-analysis of 126 nitrogen addition experiments evaluated nitrogen (N) limitation of net primary production (NPP) in terrestrial ecosystems. We tested the hypothesis that N limitation is widespread among biomes and influenced by geography and climate. We used the response ratio (R </w:instrText>
      </w:r>
      <w:r w:rsidR="00AC0205">
        <w:rPr>
          <w:rFonts w:ascii="Cambria Math" w:hAnsi="Cambria Math" w:cs="Cambria Math"/>
          <w:lang w:val="en-CA"/>
        </w:rPr>
        <w:instrText>≅</w:instrText>
      </w:r>
      <w:r w:rsidR="00AC0205">
        <w:rPr>
          <w:lang w:val="en-CA"/>
        </w:rPr>
        <w:instrText xml:space="preserve"> ANPPN/ANPPctrl) of aboveground plant growth in fertilized to control plots and found that most ecosystems are nitrogen limited with an average 29% growth response to nitrogen (i.e., R = 1.29). The response ratio was significant within temperate forests (R = 1.19), tropical forests (R = 1.60), temperate grasslands (R = 1.53), tropical grasslands (R = 1.26), wetlands (R = 1.16), and tundra (R = 1.35), but not deserts. Eight tropical forest studies had been conducted on very young volcanic soils in Hawaii, and this subgroup was strongly N limited (R = 2.13), which resulted in a negative correlation between forest R and latitude. The degree of N limitation in the remainder of the tropical forest studies (R = 1.20) was comparable to that of temperate forests, and when the young Hawaiian subgroup was excluded, forest R did not vary with latitude. Grassland response increased with latitude, but was independent of temperature and precipitation. These results suggest that the global N and C cycles interact strongly and that geography can mediate ecosystem response to N within certain biome types.","container-title":"Ecology","DOI":"10.1890/06-2057.1","ISSN":"1939-9170","issue":"2","language":"en","page":"371-379","source":"Wiley Online Library","title":"Nitrogen Limitation of Net Primary Productivity in Terrestrial Ecosystems Is Globally Distributed","volume":"89","author":[{"family":"LeBauer","given":"David S."},{"family":"Treseder","given":"Kathleen K."}],"issued":{"date-parts":[["2008"]]},"citation-key":"lebauer_2008"}}],"schema":"https://github.com/citation-style-language/schema/raw/master/csl-citation.json"} </w:instrText>
      </w:r>
      <w:r w:rsidRPr="009867C1">
        <w:rPr>
          <w:lang w:val="en-CA"/>
        </w:rPr>
        <w:fldChar w:fldCharType="separate"/>
      </w:r>
      <w:r w:rsidR="0042141C" w:rsidRPr="009867C1">
        <w:t>(Edmonds et al., 1989; LeBauer &amp; Treseder, 2008)</w:t>
      </w:r>
      <w:r w:rsidRPr="009867C1">
        <w:rPr>
          <w:lang w:val="en-CA"/>
        </w:rPr>
        <w:fldChar w:fldCharType="end"/>
      </w:r>
      <w:r w:rsidRPr="009867C1">
        <w:rPr>
          <w:lang w:val="en-CA"/>
        </w:rPr>
        <w:t xml:space="preserve">, and for this reason studies focused on marine-derived nitrogen (MDN-N) dynamics have been thought to be most salient on west-coast rainforest sites </w:t>
      </w:r>
      <w:r w:rsidRPr="009867C1">
        <w:rPr>
          <w:lang w:val="en-CA"/>
        </w:rPr>
        <w:fldChar w:fldCharType="begin"/>
      </w:r>
      <w:r w:rsidR="00AC0205">
        <w:rPr>
          <w:lang w:val="en-CA"/>
        </w:rPr>
        <w:instrText xml:space="preserve"> ADDIN ZOTERO_ITEM CSL_CITATION {"citationID":"gbygQlQ7","properties":{"formattedCitation":"(Oliver et al., 2017)","plainCitation":"(Oliver et al., 2017)","noteIndex":0},"citationItems":[{"id":1696,"uris":["http://zotero.org/users/2189142/items/K3YQ6QXN"],"itemData":{"id":1696,"type":"article-journal","abstract":"&lt;p&gt;&lt;strong&gt;Abstract.&lt;/strong&gt; The perhumid region of the coastal temperate rainforest (CTR) of Pacific North America is one of the wettest places on Earth and contains numerous small catchments that discharge freshwater and high concentrations of dissolved organic carbon (DOC) directly to the coastal ocean. However, empirical data on the flux and composition of DOC exported from these watersheds are scarce. We established monitoring stations at the outlets of seven catchments on Calvert and Hecate islands, British Columbia, which represent the rain-dominated hypermaritime region of the perhumid CTR. Over several years, we measured stream discharge, stream water DOC concentration, and stream water dissolved organic-matter (DOM) composition. Discharge and DOC concentrations were used to calculate DOC fluxes and yields, and DOM composition was characterized using absorbance and fluorescence spectroscopy with parallel factor analysis (PARAFAC). The areal estimate of annual DOC yield in water year 2015 was 33.3 Mg C km&lt;sup&gt;−2&lt;/sup&gt; yr&lt;sup&gt;−1&lt;/sup&gt;, with individual watersheds ranging from an average of 24.1 to 37.7 Mg C km&lt;sup&gt;−2&lt;/sup&gt; yr&lt;sup&gt;−1&lt;/sup&gt;. This represents some of the highest DOC yields to be measured at the coastal margin. We observed seasonality in the quantity and composition of exports, with the majority of DOC export occurring during the extended wet period (September–April). Stream flow from catchments reacted quickly to rain inputs, resulting in rapid export of relatively fresh, highly terrestrial-like DOM. DOC concentration and measures of DOM composition were related to stream discharge and stream temperature and correlated with watershed attributes, including the extent of lakes and wetlands, and the thickness of organic and mineral soil horizons. Our discovery of high DOC yields from these small catchments in the CTR is especially compelling as they deliver relatively fresh, highly terrestrial organic matter directly to the coastal ocean. Hypermaritime landscapes are common on the British Columbia coast, suggesting that this coastal margin may play an important role in the regional processing of carbon and in linking terrestrial carbon to marine ecosystems.&lt;/p&gt;","container-title":"Biogeosciences","DOI":"https://doi.org/10.5194/bg-14-3743-2017","ISSN":"1726-4170","issue":"15","language":"English","page":"3743-3762","source":"www.biogeosciences.net","title":"A global hotspot for dissolved organic carbon in hypermaritime watersheds of coastal British Columbia","volume":"14","author":[{"family":"Oliver","given":"Allison A."},{"family":"Tank","given":"Suzanne E."},{"family":"Giesbrecht","given":"Ian"},{"family":"Korver","given":"Maartje C."},{"family":"Floyd","given":"William C."},{"family":"Sanborn","given":"Paul"},{"family":"Bulmer","given":"Chuck"},{"family":"Lertzman","given":"Ken P."}],"issued":{"date-parts":[["2017",8,15]]},"citation-key":"oliver_2017"}}],"schema":"https://github.com/citation-style-language/schema/raw/master/csl-citation.json"} </w:instrText>
      </w:r>
      <w:r w:rsidRPr="009867C1">
        <w:rPr>
          <w:lang w:val="en-CA"/>
        </w:rPr>
        <w:fldChar w:fldCharType="separate"/>
      </w:r>
      <w:r w:rsidR="0042141C" w:rsidRPr="009867C1">
        <w:t>(Oliver et al., 2017)</w:t>
      </w:r>
      <w:r w:rsidRPr="009867C1">
        <w:rPr>
          <w:lang w:val="en-CA"/>
        </w:rPr>
        <w:fldChar w:fldCharType="end"/>
      </w:r>
      <w:r w:rsidRPr="009867C1">
        <w:rPr>
          <w:lang w:val="en-CA"/>
        </w:rPr>
        <w:t xml:space="preserve">. However, phosphorus </w:t>
      </w:r>
      <w:r w:rsidRPr="009867C1">
        <w:rPr>
          <w:lang w:val="en-CA"/>
        </w:rPr>
        <w:fldChar w:fldCharType="begin"/>
      </w:r>
      <w:r w:rsidR="00AC0205">
        <w:rPr>
          <w:lang w:val="en-CA"/>
        </w:rPr>
        <w:instrText xml:space="preserve"> ADDIN ZOTERO_ITEM CSL_CITATION {"citationID":"hSVc0NZG","properties":{"formattedCitation":"(Kranabetter et al., 2005; Richardson et al., 2004)","plainCitation":"(Kranabetter et al., 2005; Richardson et al., 2004)","noteIndex":0},"citationItems":[{"id":903,"uris":["http://zotero.org/users/2189142/items/W5UCMJ9G"],"itemData":{"id":903,"type":"article-journal","abstract":"The wet, slow-growing forests of western redcedar (Thuja plicata Donn ex D. Don) and salal (Gaultheria shallon Pursh) on the north coast of British Columbia are characteristically low in available phosphorus (P) compared with more productive forest ecosystems. It has been suggested that declining P availability can eventually limit soil biological activity and restrict nitrogen (N) cycling. We investigated this potential link between P availability and N cycling for three forest types (cedarsalal, hemlock  lanky moss and spruce  sword fern) covering a wide gradient in site productivity. Forest floors (upper 20 cm) and mineral soils (20 cm depth) were collected from five replicate sites of each forest type and incubated for 20 weeks at field moisture content with and without an amendment of NaH2PO4. We found that organic P concentrations of both forest floors and mineral soils were positively correlated to extractable inorganic N concentrations (unamended soils over 20 weeks). The addition of P to the l..., Comparativement aux écosystèmes forestiers plus productifs, les forêts humides à croissance lente de thuya géant (Thuja plicata Donn ex D. Don) et de gaulthérie shallon (Gaultheria shallon Pursh) de la côte nord de la Colombie-Britannique sont caractérisées par une faible disponibilité en phosphore (P). La diminution de la disponibilité en phosphore pourrait éventuellement limiter l'activité biologique du sol et restreindre le recyclage de l'azote (N). Les auteurs ont examiné ce lien potentiel entre la disponibilité de P et le recyclage de N pour trois types forestiers (cèdregaulthérie, pruche  rhytidiadelphe lanière et épinette  fougère épée) qui couvrent un large gradient de potentiel de station. La couverture morte (les 20 cm supérieurs) et le sol minéral (20 cm de profondeur) ont été récoltés dans cinq stations de chaque type forestier et incubés pendant 20 semaines à la teneur en humidité au champ avec ou sans amendement de NaH2PO4. Ils ont observé que la concentration de P organique de la couvert...","container-title":"Canadian Journal of Forest Research","DOI":"10.1139/x04-192","ISSN":"0045-5067","issue":"3","journalAbbreviation":"Can. J. For. Res.","page":"530-540","source":"NRC Research Press","title":"An assessment of phosphorus limitations to soil nitrogen availability across forest ecosystems of north coastal British Columbia","volume":"35","author":[{"family":"Kranabetter","given":"J M"},{"family":"Banner","given":"A"},{"family":"Groot","given":"A","dropping-particle":"de"}],"issued":{"date-parts":[["2005",3,1]]},"citation-key":"kranabetter_2005"}},{"id":1628,"uris":["http://zotero.org/users/2189142/items/APM8E5KQ"],"itemData":{"id":1628,"type":"article-journal","abstract":"The aim of this study was to examine how shifts in soil nutrient availability along a soil chronosequence affected temperate rainforest vegetation. Soil nutrient availability, woody plant diversity, composition and structure, and woody species leaf and litter nutrient concentrations were quantified along the sequence through ecosystem progression and retrogression. In this super-wet, high leaching environment, the chronosequence exhibited rapid soil development and decline within 120,000 years. There were strong gradients of soil pH, N, P and C, and these had a profound effect on vegetation. N:Pleaf increased along the chronosequence as vegetation shifted from being N- to P- limited. However, high N:Pleaf ratios, which indicate P-limitation, were obtained on soils with both high and low soil P availability. This was because the high N-inputs from an N-fixing shrub caused vegetation to be P-limited in spite of high soil P availability. Woody species nutrient resorption increased with site age, as availability of N and P declined. Soil P declined 8-fold along the sequence and P resorption proficiency decreased from 0.07 to 0.01%, correspondingly. N resorption proficiency decreased from 1.54 to 0.26%, corresponding to shifts in mineralisable N. Woody plant species richness, vegetation cover and tree height increased through ecosystem progression and then declined. During retrogression, the forest became shorter, more open and less diverse, and there were compositional shifts towards stress-tolerant species. Conifers (of the Podocarpaceae) were the only group to increase in richness along the sequence. Conifers maintained a lower N:Pleaf than other groups, suggesting superior acquisition of P on poor soils. In conclusion, there was evidence that P limitation and retrogressive forests developed on old soils, but N limitation on very young soils was not apparent because of inputs from an abundant N-fixing shrub.","container-title":"Oecologia","DOI":"10.1007/s00442-004-1501-y","ISSN":"1432-1939","issue":"2","journalAbbreviation":"Oecologia","language":"en","page":"267-276","source":"Springer Link","title":"Rapid development of phosphorus limitation in temperate rainforest along the Franz Josef soil chronosequence","volume":"139","author":[{"family":"Richardson","given":"Sarah J."},{"family":"Peltzer","given":"Duane A."},{"family":"Allen","given":"Robert B."},{"family":"McGlone","given":"Matt S."},{"family":"Parfitt","given":"Roger L."}],"issued":{"date-parts":[["2004",4,1]]},"citation-key":"richardson_2004"}}],"schema":"https://github.com/citation-style-language/schema/raw/master/csl-citation.json"} </w:instrText>
      </w:r>
      <w:r w:rsidRPr="009867C1">
        <w:rPr>
          <w:lang w:val="en-CA"/>
        </w:rPr>
        <w:fldChar w:fldCharType="separate"/>
      </w:r>
      <w:r w:rsidR="0042141C" w:rsidRPr="009867C1">
        <w:t>(Kranabetter et al., 2005; Richardson et al., 2004)</w:t>
      </w:r>
      <w:r w:rsidRPr="009867C1">
        <w:rPr>
          <w:lang w:val="en-CA"/>
        </w:rPr>
        <w:fldChar w:fldCharType="end"/>
      </w:r>
      <w:r w:rsidRPr="009867C1">
        <w:rPr>
          <w:lang w:val="en-CA"/>
        </w:rPr>
        <w:t xml:space="preserve">, calcium </w:t>
      </w:r>
      <w:r w:rsidRPr="009867C1">
        <w:rPr>
          <w:lang w:val="en-CA"/>
        </w:rPr>
        <w:fldChar w:fldCharType="begin"/>
      </w:r>
      <w:r w:rsidR="00AC0205">
        <w:rPr>
          <w:lang w:val="en-CA"/>
        </w:rPr>
        <w:instrText xml:space="preserve"> ADDIN ZOTERO_ITEM CSL_CITATION {"citationID":"cio0npqD","properties":{"formattedCitation":"(Perakis et al., 2013; Trant et al., 2016)","plainCitation":"(Perakis et al., 2013; Trant et al., 2016)","noteIndex":0},"citationItems":[{"id":1315,"uris":["http://zotero.org/users/2189142/items/E8B468M3"],"itemData":{"id":1315,"type":"article-journal","abstract":"High nitrogen (N) accumulation in terrestrial ecosystems can shift patterns of nutrient limitation and deficiency beyond N toward other nutrients, most notably phosphorus (P) and base cations (calcium [Ca], magnesium [Mg], and potassium [K]). We examined how naturally high N accumulation from a legacy of symbiotic N fixation shaped P and base cation cycling across a gradient of nine temperate conifer forests in the Oregon Coast Range. We were particularly interested in whether long-term legacies of symbiotic N fixation promoted coupled N and organic P accumulation in soils, and whether biotic demands by non-fixing vegetation could conserve ecosystem base cations as N accumulated. Total soil N (0–100 cm) pools increased nearly threefold across the N gradient, leading to increased nitrate leaching, declines in soil pH from 5.8 to 4.2, 10-fold declines in soil exchangeable Ca, Mg, and K, and increased mobilization of aluminum. These results suggest that long-term N enrichment had acidified soils and depleted much of the readily weatherable base cation pool. Soil organic P increased with both soil N and C across the gradient, but soil inorganic P, biomass P, and P leaching loss did not vary with N, implying that historic symbiotic N fixation promoted soil organic P accumulation and P sufficiency for non-fixers. Even though soil pools of Ca, Mg, and K all declined as soil N increased, only Ca declined in biomass pools, suggesting the emergence of Ca deficiency at high N. Biotic conservation and tight recycling of Ca increased in response to whole-ecosystem Ca depletion, as indicated by preferential accumulation of Ca in biomass and surface soil. Our findings support a hierarchical model of coupled N–Ca cycling under long-term soil N enrichment, whereby ecosystem-level N saturation and nitrate leaching deplete readily available soil Ca, stimulating biotic Ca conservation as overall supply diminishes. We conclude that a legacy of biological N fixation can increase N and P accumulation in soil organic matter to the point that neither nutrient is limiting to subsequent non-fixers, while also resulting in natural N saturation that intensifies base cation depletion and deficiency.","container-title":"Ecological Applications","DOI":"10.1890/12-2204.1","ISSN":"1939-5582","issue":"8","language":"en","page":"1947-1961","source":"Wiley Online Library","title":"Forest calcium depletion and biotic retention along a soil nitrogen gradient","volume":"23","author":[{"family":"Perakis","given":"Steven S."},{"family":"Sinkhorn","given":"Emily R."},{"family":"Catricala","given":"Christina E."},{"family":"Bullen","given":"Thomas D."},{"family":"Fitzpatrick","given":"John A."},{"family":"Hynicka","given":"Justin D."},{"family":"Cromack","given":"Kermit"}],"issued":{"date-parts":[["2013",12,1]]},"citation-key":"perakis_2013"}},{"id":346,"uris":["http://zotero.org/users/2189142/items/S76RND9H"],"itemData":{"id":346,"type":"article-journal","abstract":"Human occupation is usually associated with degraded landscapes but 13,000 years of repeated occupation by British Columbia’s coastal First Nations has had the opposite effect, enhancing temperate rainforest productivity. This is particularly the case over the last 6,000 years when intensified intertidal shellfish usage resulted in the accumulation of substantial shell middens. We show that soils at habitation sites are higher in calcium and phosphorous. Both of these are limiting factors in coastal temperate rainforests. Western redcedar (Thuja plicata) trees growing on the middens were found to be taller, have higher wood calcium, greater radial growth and exhibit less top die-back. Coastal British Columbia is the first known example of long-term intertidal resource use enhancing forest productivity and we expect this pattern to occur at archaeological sites along coastlines globally.","container-title":"Nature Communications","DOI":"10.1038/ncomms12491","journalAbbreviation":"Nat Commun","language":"en","page":"12491","source":"www.nature.com.ezproxy.library.ubc.ca","title":"Intertidal resource use over millennia enhances forest productivity","volume":"7","author":[{"family":"Trant","given":"Andrew J."},{"family":"Nijland","given":"Wiebe"},{"family":"Hoffman","given":"Kira M."},{"family":"Mathews","given":"Darcy L."},{"family":"McLaren","given":"Duncan"},{"family":"Nelson","given":"Trisalyn A."},{"family":"Starzomski","given":"Brian M."}],"issued":{"date-parts":[["2016",8,30]]},"citation-key":"trant_2016"}}],"schema":"https://github.com/citation-style-language/schema/raw/master/csl-citation.json"} </w:instrText>
      </w:r>
      <w:r w:rsidRPr="009867C1">
        <w:rPr>
          <w:lang w:val="en-CA"/>
        </w:rPr>
        <w:fldChar w:fldCharType="separate"/>
      </w:r>
      <w:r w:rsidR="0042141C" w:rsidRPr="009867C1">
        <w:t>(Perakis et al., 2013; Trant et al., 2016)</w:t>
      </w:r>
      <w:r w:rsidRPr="009867C1">
        <w:rPr>
          <w:lang w:val="en-CA"/>
        </w:rPr>
        <w:fldChar w:fldCharType="end"/>
      </w:r>
      <w:r w:rsidRPr="009867C1">
        <w:rPr>
          <w:lang w:val="en-CA"/>
        </w:rPr>
        <w:t xml:space="preserve">, and co-limitations of calcium with nitrogen </w:t>
      </w:r>
      <w:r w:rsidRPr="009867C1">
        <w:rPr>
          <w:lang w:val="en-CA"/>
        </w:rPr>
        <w:fldChar w:fldCharType="begin"/>
      </w:r>
      <w:r w:rsidR="00AC0205">
        <w:rPr>
          <w:lang w:val="en-CA"/>
        </w:rPr>
        <w:instrText xml:space="preserve"> ADDIN ZOTERO_ITEM CSL_CITATION {"citationID":"C3x4jXUj","properties":{"formattedCitation":"(Hynicka et al., 2016; Kranabetter et al., 2020; Perakis et al., 2006; Prescott et al., 2013)","plainCitation":"(Hynicka et al., 2016; Kranabetter et al., 2020; Perakis et al., 2006; Prescott et al., 2013)","noteIndex":0},"citationItems":[{"id":1697,"uris":["http://zotero.org/users/2189142/items/Q253DCJH"],"itemData":{"id":1697,"type":"article-journal","container-title":"Global change biology","issue":"12","page":"4067–4079","source":"Google Scholar","title":"Nitrogen enrichment regulates calcium sources in forests","volume":"22","author":[{"family":"Hynicka","given":"Justin D."},{"family":"Pett-Ridge","given":"Julie C."},{"family":"Perakis","given":"Steven S."}],"issued":{"date-parts":[["2016"]]},"citation-key":"hynicka_2016"}},{"id":1578,"uris":["http://zotero.org/users/2189142/items/X5ABVPGZ"],"itemData":{"id":1578,"type":"article-journal","title":"Contrasting conifer species productivity in relation to soil carbon, nitrogen and phosphorus stoichiometry of British Columbia perhumid rainforests","author":[{"family":"Kranabetter","given":"J M"},{"family":"Sholinder","given":"Ariana"},{"family":"deMontigny","given":"Louise"}],"issued":{"date-parts":[["2020"]]},"citation-key":"kranabetter_2020"}},{"id":1318,"uris":["http://zotero.org/users/2189142/items/3CDK9I3R"],"itemData":{"id":1318,"type":"article-journal","container-title":"Ecosystems","issue":"1","page":"63–74","source":"Google Scholar","title":"Coupled nitrogen and calcium cycles in forests of the Oregon Coast Range","volume":"9","author":[{"family":"Perakis","given":"Steven S."},{"family":"Maguire","given":"Douglas A."},{"family":"Bullen","given":"Thomas D."},{"family":"Cromack","given":"Kermit"},{"family":"Waring","given":"Richard H."},{"family":"Boyle","given":"James R."}],"issued":{"date-parts":[["2006"]]},"citation-key":"perakis_2006"}},{"id":200,"uris":["http://zotero.org/users/2189142/items/EFA5IAXT"],"itemData":{"id":200,"type":"article-journal","abstract":"Recent re-measurements of silvicultural trials in conifer plantations on nutrient-poor cedar-hemlock (CH) cutovers on northern Vancouver Island have confirmed co-limitation by nitrogen and phosphorus. Repeated fertilization increased volumes of both cedar and hemlock on CH sites (at 2,500 stems ha−1) by about 100 m3 ha−1 relative to unfertilized plots 22 years following initial fertilization, and increased the productivity of regenerating conifers to a level approximating that of neighbouring hemlock-amabilis fir (HA) sites. More surprising was the response to fertilization on the more-productive HA sites. After 22 years, cedar in fertilized HA plots had produced an extra 180 m3 ha−1 compared to unfertilized HA plots, while hemlock had produced an extra 250 m3 ha−1 in fertilized plots (at 2,500 stems ha−1). Thus, contrary to expectations, the greatest volume responses of both hemlock and cedar to fertilization occurred on the good (HA) sites rather than on the poor (CH) sites. Ecological studies of CH and HA sites supported the hypothesis that the poor nutrient supply and productivity of CH sites is a long-term consequence of excessive moisture, and that the two site types bracket a critical ecological threshold of moisture, aeration and redox.","container-title":"New Forests","DOI":"10.1007/s11056-013-9380-x","ISSN":"0169-4286, 1573-5095","issue":"5","journalAbbreviation":"New Forests","language":"en","page":"769-784","source":"link.springer.com.ezproxy.library.ubc.ca","title":"Nutrition management of cedar and hemlock plantations in coastal British Columbia","volume":"44","author":[{"family":"Prescott","given":"Cindy"},{"family":"Nery","given":"Victor"},{"family":"Niejenhuis","given":"Annette","dropping-particle":"van"},{"family":"Sajedi","given":"Toktam"},{"family":"Marshall","given":"Peter"}],"issued":{"date-parts":[["2013",8,6]]},"citation-key":"prescott_2013"}}],"schema":"https://github.com/citation-style-language/schema/raw/master/csl-citation.json"} </w:instrText>
      </w:r>
      <w:r w:rsidRPr="009867C1">
        <w:rPr>
          <w:lang w:val="en-CA"/>
        </w:rPr>
        <w:fldChar w:fldCharType="separate"/>
      </w:r>
      <w:r w:rsidR="0042141C" w:rsidRPr="009867C1">
        <w:t>(Hynicka et al., 2016; Kranabetter et al., 2020; Perakis et al., 2006; Prescott et al., 2013)</w:t>
      </w:r>
      <w:r w:rsidRPr="009867C1">
        <w:rPr>
          <w:lang w:val="en-CA"/>
        </w:rPr>
        <w:fldChar w:fldCharType="end"/>
      </w:r>
      <w:r w:rsidRPr="009867C1">
        <w:rPr>
          <w:lang w:val="en-CA"/>
        </w:rPr>
        <w:t xml:space="preserve">, and phosphorus with nitrogen </w:t>
      </w:r>
      <w:r w:rsidRPr="009867C1">
        <w:rPr>
          <w:lang w:val="en-CA"/>
        </w:rPr>
        <w:fldChar w:fldCharType="begin"/>
      </w:r>
      <w:r w:rsidR="00AC0205">
        <w:rPr>
          <w:lang w:val="en-CA"/>
        </w:rPr>
        <w:instrText xml:space="preserve"> ADDIN ZOTERO_ITEM CSL_CITATION {"citationID":"N9l6naq6","properties":{"formattedCitation":"(Blevins et al., 2006a)","plainCitation":"(Blevins et al., 2006a)","noteIndex":0},"citationItems":[{"id":"Mdw2eqP8/qvaHnA4a","uris":["http://zotero.org/users/2189142/items/SZXN7GTZ"],"itemData":{"id":5569,"type":"article-journal","abstract":"Early evidence from a suite of fertilization trials on northern Vancouver Island indicated that conifers growing on cedar-hemlock (CH) cutovers were severely deficient in nutrients, particularly N and P, and that fertilization might induce a sustained improvement in tree growth on these sites. Here we report the long-term (15-year) effects of two fertilization experiments which allowed us to distinguish the influences of N and P additions on productivity of western hemlock (Tsuga heterophylla Raf. Sarge) and western redcedar (Thuja plicata Donn.) regenerating on CH sites. Plots of each species were fertilized with N alone, P alone, or N and P combined. Nitrogen was added twice at rates of 0–400kg/ha, P was added at 0 or 100kg/ha, and subplots received a second fertilization 10 years after the first. Hemlock responded to the first application of N, and growth was greatest where both N and P were applied. Ten years after the first fertilization, hemlock volume in plots receiving the highest rate of N and P was 10-times that in untreated plots. The second N application increased hemlock growth only in plots that had received P. Fifteen years after the first fertilization, height response of dominant hemlocks was still increasing in plots fertilized with both N and P but was declining in plots fertilized with N alone. In contrast to hemlock, western redcedar stand volume more than doubled 15 years after N fertilization, but there was no additional effect of P fertilization. The long-term growth responses measured in these field experiments support earlier indications that P is an important limiting factor for productivity of conifers, particularly hemlock, on these sites.","container-title":"Forest Ecology and Management","DOI":"10.1016/j.foreco.2006.06.029","ISSN":"0378-1127","issue":"1","journalAbbreviation":"Forest Ecology and Management","language":"en","page":"116-122","source":"ScienceDirect","title":"The roles of nitrogen and phosphorus in increasing productivity of western hemlock and western redcedar plantations on northern Vancouver Island","volume":"234","author":[{"family":"Blevins","given":"Leandra L."},{"family":"Prescott","given":"Cindy E."},{"family":"Van Niejenhuis","given":"Annette"}],"issued":{"date-parts":[["2006",10,1]]}}}],"schema":"https://github.com/citation-style-language/schema/raw/master/csl-citation.json"} </w:instrText>
      </w:r>
      <w:r w:rsidRPr="009867C1">
        <w:rPr>
          <w:lang w:val="en-CA"/>
        </w:rPr>
        <w:fldChar w:fldCharType="separate"/>
      </w:r>
      <w:r w:rsidR="0042141C" w:rsidRPr="009867C1">
        <w:t>(Blevins et al., 2006a)</w:t>
      </w:r>
      <w:r w:rsidRPr="009867C1">
        <w:rPr>
          <w:lang w:val="en-CA"/>
        </w:rPr>
        <w:fldChar w:fldCharType="end"/>
      </w:r>
      <w:r w:rsidRPr="009867C1">
        <w:rPr>
          <w:lang w:val="en-CA"/>
        </w:rPr>
        <w:t>, have also been implicated in limiting productivity in these forests. Assessments</w:t>
      </w:r>
      <w:r w:rsidRPr="009867C1">
        <w:t xml:space="preserve"> of </w:t>
      </w:r>
      <w:r w:rsidRPr="009867C1">
        <w:rPr>
          <w:lang w:val="en-CA"/>
        </w:rPr>
        <w:t xml:space="preserve">soil fertility should treat soil as a complex system </w:t>
      </w:r>
      <w:r w:rsidRPr="009867C1">
        <w:rPr>
          <w:lang w:val="en-CA"/>
        </w:rPr>
        <w:fldChar w:fldCharType="begin"/>
      </w:r>
      <w:r w:rsidR="00AC0205">
        <w:rPr>
          <w:lang w:val="en-CA"/>
        </w:rPr>
        <w:instrText xml:space="preserve"> ADDIN ZOTERO_ITEM CSL_CITATION {"citationID":"6C4PGUKx","properties":{"formattedCitation":"(Nicolodi &amp; Gianello, 2014)","plainCitation":"(Nicolodi &amp; Gianello, 2014)","noteIndex":0},"citationItems":[{"id":168,"uris":["http://zotero.org/users/2189142/items/QBBBLVGU"],"itemData":{"id":168,"type":"webpage","abstract":"The application of the principles of thermodynamics and General Systems Theory is responsible for important progress in the study of soil and its fertility, and this application can even improve our understanding of the processes that govern the functioning of soil and determine the magnitude of soil fertility. Consequently, we can improve the evaluation and practices recommended for preserving or improving the soil and its fertility, contributing to sustainable food production. Recalling how the concept and human perception of soil have evolved is fundamental to improve our understanding. Thus, this article aims to encourage people to reflect on the application of the principles of thermodynamics of non-equilibrium and General Systems Theory in studying the soil and its fertility and to participate in constructing a new notion of soil fertility, able to express what is perceived by plants. Several authors in the last century have considered the soil to be an open system; however, this approach is a recent in Brazil. Fertility can be coherently understood as one of the emergent properties of the soil system by applying the principles of thermodynamics of non-equilibrium and General Systems Theory to the study of soil.","container-title":"Sustainable Agriculture Research","language":"en","note":"issue: 1\nsource: ageconsearch.umn.edu\nnumber: 526-2016-37873\nvolume: 4\nDOI: 10.22004/ag.econ.230408","title":"Understanding Soil as an Open System and Fertility as an Emergent Property of the Soil System","URL":"https://ageconsearch.umn.edu/record/230408","author":[{"family":"Nicolodi","given":"Margarete"},{"family":"Gianello","given":"Clesio"}],"accessed":{"date-parts":[["2020",5,21]]},"issued":{"date-parts":[["2014"]]},"citation-key":"nicolodi_2014"}}],"schema":"https://github.com/citation-style-language/schema/raw/master/csl-citation.json"} </w:instrText>
      </w:r>
      <w:r w:rsidRPr="009867C1">
        <w:rPr>
          <w:lang w:val="en-CA"/>
        </w:rPr>
        <w:fldChar w:fldCharType="separate"/>
      </w:r>
      <w:r w:rsidR="0042141C" w:rsidRPr="009867C1">
        <w:t>(Nicolodi &amp; Gianello, 2014)</w:t>
      </w:r>
      <w:r w:rsidRPr="009867C1">
        <w:rPr>
          <w:lang w:val="en-CA"/>
        </w:rPr>
        <w:fldChar w:fldCharType="end"/>
      </w:r>
      <w:r w:rsidRPr="009867C1">
        <w:rPr>
          <w:lang w:val="en-CA"/>
        </w:rPr>
        <w:t>, and consider a suite of soil nutrients and physical characteristics that support plant growth. Soil fertility is generally associated</w:t>
      </w:r>
      <w:r w:rsidR="00A459C6">
        <w:rPr>
          <w:lang w:val="en-CA"/>
        </w:rPr>
        <w:t xml:space="preserve"> with</w:t>
      </w:r>
      <w:r w:rsidRPr="009867C1">
        <w:rPr>
          <w:lang w:val="en-CA"/>
        </w:rPr>
        <w:t xml:space="preserve"> high nitrogen, phosphorous, and exchangeable </w:t>
      </w:r>
      <w:r w:rsidRPr="009867C1">
        <w:t>cation concentrations (primarily Ca</w:t>
      </w:r>
      <w:r w:rsidRPr="009867C1">
        <w:rPr>
          <w:vertAlign w:val="superscript"/>
        </w:rPr>
        <w:t>2+</w:t>
      </w:r>
      <w:r w:rsidRPr="009867C1">
        <w:t>, K</w:t>
      </w:r>
      <w:r w:rsidRPr="009867C1">
        <w:rPr>
          <w:vertAlign w:val="superscript"/>
        </w:rPr>
        <w:t>+</w:t>
      </w:r>
      <w:r w:rsidRPr="009867C1">
        <w:t>, and Mg</w:t>
      </w:r>
      <w:r w:rsidRPr="009867C1">
        <w:rPr>
          <w:vertAlign w:val="superscript"/>
        </w:rPr>
        <w:t>+</w:t>
      </w:r>
      <w:r w:rsidRPr="009867C1">
        <w:t xml:space="preserve">); moderate pH; high soil organic matter; and low iron and aluminum concentrations </w:t>
      </w:r>
      <w:r w:rsidRPr="009867C1">
        <w:fldChar w:fldCharType="begin"/>
      </w:r>
      <w:r w:rsidR="00AC0205">
        <w:instrText xml:space="preserve"> ADDIN ZOTERO_ITEM CSL_CITATION {"citationID":"roC9dt8H","properties":{"formattedCitation":"(Dick &amp; Culman, 2017)","plainCitation":"(Dick &amp; Culman, 2017)","noteIndex":0},"citationItems":[{"id":166,"uris":["http://zotero.org/users/2189142/items/69F9WC84"],"itemData":{"id":166,"type":"chapter","abstract":"Assessing soil fertility has, as one of its primary goals, the ability to predict nutrient availability and uptake by a growing crop. It must be understood that there is not always a direct relationship between the soil's fertility level and the response of the crop to that fertility. This is because soil fertility must take into account the many factors of soil chemistry, physics, and biology and how these factors interact with each other and with the weather that occurs during crop growth. Crops are biological systems and soil fertility tests, based upon the soil's biology along with its biological components, provide a link between the soil's potential to supply nutrients and the crops demand for those nutrients. If properly matched, the use efficiency of supplemental nutrients can be increased. This review provides a current assessment of some of the biological and biochemical tests that are being developed and tested to assess soil fertility. Some of these tests are quite well developed and others are more speculative. In all cases, however, the focus is on letting the biology, along with its biochemical components, report to us the amount of nutrients released and the rate of that release to the growing crop.","container-title":"Soil Fertility Management in Agroecosystems","ISBN":"978-0-89118-354-9","language":"en","note":"_eprint: https://acsess.onlinelibrary.wiley.com/doi/pdf/10.2134/soilfertility.2014.0007\nDOI: 10.2134/soilfertility.2014.0007","page":"134-147","publisher":"John Wiley &amp; Sons, Ltd","source":"Wiley Online Library","title":"Biological and Biochemical Tests for Assessing Soil Fertility","URL":"https://acsess.onlinelibrary.wiley.com/doi/abs/10.2134/soilfertility.2014.0007","author":[{"family":"Dick","given":"Warren A."},{"family":"Culman","given":"Steven W."}],"accessed":{"date-parts":[["2020",5,21]]},"issued":{"date-parts":[["2017"]]},"citation-key":"dick_2017"}}],"schema":"https://github.com/citation-style-language/schema/raw/master/csl-citation.json"} </w:instrText>
      </w:r>
      <w:r w:rsidRPr="009867C1">
        <w:fldChar w:fldCharType="separate"/>
      </w:r>
      <w:r w:rsidR="0042141C" w:rsidRPr="009867C1">
        <w:t>(Dick &amp; Culman, 2017)</w:t>
      </w:r>
      <w:r w:rsidRPr="009867C1">
        <w:fldChar w:fldCharType="end"/>
      </w:r>
      <w:r w:rsidRPr="009867C1">
        <w:t xml:space="preserve">. A compound measure suggested to correlate with stress in forest ecosystems is the calcium : aluminum ratio </w:t>
      </w:r>
      <w:r w:rsidRPr="009867C1">
        <w:fldChar w:fldCharType="begin"/>
      </w:r>
      <w:r w:rsidR="00AC0205">
        <w:instrText xml:space="preserve"> ADDIN ZOTERO_ITEM CSL_CITATION {"citationID":"1LderNud","properties":{"formattedCitation":"(Cronan &amp; Grigal, 1995)","plainCitation":"(Cronan &amp; Grigal, 1995)","noteIndex":0},"citationItems":[{"id":1730,"uris":["http://zotero.org/users/2189142/items/4YEEJDMC"],"itemData":{"id":1730,"type":"article-journal","container-title":"Journal of Environmental Quality","DOI":"10.2134/jeq1995.00472425002400020002x","ISSN":"0047-2425","issue":"2","language":"en","page":"209-226","source":"dl-sciencesocieties-org.ezproxy.library.ubc.ca","title":"Use of Calcium/Aluminum Ratios as Indicators of Stress in Forest Ecosystems","volume":"24","author":[{"family":"Cronan","given":"Christopher S."},{"family":"Grigal","given":"David F."}],"issued":{"date-parts":[["1995"]],"season":"4/01"},"citation-key":"cronan_1995"}}],"schema":"https://github.com/citation-style-language/schema/raw/master/csl-citation.json"} </w:instrText>
      </w:r>
      <w:r w:rsidRPr="009867C1">
        <w:fldChar w:fldCharType="separate"/>
      </w:r>
      <w:r w:rsidR="0042141C" w:rsidRPr="009867C1">
        <w:t>(Cronan &amp; Grigal, 1995)</w:t>
      </w:r>
      <w:r w:rsidRPr="009867C1">
        <w:fldChar w:fldCharType="end"/>
      </w:r>
      <w:r w:rsidRPr="009867C1">
        <w:t xml:space="preserve">, and this measure may be relevant in reference to these soils. In addition, higher soil fertility can also be indicated by shifts in plant, soil bacterial, and mycorrhizal fungal communities </w:t>
      </w:r>
      <w:r w:rsidRPr="009867C1">
        <w:fldChar w:fldCharType="begin"/>
      </w:r>
      <w:r w:rsidR="00AC0205">
        <w:instrText xml:space="preserve"> ADDIN ZOTERO_ITEM CSL_CITATION {"citationID":"rNshbwJZ","properties":{"formattedCitation":"(Ceska &amp; Scagel, 2011)","plainCitation":"(Ceska &amp; Scagel, 2011)","noteIndex":0},"citationItems":[{"id":"Mdw2eqP8/RGkYOnDD","uris":["http://zotero.org/users/2189142/items/U4U3J9I3"],"itemData":{"id":6137,"type":"book","abstract":"This original work makes unprecedented use of some of the most important research to date in plant ecology. It is a guide for assessing site quality, that is, the climate and soil of particular forest and non-forest ecosystems. Foresters have long been interested in using plants as indicators in predicting the growth performance of reforestation sites, but the data have not been readily available. Indicator Plants of Coastal British Columbia fully discusses how indicator plants are recognized and demonstrates how indicator plants can be used in site diagnosis. The book presents colour illustrations and descriptions of 419 selected vascular plants, bryophytes and lichens of coastal British Columbia. Indicators with similar values are grouped into indicator species groups which are used to evaluate site quality. These data are supplemented by information on geographic distribution, life-form, shade tolerance, and other ecological characteristics of the species. Three methods are given on how to use indicator plants for the purpose of site diagnosis. Indicator Plants of Coastal British Columbia summarizes original research in a format which both students and practitioners will find easy to use.","ISBN":"978-0-7748-4474-1","language":"en","note":"Google-Books-ID: HDk1lcgE5IEC","number-of-pages":"300","publisher":"UBC Press","source":"Google Books","title":"Indicator Plants of Coastal British Columbia","author":[{"family":"Ceska","given":"A."},{"family":"Scagel","given":"A. M."}],"issued":{"date-parts":[["2011",11,1]]}}}],"schema":"https://github.com/citation-style-language/schema/raw/master/csl-citation.json"} </w:instrText>
      </w:r>
      <w:r w:rsidRPr="009867C1">
        <w:fldChar w:fldCharType="separate"/>
      </w:r>
      <w:r w:rsidR="0042141C" w:rsidRPr="009867C1">
        <w:t>(Ceska &amp; Scagel, 2011)</w:t>
      </w:r>
      <w:r w:rsidRPr="009867C1">
        <w:fldChar w:fldCharType="end"/>
      </w:r>
      <w:r w:rsidRPr="009867C1">
        <w:t xml:space="preserve">; and especially a shift from fungal-dominated to bacterial-dominated soils </w:t>
      </w:r>
      <w:r w:rsidRPr="009867C1">
        <w:rPr>
          <w:lang w:val="en-CA"/>
        </w:rPr>
        <w:fldChar w:fldCharType="begin"/>
      </w:r>
      <w:r w:rsidR="00AC0205">
        <w:rPr>
          <w:lang w:val="en-CA"/>
        </w:rPr>
        <w:instrText xml:space="preserve"> ADDIN ZOTERO_ITEM CSL_CITATION {"citationID":"rJHq4F3J","properties":{"formattedCitation":"(Phillips et al., 2013; Wallenstein et al., 2006)","plainCitation":"(Phillips et al., 2013; Wallenstein et al., 2006)","noteIndex":0},"citationItems":[{"id":455,"uris":["http://zotero.org/users/2189142/items/C3UM2DB7"],"itemData":{"id":455,"type":"article-journal","container-title":"New Phytologist","DOI":"10.1111/nph.12221","ISSN":"0028646X","issue":"1","language":"en","page":"41-51","source":"CrossRef","title":"The mycorrhizal-associated nutrient economy: a new framework for predicting carbon-nutrient couplings in temperate forests","title-short":"The mycorrhizal-associated nutrient economy","volume":"199","author":[{"family":"Phillips","given":"Richard P."},{"family":"Brzostek","given":"Edward"},{"family":"Midgley","given":"Meghan G."}],"issued":{"date-parts":[["2013",7]]},"citation-key":"phillips_2013a"}},{"id":410,"uris":["http://zotero.org/users/2189142/items/93X49JFU"],"itemData":{"id":410,"type":"article-journal","abstract":"We examined the effects of N fertilization on forest soil fungal and bacterial biomass at three long-term experiments in New England (Harvard Forest, MA; Mt. Ascutney, VT; Bear Brook, ME). At Harvard Forest, chronic N fertilization has decreased organic soil microbial biomass C (MBC) by an average of 54% and substrate induced respiration (SIR) was decreased by an average of 45% in hardwood stands. In the pine stand, organic soil MBC was decreased by 40% and SIR decreased by an average of 35%. The fungal:bacterial activity ratio was also decreased in the hardwood stands from an average of 1.5 in the control plot to 1.0 in the High-N plot, and in the pine stands from 1.9 in control plot to 1.0 in the High-N stand. At Mt. Ascutney, MBC was reduced by an average of 59% and SIR by 52% in the High N plots relative to the unfertilized plots, and the fungal:bacterial activity ratio was only slightly decreased. The Bear Brook watershed is in an earlier stage of N saturation (Stage 0–1) and did not exhibit significant fertilization effects on microbial biomass. Across all three sites, MBC and SIR had negative relationships with total N inputs in both mineral soils and organic soils, though the effect was much stronger in organic soils. Both MBC and SIR were positively correlated with dissolved organic C, total soil C, and bulk soil C:N ratios. These results are consistent with the N saturation hypothesis, but do not indicate a strong role for microbial N immobilization in preventing N loss.","container-title":"Forest Ecology and Management","DOI":"10.1016/j.foreco.2005.11.002","ISSN":"0378-1127","issue":"1–3","journalAbbreviation":"Forest Ecology and Management","page":"459-468","source":"ScienceDirect","title":"Nitrogen fertilization decreases forest soil fungal and bacterial biomass in three long-term experiments","volume":"222","author":[{"family":"Wallenstein","given":"Matthew D."},{"family":"McNulty","given":"Steven"},{"family":"Fernandez","given":"Ivan J."},{"family":"Boggs","given":"Johnny"},{"family":"Schlesinger","given":"William H."}],"issued":{"date-parts":[["2006",2,15]]},"citation-key":"wallenstein_2006a"}}],"schema":"https://github.com/citation-style-language/schema/raw/master/csl-citation.json"} </w:instrText>
      </w:r>
      <w:r w:rsidRPr="009867C1">
        <w:rPr>
          <w:lang w:val="en-CA"/>
        </w:rPr>
        <w:fldChar w:fldCharType="separate"/>
      </w:r>
      <w:r w:rsidR="0042141C" w:rsidRPr="009867C1">
        <w:t>(Phillips et al., 2013; Wallenstein et al., 2006)</w:t>
      </w:r>
      <w:r w:rsidRPr="009867C1">
        <w:rPr>
          <w:lang w:val="en-CA"/>
        </w:rPr>
        <w:fldChar w:fldCharType="end"/>
      </w:r>
      <w:r w:rsidRPr="009867C1">
        <w:t>.</w:t>
      </w:r>
      <w:r w:rsidRPr="009867C1">
        <w:rPr>
          <w:lang w:val="en-CA"/>
        </w:rPr>
        <w:t xml:space="preserve"> Thus, the effects of MDN on soil fertility ought to be evaluated through an integrative measurement of chemical and biological characteristics along salmon gradients.</w:t>
      </w:r>
    </w:p>
    <w:p w14:paraId="7FCCBF4C" w14:textId="0D10CB61" w:rsidR="00223F7A" w:rsidRPr="009867C1" w:rsidRDefault="00223F7A" w:rsidP="00223F7A">
      <w:pPr>
        <w:ind w:firstLine="720"/>
        <w:rPr>
          <w:lang w:val="en-CA"/>
        </w:rPr>
      </w:pPr>
      <w:r w:rsidRPr="009867C1">
        <w:rPr>
          <w:lang w:val="en-CA"/>
        </w:rPr>
        <w:t xml:space="preserve">The goal of this study was to examine the effects of salmon density on forest soil chemistry in migratory salmon rivers of the Central Coast of British Columbia, Canada. </w:t>
      </w:r>
      <w:r w:rsidR="00552946">
        <w:rPr>
          <w:lang w:val="en-CA"/>
        </w:rPr>
        <w:t>My</w:t>
      </w:r>
      <w:r w:rsidRPr="009867C1">
        <w:rPr>
          <w:lang w:val="en-CA"/>
        </w:rPr>
        <w:t xml:space="preserve"> broad objectives were to: 1) assess whether salmon inputs are important drivers of soil chemical properties; 2) evaluate the degree to which </w:t>
      </w:r>
      <w:r w:rsidR="007C5083">
        <w:rPr>
          <w:lang w:val="en-CA"/>
        </w:rPr>
        <w:t>salmon inputs</w:t>
      </w:r>
      <w:r w:rsidRPr="009867C1">
        <w:rPr>
          <w:lang w:val="en-CA"/>
        </w:rPr>
        <w:t xml:space="preserve"> affect soil fertility, and 3) establish baselines of soil chemical properties for riparian salmon forests in the </w:t>
      </w:r>
      <w:r w:rsidR="00552946">
        <w:rPr>
          <w:lang w:val="en-CA"/>
        </w:rPr>
        <w:t>BC Central Coast</w:t>
      </w:r>
      <w:r w:rsidRPr="009867C1">
        <w:rPr>
          <w:lang w:val="en-CA"/>
        </w:rPr>
        <w:t xml:space="preserve"> region and compare these with other forests in the PNW. To do this, </w:t>
      </w:r>
      <w:r w:rsidR="007C5083">
        <w:rPr>
          <w:lang w:val="en-CA"/>
        </w:rPr>
        <w:t>I</w:t>
      </w:r>
      <w:r w:rsidRPr="009867C1">
        <w:rPr>
          <w:lang w:val="en-CA"/>
        </w:rPr>
        <w:t xml:space="preserve"> measured 22 soil chemical properties at two soil depths (forest floor and organic soil) in 23 well-studied watersheds that represent a gradient of salmon density </w:t>
      </w:r>
      <w:r w:rsidRPr="009867C1">
        <w:rPr>
          <w:lang w:val="en-CA"/>
        </w:rPr>
        <w:fldChar w:fldCharType="begin"/>
      </w:r>
      <w:r w:rsidR="00AC0205">
        <w:rPr>
          <w:lang w:val="en-CA"/>
        </w:rPr>
        <w:instrText xml:space="preserve"> ADDIN ZOTERO_ITEM CSL_CITATION {"citationID":"WSYLzqfg","properties":{"formattedCitation":"(Hocking &amp; Reynolds, 2011)","plainCitation":"(Hocking &amp; Reynolds, 2011)","noteIndex":0},"citationItems":[{"id":550,"uris":["http://zotero.org/users/2189142/items/JR362H46"],"itemData":{"id":550,"type":"article-journal","abstract":"The study of natural gradients in nutrient subsidies between ecosystems allows for predictions of how changes in one system can affect biodiversity in another. We performed a large-scale empirical test of the role of Pacific salmon (Oncorhynchus spp.) in structuring riparian plant communities. A comparison of 50 watersheds in the remote Great Bear Rainforest of British Columbia’s central coast in Canada shows that salmon influence nutrient loading to plants, shifting plant communities toward nutrient-rich species, which in turn decreases plant diversity. These effects are mediated by interactions between salmon density and the physical characteristics of watersheds. Predicting how salmon affect terrestrial ecosystems is central to conservation plans that aim to better integrate ecosystem values into resource management.","container-title":"Science","DOI":"10.1126/science.1201079","ISSN":"0036-8075, 1095-9203","issue":"6024","journalAbbreviation":"Science","language":"en","note":"PMID: 21442794","page":"1609-1612","source":"www.sciencemag.org.ezproxy.library.ubc.ca","title":"Impacts of Salmon on Riparian Plant Diversity","volume":"331","author":[{"family":"Hocking","given":"Morgan D."},{"family":"Reynolds","given":"John D."}],"issued":{"date-parts":[["2011",3,25]]},"citation-key":"hocking_2011"}}],"schema":"https://github.com/citation-style-language/schema/raw/master/csl-citation.json"} </w:instrText>
      </w:r>
      <w:r w:rsidRPr="009867C1">
        <w:rPr>
          <w:lang w:val="en-CA"/>
        </w:rPr>
        <w:fldChar w:fldCharType="separate"/>
      </w:r>
      <w:r w:rsidR="0042141C" w:rsidRPr="009867C1">
        <w:t>(Hocking &amp; Reynolds, 2011)</w:t>
      </w:r>
      <w:r w:rsidRPr="009867C1">
        <w:rPr>
          <w:lang w:val="en-CA"/>
        </w:rPr>
        <w:fldChar w:fldCharType="end"/>
      </w:r>
      <w:r w:rsidRPr="009867C1">
        <w:rPr>
          <w:lang w:val="en-CA"/>
        </w:rPr>
        <w:t xml:space="preserve">. In four of these watersheds, </w:t>
      </w:r>
      <w:r w:rsidR="0039184C">
        <w:rPr>
          <w:lang w:val="en-CA"/>
        </w:rPr>
        <w:t>I</w:t>
      </w:r>
      <w:r w:rsidRPr="009867C1">
        <w:rPr>
          <w:lang w:val="en-CA"/>
        </w:rPr>
        <w:t xml:space="preserve"> compared soil properties below and above waterfalls that block salmon migration, representing a sharp discontinuity in MDN addition. </w:t>
      </w:r>
      <w:r w:rsidR="0039184C">
        <w:rPr>
          <w:lang w:val="en-CA"/>
        </w:rPr>
        <w:t>I</w:t>
      </w:r>
      <w:r w:rsidRPr="009867C1">
        <w:rPr>
          <w:lang w:val="en-CA"/>
        </w:rPr>
        <w:t xml:space="preserve"> predicted that 1.) soil fertility would increase along the regional salmon density gradient; and 2.) soil fertility would be higher below than above falls. In evaluating this, </w:t>
      </w:r>
      <w:r w:rsidR="0039184C">
        <w:rPr>
          <w:lang w:val="en-CA"/>
        </w:rPr>
        <w:t>I</w:t>
      </w:r>
      <w:r w:rsidRPr="009867C1">
        <w:rPr>
          <w:lang w:val="en-CA"/>
        </w:rPr>
        <w:t xml:space="preserve"> </w:t>
      </w:r>
      <w:r w:rsidR="0039184C">
        <w:rPr>
          <w:lang w:val="en-CA"/>
        </w:rPr>
        <w:t>assume that</w:t>
      </w:r>
      <w:r w:rsidRPr="009867C1">
        <w:rPr>
          <w:lang w:val="en-CA"/>
        </w:rPr>
        <w:t xml:space="preserve"> </w:t>
      </w:r>
      <w:r w:rsidR="0039184C">
        <w:rPr>
          <w:lang w:val="en-CA"/>
        </w:rPr>
        <w:t>salmon associated</w:t>
      </w:r>
      <w:r w:rsidRPr="009867C1">
        <w:rPr>
          <w:lang w:val="en-CA"/>
        </w:rPr>
        <w:t xml:space="preserve"> soil fertility </w:t>
      </w:r>
      <w:r w:rsidR="0039184C">
        <w:rPr>
          <w:lang w:val="en-CA"/>
        </w:rPr>
        <w:t>is</w:t>
      </w:r>
      <w:r w:rsidRPr="009867C1">
        <w:rPr>
          <w:lang w:val="en-CA"/>
        </w:rPr>
        <w:t xml:space="preserve"> </w:t>
      </w:r>
      <w:r w:rsidR="0039184C">
        <w:rPr>
          <w:lang w:val="en-CA"/>
        </w:rPr>
        <w:t>correlated</w:t>
      </w:r>
      <w:r w:rsidRPr="009867C1">
        <w:rPr>
          <w:lang w:val="en-CA"/>
        </w:rPr>
        <w:t xml:space="preserve"> with higher soil nitrogen concentrations (total N, NH</w:t>
      </w:r>
      <w:r w:rsidRPr="009867C1">
        <w:rPr>
          <w:vertAlign w:val="subscript"/>
          <w:lang w:val="en-CA"/>
        </w:rPr>
        <w:t>4</w:t>
      </w:r>
      <w:r w:rsidRPr="009867C1">
        <w:rPr>
          <w:vertAlign w:val="superscript"/>
          <w:lang w:val="en-CA"/>
        </w:rPr>
        <w:t>+</w:t>
      </w:r>
      <w:r w:rsidRPr="009867C1">
        <w:rPr>
          <w:lang w:val="en-CA"/>
        </w:rPr>
        <w:t>, NO</w:t>
      </w:r>
      <w:r w:rsidRPr="009867C1">
        <w:rPr>
          <w:vertAlign w:val="subscript"/>
          <w:lang w:val="en-CA"/>
        </w:rPr>
        <w:t>3</w:t>
      </w:r>
      <w:r w:rsidRPr="009867C1">
        <w:rPr>
          <w:vertAlign w:val="superscript"/>
          <w:lang w:val="en-CA"/>
        </w:rPr>
        <w:t>-</w:t>
      </w:r>
      <w:r w:rsidRPr="009867C1">
        <w:rPr>
          <w:lang w:val="en-CA"/>
        </w:rPr>
        <w:t>); higher exchangeable phosphorus (P) concentrations; higher exchangeable cation concentrations (K</w:t>
      </w:r>
      <w:r w:rsidRPr="009867C1">
        <w:rPr>
          <w:vertAlign w:val="superscript"/>
          <w:lang w:val="en-CA"/>
        </w:rPr>
        <w:t>+</w:t>
      </w:r>
      <w:r w:rsidRPr="009867C1">
        <w:rPr>
          <w:lang w:val="en-CA"/>
        </w:rPr>
        <w:t>, Mg</w:t>
      </w:r>
      <w:r w:rsidRPr="009867C1">
        <w:rPr>
          <w:vertAlign w:val="superscript"/>
          <w:lang w:val="en-CA"/>
        </w:rPr>
        <w:t>2+</w:t>
      </w:r>
      <w:r w:rsidRPr="009867C1">
        <w:rPr>
          <w:lang w:val="en-CA"/>
        </w:rPr>
        <w:t>, Na</w:t>
      </w:r>
      <w:r w:rsidRPr="009867C1">
        <w:rPr>
          <w:vertAlign w:val="superscript"/>
          <w:lang w:val="en-CA"/>
        </w:rPr>
        <w:t>+</w:t>
      </w:r>
      <w:r w:rsidRPr="009867C1">
        <w:rPr>
          <w:lang w:val="en-CA"/>
        </w:rPr>
        <w:t>, CEC), with particular importance attached to calcium (Ca</w:t>
      </w:r>
      <w:r w:rsidRPr="009867C1">
        <w:rPr>
          <w:vertAlign w:val="superscript"/>
          <w:lang w:val="en-CA"/>
        </w:rPr>
        <w:t>2+</w:t>
      </w:r>
      <w:r w:rsidRPr="009867C1">
        <w:rPr>
          <w:lang w:val="en-CA"/>
        </w:rPr>
        <w:t>); lower exchangeable metal concentrations, especially aluminum (Al</w:t>
      </w:r>
      <w:r w:rsidRPr="009867C1">
        <w:rPr>
          <w:vertAlign w:val="superscript"/>
          <w:lang w:val="en-CA"/>
        </w:rPr>
        <w:t>3+</w:t>
      </w:r>
      <w:r w:rsidRPr="009867C1">
        <w:rPr>
          <w:lang w:val="en-CA"/>
        </w:rPr>
        <w:t>) and iron (Fe); higher soil carbon; higher sulfur (total S and exchangeable S) concentrations, higher pH, and higher Ca : Al ratios</w:t>
      </w:r>
      <w:r w:rsidR="0039184C">
        <w:rPr>
          <w:lang w:val="en-CA"/>
        </w:rPr>
        <w:t xml:space="preserve"> </w:t>
      </w:r>
      <w:r w:rsidR="0039184C" w:rsidRPr="009867C1">
        <w:rPr>
          <w:lang w:val="en-CA"/>
        </w:rPr>
        <w:t>(</w:t>
      </w:r>
      <w:r w:rsidR="0039184C" w:rsidRPr="009867C1">
        <w:rPr>
          <w:lang w:val="en-CA"/>
        </w:rPr>
        <w:fldChar w:fldCharType="begin"/>
      </w:r>
      <w:r w:rsidR="0039184C" w:rsidRPr="009867C1">
        <w:rPr>
          <w:lang w:val="en-CA"/>
        </w:rPr>
        <w:instrText xml:space="preserve"> REF _Ref73022722 \h </w:instrText>
      </w:r>
      <w:r w:rsidR="0039184C">
        <w:rPr>
          <w:lang w:val="en-CA"/>
        </w:rPr>
        <w:instrText xml:space="preserve"> \* MERGEFORMAT </w:instrText>
      </w:r>
      <w:r w:rsidR="0039184C" w:rsidRPr="009867C1">
        <w:rPr>
          <w:lang w:val="en-CA"/>
        </w:rPr>
      </w:r>
      <w:r w:rsidR="0039184C" w:rsidRPr="009867C1">
        <w:rPr>
          <w:lang w:val="en-CA"/>
        </w:rPr>
        <w:fldChar w:fldCharType="separate"/>
      </w:r>
      <w:r w:rsidR="000667DB" w:rsidRPr="009867C1">
        <w:t xml:space="preserve">Table </w:t>
      </w:r>
      <w:r w:rsidR="000667DB">
        <w:rPr>
          <w:noProof/>
        </w:rPr>
        <w:t>2</w:t>
      </w:r>
      <w:r w:rsidR="000667DB">
        <w:rPr>
          <w:noProof/>
        </w:rPr>
        <w:noBreakHyphen/>
        <w:t>1</w:t>
      </w:r>
      <w:r w:rsidR="0039184C" w:rsidRPr="009867C1">
        <w:rPr>
          <w:lang w:val="en-CA"/>
        </w:rPr>
        <w:fldChar w:fldCharType="end"/>
      </w:r>
      <w:r w:rsidR="0039184C" w:rsidRPr="009867C1">
        <w:rPr>
          <w:lang w:val="en-CA"/>
        </w:rPr>
        <w:t>)</w:t>
      </w:r>
      <w:r w:rsidRPr="009867C1">
        <w:rPr>
          <w:lang w:val="en-CA"/>
        </w:rPr>
        <w:t xml:space="preserve">. </w:t>
      </w:r>
      <w:r w:rsidR="00552946">
        <w:rPr>
          <w:lang w:val="en-CA"/>
        </w:rPr>
        <w:t xml:space="preserve">In addition, </w:t>
      </w:r>
      <w:r w:rsidR="00795EB1">
        <w:rPr>
          <w:lang w:val="en-CA"/>
        </w:rPr>
        <w:t>I</w:t>
      </w:r>
      <w:r w:rsidRPr="009867C1">
        <w:rPr>
          <w:lang w:val="en-CA"/>
        </w:rPr>
        <w:t xml:space="preserve"> predicted </w:t>
      </w:r>
      <w:r w:rsidR="00552946">
        <w:rPr>
          <w:lang w:val="en-CA"/>
        </w:rPr>
        <w:t xml:space="preserve">that </w:t>
      </w:r>
      <w:r w:rsidR="00795EB1">
        <w:rPr>
          <w:lang w:val="en-CA"/>
        </w:rPr>
        <w:t>fungal biomass would</w:t>
      </w:r>
      <w:r w:rsidRPr="009867C1">
        <w:rPr>
          <w:lang w:val="en-CA"/>
        </w:rPr>
        <w:t xml:space="preserve"> decline </w:t>
      </w:r>
      <w:r w:rsidR="00795EB1">
        <w:rPr>
          <w:lang w:val="en-CA"/>
        </w:rPr>
        <w:t xml:space="preserve">with salmon inputs </w:t>
      </w:r>
      <w:r w:rsidRPr="009867C1">
        <w:rPr>
          <w:lang w:val="en-CA"/>
        </w:rPr>
        <w:t>as nitrogen becomes increasingly accessible and as the soil community shifts from fungal-dominated to bacterial-dominated</w:t>
      </w:r>
      <w:r w:rsidR="00795EB1">
        <w:rPr>
          <w:lang w:val="en-CA"/>
        </w:rPr>
        <w:t xml:space="preserve">. </w:t>
      </w:r>
      <w:r w:rsidRPr="009867C1">
        <w:rPr>
          <w:lang w:val="en-CA"/>
        </w:rPr>
        <w:t xml:space="preserve">This study thus assesses a complex of soil properties in order to evaluate the contribution of marine-derived salmon inputs to soil fertility in the Pacific Northwest.  </w:t>
      </w:r>
    </w:p>
    <w:p w14:paraId="6CD3C7EF" w14:textId="77777777" w:rsidR="00223F7A" w:rsidRPr="009867C1" w:rsidRDefault="00223F7A" w:rsidP="00223F7A">
      <w:pPr>
        <w:ind w:firstLine="720"/>
        <w:rPr>
          <w:lang w:val="en-CA"/>
        </w:rPr>
      </w:pPr>
    </w:p>
    <w:p w14:paraId="13AA0973" w14:textId="77777777" w:rsidR="00223F7A" w:rsidRPr="009867C1" w:rsidRDefault="00223F7A" w:rsidP="00223F7A">
      <w:pPr>
        <w:pStyle w:val="Heading3"/>
        <w:rPr>
          <w:lang w:val="en-CA"/>
        </w:rPr>
      </w:pPr>
      <w:bookmarkStart w:id="50" w:name="_Toc99385419"/>
      <w:r w:rsidRPr="009867C1">
        <w:rPr>
          <w:lang w:val="en-CA"/>
        </w:rPr>
        <w:t>Materials and Methods</w:t>
      </w:r>
      <w:bookmarkEnd w:id="50"/>
    </w:p>
    <w:p w14:paraId="7D392A5C" w14:textId="77777777" w:rsidR="00223F7A" w:rsidRPr="009867C1" w:rsidRDefault="00223F7A" w:rsidP="00223F7A">
      <w:pPr>
        <w:rPr>
          <w:b/>
          <w:lang w:val="en-CA"/>
        </w:rPr>
      </w:pPr>
      <w:r w:rsidRPr="009867C1">
        <w:rPr>
          <w:b/>
          <w:lang w:val="en-CA"/>
        </w:rPr>
        <w:t>Study sites</w:t>
      </w:r>
    </w:p>
    <w:p w14:paraId="151B045C" w14:textId="2DAF5E59" w:rsidR="00223F7A" w:rsidRPr="009867C1" w:rsidRDefault="00223F7A" w:rsidP="007E0DD4">
      <w:pPr>
        <w:ind w:firstLine="720"/>
        <w:rPr>
          <w:lang w:val="en-CA"/>
        </w:rPr>
      </w:pPr>
      <w:r w:rsidRPr="009867C1">
        <w:rPr>
          <w:lang w:val="en-CA"/>
        </w:rPr>
        <w:t>The study was conducted in Heiltsuk Nation traditional territory in the Central Coast Regional District of British Columbia, Canada, near the town of Bella Bella (</w:t>
      </w:r>
      <w:r w:rsidRPr="000A6507">
        <w:rPr>
          <w:lang w:val="en-CA"/>
        </w:rPr>
        <w:t xml:space="preserve">Appendix </w:t>
      </w:r>
      <w:r w:rsidRPr="009867C1">
        <w:rPr>
          <w:lang w:val="en-CA"/>
        </w:rPr>
        <w:t xml:space="preserve">A). The study sites are in the Central variant of the Very Wet Hypermaritime subzone of the Coastal Western Hemlock biogeoclimatic zone (CWHvh2) </w:t>
      </w:r>
      <w:r w:rsidRPr="009867C1">
        <w:rPr>
          <w:lang w:val="en-CA"/>
        </w:rPr>
        <w:fldChar w:fldCharType="begin"/>
      </w:r>
      <w:r w:rsidR="00AC0205">
        <w:rPr>
          <w:lang w:val="en-CA"/>
        </w:rPr>
        <w:instrText xml:space="preserve"> ADDIN ZOTERO_ITEM CSL_CITATION {"citationID":"qRtAF61R","properties":{"formattedCitation":"(MFLNRORD, 2018)","plainCitation":"(MFLNRORD, 2018)","noteIndex":0},"citationItems":[{"id":163,"uris":["http://zotero.org/users/2189142/items/YZ875M43"],"itemData":{"id":163,"type":"map","title":"Biogeoclimatic Ecosystem Classification Subzone/Variant Map for the Mid-Coast Subunit","author":[{"family":"MFLNRORD","given":""}],"issued":{"date-parts":[["2018"]]},"citation-key":"mflnrord_2018"}}],"schema":"https://github.com/citation-style-language/schema/raw/master/csl-citation.json"} </w:instrText>
      </w:r>
      <w:r w:rsidRPr="009867C1">
        <w:rPr>
          <w:lang w:val="en-CA"/>
        </w:rPr>
        <w:fldChar w:fldCharType="separate"/>
      </w:r>
      <w:r w:rsidR="0042141C" w:rsidRPr="009867C1">
        <w:t>(MFLNRORD, 2018)</w:t>
      </w:r>
      <w:r w:rsidRPr="009867C1">
        <w:rPr>
          <w:lang w:val="en-CA"/>
        </w:rPr>
        <w:fldChar w:fldCharType="end"/>
      </w:r>
      <w:r w:rsidRPr="009867C1">
        <w:rPr>
          <w:lang w:val="en-CA"/>
        </w:rPr>
        <w:t xml:space="preserve">. Dominated by a cool maritime climate with high rainfall, the landscape is a mosaic of highland bogs where water is stagnant, and forested slopes where water sheds </w:t>
      </w:r>
      <w:r w:rsidRPr="009867C1">
        <w:rPr>
          <w:lang w:val="en-CA"/>
        </w:rPr>
        <w:fldChar w:fldCharType="begin"/>
      </w:r>
      <w:r w:rsidR="00AC0205">
        <w:rPr>
          <w:lang w:val="en-CA"/>
        </w:rPr>
        <w:instrText xml:space="preserve"> ADDIN ZOTERO_ITEM CSL_CITATION {"citationID":"NOh6MOYK","properties":{"formattedCitation":"(Lamb &amp; Megill, 2003)","plainCitation":"(Lamb &amp; Megill, 2003)","noteIndex":0},"citationItems":[{"id":162,"uris":["http://zotero.org/users/2189142/items/55WKVB49"],"itemData":{"id":162,"type":"article-journal","abstract":"Four distinct vegetation types are found in close proximity along an exposed section of the southern central coast of British Columbia. A coastal fringe of coniferous forest a few hundred metres wide is separated by a steep ecotone from an inland peatland-forest complex. The objectives of this study were (1) to describe the plant communities along the transition from forest to peatland, and (2) to identify some of the major environmental factors associated with those communities using indicator plant analysis. The coastal forest is dominated by Thuja plicata, Tsuga heterophylla, Picea sitchensis, and Chamaecyparis nootkatensis. Characteristic understory species include Gaultheria shallon and Blechnum spicant. Inland from the coastal forest are transitional forest stands with a species-rich understory including Cornus canadensis, Hylocomium splendens, and Vaccinium parvifolium. The peatlands are poor fens characterized by thickets of Pinus contorta and Chamaecyparis nootkatensis among open areas dominated by species such as Sphagnum sp., Empetrum nigrum, Juniperus communis, and bogs characterized by Myrica gale, Eriophorum angustifolium, and Sanguisorba officinalis. Indicator plant analysis identified differences in the ground surface materials, soil moisture and nutrient regime between the vegetation types. The general trend is for an increase in soil moisture from the forest vegetation to the peatlands and a concurrent change from the Mor humus forms that dominate the coastal forest floor to the surface groundwater table of the peatlands. These environmental differences between forest and peatland are likely related to the steeper slopes typically found in the fringe forest vegetation.","container-title":"The Canadian Field-Naturalist","DOI":"10.22621/cfn.v117i2.684","ISSN":"0008-3550","issue":"2","language":"en","page":"209-217","source":"www-canadianfieldnaturalist-ca.ezproxy.library.ubc.ca","title":"The Shoreline Fringe Forest and Adjacent Peatlands of the Southern Central British Columbia Coast","volume":"117","author":[{"family":"Lamb","given":"Eric G."},{"family":"Megill","given":"William"}],"issued":{"date-parts":[["2003"]]},"citation-key":"lamb_2003"}}],"schema":"https://github.com/citation-style-language/schema/raw/master/csl-citation.json"} </w:instrText>
      </w:r>
      <w:r w:rsidRPr="009867C1">
        <w:rPr>
          <w:lang w:val="en-CA"/>
        </w:rPr>
        <w:fldChar w:fldCharType="separate"/>
      </w:r>
      <w:r w:rsidR="0042141C" w:rsidRPr="009867C1">
        <w:t>(Lamb &amp; Megill, 2003)</w:t>
      </w:r>
      <w:r w:rsidRPr="009867C1">
        <w:rPr>
          <w:lang w:val="en-CA"/>
        </w:rPr>
        <w:fldChar w:fldCharType="end"/>
      </w:r>
      <w:r w:rsidRPr="009867C1">
        <w:rPr>
          <w:lang w:val="en-CA"/>
        </w:rPr>
        <w:t>. The forested riparian zones are a mix of western hemlock (</w:t>
      </w:r>
      <w:r w:rsidRPr="009867C1">
        <w:rPr>
          <w:i/>
          <w:lang w:val="en-CA"/>
        </w:rPr>
        <w:t>Tsuga heterophylla</w:t>
      </w:r>
      <w:r w:rsidRPr="009867C1">
        <w:rPr>
          <w:lang w:val="en-CA"/>
        </w:rPr>
        <w:t>), western red cedar (</w:t>
      </w:r>
      <w:r w:rsidRPr="009867C1">
        <w:rPr>
          <w:i/>
          <w:lang w:val="en-CA"/>
        </w:rPr>
        <w:t>Thuja plicata</w:t>
      </w:r>
      <w:r w:rsidRPr="009867C1">
        <w:rPr>
          <w:lang w:val="en-CA"/>
        </w:rPr>
        <w:t>), Amabilis fir (</w:t>
      </w:r>
      <w:r w:rsidRPr="009867C1">
        <w:rPr>
          <w:i/>
          <w:lang w:val="en-CA"/>
        </w:rPr>
        <w:t>Abies amabilis</w:t>
      </w:r>
      <w:r w:rsidRPr="009867C1">
        <w:rPr>
          <w:lang w:val="en-CA"/>
        </w:rPr>
        <w:t>), and Sitka spruce (</w:t>
      </w:r>
      <w:r w:rsidRPr="009867C1">
        <w:rPr>
          <w:i/>
          <w:lang w:val="en-CA"/>
        </w:rPr>
        <w:t>Picea sitchensis</w:t>
      </w:r>
      <w:r w:rsidRPr="009867C1">
        <w:rPr>
          <w:lang w:val="en-CA"/>
        </w:rPr>
        <w:t>), with red alder (</w:t>
      </w:r>
      <w:r w:rsidRPr="009867C1">
        <w:rPr>
          <w:i/>
          <w:lang w:val="en-CA"/>
        </w:rPr>
        <w:t>Alnus rubra</w:t>
      </w:r>
      <w:r w:rsidRPr="009867C1">
        <w:rPr>
          <w:lang w:val="en-CA"/>
        </w:rPr>
        <w:t>) appearing in disturbed sites. The understory includes huckleberry and blueberry species (</w:t>
      </w:r>
      <w:r w:rsidRPr="009867C1">
        <w:rPr>
          <w:i/>
          <w:lang w:val="en-CA"/>
        </w:rPr>
        <w:t>Vaccinium parvifolium</w:t>
      </w:r>
      <w:r w:rsidRPr="00A459C6">
        <w:rPr>
          <w:iCs/>
          <w:lang w:val="en-CA"/>
        </w:rPr>
        <w:t>,</w:t>
      </w:r>
      <w:r w:rsidRPr="009867C1">
        <w:rPr>
          <w:i/>
          <w:lang w:val="en-CA"/>
        </w:rPr>
        <w:t xml:space="preserve"> V. alaskensae</w:t>
      </w:r>
      <w:r w:rsidRPr="00A459C6">
        <w:rPr>
          <w:iCs/>
          <w:lang w:val="en-CA"/>
        </w:rPr>
        <w:t>,</w:t>
      </w:r>
      <w:r w:rsidRPr="009867C1">
        <w:rPr>
          <w:i/>
          <w:lang w:val="en-CA"/>
        </w:rPr>
        <w:t xml:space="preserve"> </w:t>
      </w:r>
      <w:r w:rsidRPr="00471439">
        <w:rPr>
          <w:iCs/>
          <w:lang w:val="en-CA"/>
        </w:rPr>
        <w:t>and</w:t>
      </w:r>
      <w:r w:rsidRPr="009867C1">
        <w:rPr>
          <w:i/>
          <w:lang w:val="en-CA"/>
        </w:rPr>
        <w:t xml:space="preserve"> V. ovalifolium</w:t>
      </w:r>
      <w:r w:rsidRPr="009867C1">
        <w:rPr>
          <w:lang w:val="en-CA"/>
        </w:rPr>
        <w:t>), false azalea (</w:t>
      </w:r>
      <w:r w:rsidRPr="009867C1">
        <w:rPr>
          <w:i/>
          <w:lang w:val="en-CA"/>
        </w:rPr>
        <w:t>Menziesia furruginea</w:t>
      </w:r>
      <w:r w:rsidRPr="009867C1">
        <w:rPr>
          <w:lang w:val="en-CA"/>
        </w:rPr>
        <w:t>), salal (</w:t>
      </w:r>
      <w:r w:rsidRPr="009867C1">
        <w:rPr>
          <w:i/>
          <w:lang w:val="en-CA"/>
        </w:rPr>
        <w:t>Gaultheria shallon</w:t>
      </w:r>
      <w:r w:rsidRPr="009867C1">
        <w:rPr>
          <w:lang w:val="en-CA"/>
        </w:rPr>
        <w:t>), salmonberry (</w:t>
      </w:r>
      <w:r w:rsidRPr="009867C1">
        <w:rPr>
          <w:i/>
          <w:lang w:val="en-CA"/>
        </w:rPr>
        <w:t>Rubus spectabilis</w:t>
      </w:r>
      <w:r w:rsidRPr="009867C1">
        <w:rPr>
          <w:lang w:val="en-CA"/>
        </w:rPr>
        <w:t>), and devil’s club (</w:t>
      </w:r>
      <w:r w:rsidRPr="009867C1">
        <w:rPr>
          <w:i/>
          <w:lang w:val="en-CA"/>
        </w:rPr>
        <w:t>Oploplanax horridus</w:t>
      </w:r>
      <w:r w:rsidRPr="009867C1">
        <w:rPr>
          <w:lang w:val="en-CA"/>
        </w:rPr>
        <w:t xml:space="preserve">).  </w:t>
      </w:r>
    </w:p>
    <w:p w14:paraId="4882F77E" w14:textId="786682A2" w:rsidR="00223F7A" w:rsidRPr="009867C1" w:rsidRDefault="00223F7A" w:rsidP="00223F7A">
      <w:pPr>
        <w:ind w:firstLine="720"/>
      </w:pPr>
      <w:r w:rsidRPr="009867C1">
        <w:rPr>
          <w:lang w:val="en-CA"/>
        </w:rPr>
        <w:t>Regional soils are</w:t>
      </w:r>
      <w:r w:rsidRPr="009867C1">
        <w:t xml:space="preserve"> dominated by alkaline and peralkaline geochemistry </w:t>
      </w:r>
      <w:r w:rsidRPr="009867C1">
        <w:fldChar w:fldCharType="begin"/>
      </w:r>
      <w:r w:rsidR="00AC0205">
        <w:instrText xml:space="preserve"> ADDIN ZOTERO_ITEM CSL_CITATION {"citationID":"1fqu04lU","properties":{"formattedCitation":"(Souther, 1986)","plainCitation":"(Souther, 1986)","noteIndex":0},"citationItems":[{"id":1312,"uris":["http://zotero.org/users/2189142/items/UVSFPGVJ"],"itemData":{"id":1312,"type":"article-journal","abstract":"The Anahim Volcanic Belt extends easterly across central British Columbia, where it includes three large shield volcanoes and numerous small monogenetic cones and lava flows. Potassium–argon dates on the lavas suggest that the onset of volcanic activity progressed from approximately 8 Ma in the west to less than 1 Ma in the east. A western extension of the belt into the strongly uplifted and deeply dissected Coast Mountains is defined by an east-trending zone of chemically distinctive, high-level plutons, dyke swarms, and remnants of eruptive breccia that yield K–Ar dates of 10–14 Ma. The lavas and dykes include both basic (alkali basalt and hawaiite) and salic (trachyte and sodic rhyolite) suites, which have remarkably similar major-element abundances. In addition, moderately to strongly peralkaline rocks (comendite and pantellerite) constitute a major part of the volcanic piles and a lesser proportion of the dykes. Epizonal plutons show an upward zonation from hypersolvus syenite to miarolitic, alkaline..., La ceinture volcanique d'Anahim est déployée vers l'est et traverse le centre de la Colombie-Britannique, où elle englobe trois volcans-boucliers et de nombreux petits cônes monogéniques et ainsi que des coulées de lave. Les datations des laves par potassium–argon révèlent que les épisodes d'activité volcanique sont progressivement plus jeunes d'ouest en est, soit approximativement de 8 Ma à 1 Ma. Un prolongement occidental de la ceinture dans la chaîne Côtière, largement soulevée et intensément disséquée, est défini par une zone chimiquement différente, de direction orientale, formée de plutons épizonaux, de cortèges filoniens et de résidus de brèche éruptive qui fournissent des âges K–Ar de 10–14 Ma. Les laves et les dykes incluent des séquences basiques (basalte alcalin et hawaiite) et saliques (trachyte et rhyolite sodique) qui ont des teneurs en éléments majeurs notamment semblables. En plus, les roches, modérément à fortement peralcalines (comendite et pantellérite), correspondent en majeure partie ...","container-title":"Canadian Journal of Earth Sciences","DOI":"10.1139/e86-091","ISSN":"0008-4077","issue":"6","journalAbbreviation":"Can. J. Earth Sci.","page":"895-908","source":"NRC Research Press","title":"The western Anahim Belt: root zone of a peralkaline magma system","title-short":"The western Anahim Belt","volume":"23","author":[{"family":"Souther","given":"J. G."}],"issued":{"date-parts":[["1986",6,1]]},"citation-key":"souther_1986"}}],"schema":"https://github.com/citation-style-language/schema/raw/master/csl-citation.json"} </w:instrText>
      </w:r>
      <w:r w:rsidRPr="009867C1">
        <w:fldChar w:fldCharType="separate"/>
      </w:r>
      <w:r w:rsidR="0042141C" w:rsidRPr="009867C1">
        <w:t>(Souther, 1986)</w:t>
      </w:r>
      <w:r w:rsidRPr="009867C1">
        <w:fldChar w:fldCharType="end"/>
      </w:r>
      <w:r w:rsidRPr="009867C1">
        <w:t xml:space="preserve">, and recent glacial dynamics imply that soil formation has occurred only in the last ~14,000 years </w:t>
      </w:r>
      <w:r w:rsidRPr="009867C1">
        <w:fldChar w:fldCharType="begin"/>
      </w:r>
      <w:r w:rsidR="00AC0205">
        <w:instrText xml:space="preserve"> ADDIN ZOTERO_ITEM CSL_CITATION {"citationID":"PjVmCCb6","properties":{"formattedCitation":"(Eamer et al., 2017)","plainCitation":"(Eamer et al., 2017)","noteIndex":0},"citationItems":[{"id":1700,"uris":["http://zotero.org/users/2189142/items/DR2ZSDQ2"],"itemData":{"id":1700,"type":"article-journal","container-title":"Quaternary Research","issue":"3","page":"468–481","source":"Google Scholar","title":"A glacial readvance during retreat of the Cordilleran Ice Sheet, British Columbia central coast","volume":"87","author":[{"family":"Eamer","given":"Jordan BR"},{"family":"Shugar","given":"Dan H."},{"family":"Walker","given":"Ian J."},{"family":"Lian","given":"Olav B."},{"family":"Neudorf","given":"Christina M."},{"family":"Telka","given":"Alice M."}],"issued":{"date-parts":[["2017"]]},"citation-key":"eamer_2017a"}}],"schema":"https://github.com/citation-style-language/schema/raw/master/csl-citation.json"} </w:instrText>
      </w:r>
      <w:r w:rsidRPr="009867C1">
        <w:fldChar w:fldCharType="separate"/>
      </w:r>
      <w:r w:rsidR="0042141C" w:rsidRPr="009867C1">
        <w:t>(Eamer et al., 2017)</w:t>
      </w:r>
      <w:r w:rsidRPr="009867C1">
        <w:fldChar w:fldCharType="end"/>
      </w:r>
      <w:r w:rsidRPr="009867C1">
        <w:t xml:space="preserve">. Ferro-Humic Podzols dominate the region, extending from northern Vancouver Island to Prince Rupert. The Central Coast is characterized by a narrow coastal band of Folisols that encompass the study sites </w:t>
      </w:r>
      <w:r w:rsidRPr="009867C1">
        <w:fldChar w:fldCharType="begin"/>
      </w:r>
      <w:r w:rsidR="00AC0205">
        <w:instrText xml:space="preserve"> ADDIN ZOTERO_ITEM CSL_CITATION {"citationID":"uBldteZC","properties":{"formattedCitation":"(Carpenter et al., 2014)","plainCitation":"(Carpenter et al., 2014)","noteIndex":0},"citationItems":[{"id":904,"uris":["http://zotero.org/users/2189142/items/AWEPCWBQ"],"itemData":{"id":904,"type":"article-journal","abstract":"Temperate rainforests have high conservation and natural resource value, but the soils of this bioregion have not previously been studied as a unit. Here we examine the soils of North America's Pacific coastal temperate rainforests, utilizing databases from the United States Natural Resources Conservation Service and the Canadian Centre for Land and Biological Resources Research to (i) identify the soil taxa, (ii) evaluate the soil properties, and (iii) compare soils in temperate and tropical rainforests. There are strong climate gradients within these temperate rainforests, with the mean temperature declining from 11.7 °C to 6.1 °C and the mean annual precipitation increasing from 1500 mm to around 3000 mm from northern California (CA) to northwestern British Columbia (BC) and southeastern Alaska (AK). There is also high pedodiversity in this region, with soils representing 8 orders and 31 suborders, and, in the US portion, 65 great-groups, 142 subgroups, and 482 soil series. Twenty-six percent of described soil series are endemic to temperate rainforests in the US portion of the region, with the proportion declining with latitude. Dominant soil suborders vary along the latitudinal gradient from Humults–Udalfs/Ustalfs–Udepts–Udults in CA, to Udands–Udepts–Udands Humults in western Oregon (OR) and Washington (WA), to Orthods–Folists in BC and Cryods–Saprists in AK. The dominant diagnostic horizons are ochric/argillic (CA), umbric/cambic (OR, WA), and albic–histic/spodic (BC, AK). Whereas soils in CA, BC, and AK tend to have a mixed mineralogy, those in northern OR and WA commonly are derived from volcaniclastic materials and have a ferrihydritic or isotic mineralogy. Soils in this region are generally deep, hold abundant moisture, are not subject to deep-freezing, and are enriched in extractable Fe and Al. Organic C and total N contents are high overall, but also variable, with right-skewed distributions. Compared to tropical rainforest soils in the Pacific Basin, Pacific temperate rainforest have greater weatherable minerals, cation-exchange capacities, soil organic C, and total exchangeable base cations. However, soils of both bioregions tend to be deep, acidic Al-saturated, and can have large N reservoirs. This investigation provides a foundation for a more unified understanding of the soils of a globally significant bioregion.","container-title":"Geoderma","DOI":"10.1016/j.geoderma.2014.04.023","ISSN":"0016-7061","journalAbbreviation":"Geoderma","page":"250-264","source":"ScienceDirect","title":"Soils of temperate rainforests of the North American Pacific Coast","volume":"230–231","author":[{"family":"Carpenter","given":"Dunbar N."},{"family":"Bockheim","given":"James G."},{"family":"Reich","given":"Paul F."}],"issued":{"date-parts":[["2014",10]]},"citation-key":"carpenter_2014"}}],"schema":"https://github.com/citation-style-language/schema/raw/master/csl-citation.json"} </w:instrText>
      </w:r>
      <w:r w:rsidRPr="009867C1">
        <w:fldChar w:fldCharType="separate"/>
      </w:r>
      <w:r w:rsidR="0042141C" w:rsidRPr="009867C1">
        <w:t>(Carpenter et al., 2014)</w:t>
      </w:r>
      <w:r w:rsidRPr="009867C1">
        <w:fldChar w:fldCharType="end"/>
      </w:r>
      <w:r w:rsidRPr="009867C1">
        <w:t xml:space="preserve">. The soils found at the study sites were primarily Humic and Lignic Folisols (Organic order, Folisol great group), with the occasional Ferro-Humic Podzol (Podzolic order, Ferro-Humic great group) (n=4) </w:t>
      </w:r>
      <w:r w:rsidRPr="009867C1">
        <w:fldChar w:fldCharType="begin"/>
      </w:r>
      <w:r w:rsidR="00AC0205">
        <w:instrText xml:space="preserve"> ADDIN ZOTERO_ITEM CSL_CITATION {"citationID":"VwwLxCPe","properties":{"formattedCitation":"(C. A. Fox et al., 1987)","plainCitation":"(C. A. Fox et al., 1987)","noteIndex":0},"citationItems":[{"id":1294,"uris":["http://zotero.org/users/2189142/items/54BVQPN2"],"itemData":{"id":1294,"type":"article-journal","container-title":"Canadian journal of soil science","issue":"4","page":"765–778","source":"Google Scholar","title":"Classification, macromorphology and chemical characteristics of Folisols from British Columbia","volume":"67","author":[{"family":"Fox","given":"C. A."},{"family":"TARNOCAI","given":"C."},{"family":"TROWBRIDGE","given":"R."}],"issued":{"date-parts":[["1987"]]},"citation-key":"fox_1987"}}],"schema":"https://github.com/citation-style-language/schema/raw/master/csl-citation.json"} </w:instrText>
      </w:r>
      <w:r w:rsidRPr="009867C1">
        <w:fldChar w:fldCharType="separate"/>
      </w:r>
      <w:r w:rsidR="0042141C" w:rsidRPr="009867C1">
        <w:t>(C. A. Fox et al., 1987)</w:t>
      </w:r>
      <w:r w:rsidRPr="009867C1">
        <w:fldChar w:fldCharType="end"/>
      </w:r>
      <w:r w:rsidRPr="009867C1">
        <w:t xml:space="preserve">.  </w:t>
      </w:r>
    </w:p>
    <w:p w14:paraId="635D6DD8" w14:textId="07D50381" w:rsidR="00223F7A" w:rsidRPr="009867C1" w:rsidRDefault="00223F7A" w:rsidP="00223F7A">
      <w:pPr>
        <w:ind w:firstLine="720"/>
      </w:pPr>
      <w:r w:rsidRPr="009867C1">
        <w:t xml:space="preserve">A total of 23 streams were included in the study, representing a gradient of salmon density (0 – 67 kg salmon per meter of stream reach per year). These streams have been well studied previously </w:t>
      </w:r>
      <w:r w:rsidRPr="009867C1">
        <w:fldChar w:fldCharType="begin"/>
      </w:r>
      <w:r w:rsidR="00AC0205">
        <w:instrText xml:space="preserve"> ADDIN ZOTERO_ITEM CSL_CITATION {"citationID":"xk8YKtgW","properties":{"formattedCitation":"(Hocking &amp; Reynolds, 2011)","plainCitation":"(Hocking &amp; Reynolds, 2011)","noteIndex":0},"citationItems":[{"id":550,"uris":["http://zotero.org/users/2189142/items/JR362H46"],"itemData":{"id":550,"type":"article-journal","abstract":"The study of natural gradients in nutrient subsidies between ecosystems allows for predictions of how changes in one system can affect biodiversity in another. We performed a large-scale empirical test of the role of Pacific salmon (Oncorhynchus spp.) in structuring riparian plant communities. A comparison of 50 watersheds in the remote Great Bear Rainforest of British Columbia’s central coast in Canada shows that salmon influence nutrient loading to plants, shifting plant communities toward nutrient-rich species, which in turn decreases plant diversity. These effects are mediated by interactions between salmon density and the physical characteristics of watersheds. Predicting how salmon affect terrestrial ecosystems is central to conservation plans that aim to better integrate ecosystem values into resource management.","container-title":"Science","DOI":"10.1126/science.1201079","ISSN":"0036-8075, 1095-9203","issue":"6024","journalAbbreviation":"Science","language":"en","note":"PMID: 21442794","page":"1609-1612","source":"www.sciencemag.org.ezproxy.library.ubc.ca","title":"Impacts of Salmon on Riparian Plant Diversity","volume":"331","author":[{"family":"Hocking","given":"Morgan D."},{"family":"Reynolds","given":"John D."}],"issued":{"date-parts":[["2011",3,25]]},"citation-key":"hocking_2011"}}],"schema":"https://github.com/citation-style-language/schema/raw/master/csl-citation.json"} </w:instrText>
      </w:r>
      <w:r w:rsidRPr="009867C1">
        <w:fldChar w:fldCharType="separate"/>
      </w:r>
      <w:r w:rsidR="0042141C" w:rsidRPr="009867C1">
        <w:t>(Hocking &amp; Reynolds, 2011)</w:t>
      </w:r>
      <w:r w:rsidRPr="009867C1">
        <w:fldChar w:fldCharType="end"/>
      </w:r>
      <w:r w:rsidRPr="009867C1">
        <w:t xml:space="preserve"> and have ongoing long term (12+ years) salmon density measurements. Four of the 23 streams had waterfalls</w:t>
      </w:r>
      <w:r w:rsidR="00E72D1A">
        <w:t>,</w:t>
      </w:r>
      <w:r w:rsidRPr="009867C1">
        <w:t xml:space="preserve"> which were</w:t>
      </w:r>
      <w:r w:rsidR="00E72D1A">
        <w:t xml:space="preserve"> utilized</w:t>
      </w:r>
      <w:r w:rsidRPr="009867C1">
        <w:t xml:space="preserve"> </w:t>
      </w:r>
      <w:r w:rsidR="00E72D1A">
        <w:t>for</w:t>
      </w:r>
      <w:r w:rsidRPr="009867C1">
        <w:t xml:space="preserve"> above</w:t>
      </w:r>
      <w:r w:rsidR="00E72D1A">
        <w:t>/</w:t>
      </w:r>
      <w:r w:rsidRPr="009867C1">
        <w:t>below</w:t>
      </w:r>
      <w:r w:rsidR="00E72D1A">
        <w:t xml:space="preserve"> waterfall</w:t>
      </w:r>
      <w:r w:rsidRPr="009867C1">
        <w:t xml:space="preserve"> comparisons. </w:t>
      </w:r>
      <w:r w:rsidRPr="009867C1">
        <w:rPr>
          <w:lang w:val="en-CA"/>
        </w:rPr>
        <w:t>This study was intentionally conducted in July and August to be as distant annually from the salmon run as possible, and in order to emphasize long-term and legacy effects of salmon deposition.</w:t>
      </w:r>
    </w:p>
    <w:p w14:paraId="124BE5D7" w14:textId="77777777" w:rsidR="00223F7A" w:rsidRPr="009867C1" w:rsidRDefault="00223F7A" w:rsidP="00223F7A">
      <w:r w:rsidRPr="009867C1">
        <w:rPr>
          <w:b/>
        </w:rPr>
        <w:t>Soil sampling</w:t>
      </w:r>
    </w:p>
    <w:p w14:paraId="04BD31F1" w14:textId="390F399D" w:rsidR="00223F7A" w:rsidRPr="009867C1" w:rsidRDefault="00223F7A" w:rsidP="0078516B">
      <w:pPr>
        <w:ind w:firstLine="720"/>
      </w:pPr>
      <w:r w:rsidRPr="009867C1">
        <w:t>Two soil cores were collected from each stream, with an additional two cores above waterfalls in the f</w:t>
      </w:r>
      <w:r w:rsidR="00B97D76">
        <w:t>our</w:t>
      </w:r>
      <w:r w:rsidRPr="009867C1">
        <w:t xml:space="preserve"> watersheds where they occurred. Samples were taken from microsites of flat, deep soil (&gt;50 cm), within 100 m of the stream mouth, and within </w:t>
      </w:r>
      <w:r w:rsidR="0078516B">
        <w:t>5</w:t>
      </w:r>
      <w:r w:rsidRPr="009867C1">
        <w:t>0 m perpendicular to the stream. At each microsite, a small soil pit was dug to 50 cm depth and the soil profile described and photographed, and the location, distance from the stream mouth, and distance to the closest bank recorded. In the soil pit, horizons</w:t>
      </w:r>
      <w:r w:rsidR="008F70A0">
        <w:t xml:space="preserve"> were identified</w:t>
      </w:r>
      <w:r w:rsidRPr="009867C1">
        <w:t>,</w:t>
      </w:r>
      <w:r w:rsidR="008F70A0">
        <w:t xml:space="preserve"> and soil</w:t>
      </w:r>
      <w:r w:rsidRPr="009867C1">
        <w:t xml:space="preserve"> texture and percent lignic matter were estimated. The litter layer was removed and the top 5 cm collected as a single sample (“forest floor”). The underlying 10-15 cm of organic soil was collected as a second sample (“organic”). </w:t>
      </w:r>
    </w:p>
    <w:p w14:paraId="69318CF1" w14:textId="25ED5294" w:rsidR="00223F7A" w:rsidRPr="009867C1" w:rsidRDefault="00223F7A" w:rsidP="0078516B">
      <w:pPr>
        <w:ind w:firstLine="720"/>
      </w:pPr>
      <w:r w:rsidRPr="009867C1">
        <w:t xml:space="preserve">Forest floors were generally dominated by decomposing moss and conifer needles. Deeper soils were found to match soil maps and were almost exclusively Lignic and Humic Folisols (Drw) </w:t>
      </w:r>
      <w:r w:rsidRPr="009867C1">
        <w:fldChar w:fldCharType="begin"/>
      </w:r>
      <w:r w:rsidR="00AC0205">
        <w:instrText xml:space="preserve"> ADDIN ZOTERO_ITEM CSL_CITATION {"citationID":"eBSIMybT","properties":{"formattedCitation":"(C. A. Fox &amp; Tarnocai, 2011)","plainCitation":"(C. A. Fox &amp; Tarnocai, 2011)","noteIndex":0},"citationItems":[{"id":1292,"uris":["http://zotero.org/users/2189142/items/6SX9T85W"],"itemData":{"id":1292,"type":"article-journal","abstract":"Fox, C. A. and Tarnocai, C. 2011. Organic soils of Canada: Part 2. Upland Organic soils. Can. J. Soil Sci. 91: 823–842. Soils from upland moderately well-drained environments with thick accumulations (&gt;10 cm over lithic contact; &gt;40 cm over mineral soil) of folic materials (forest materials, branches, roots, and other non-wetland materials) are classified within the Folisol great group in the Organic Order since the 1987 revision of the Canadian System of Soil Classification. The Folisol great group correlates to Folist in Keys to Soil Taxonomy and Folic Histosol in World Reference Base for Soil Resources (FAO). Two subgroups – Hemic and Humic Folisol – account for most Folisols addressing the state of decomposition of folic materials. The Lignic and Histic Folisol subgroups identify specific kinds of folic accumulations. Folisolic soils can occur throughout Canada, in forest, heath, and alpine ecosytems with cool, moist, humid environments, but are most prominent within the Pacific Maritime Ecozone; area..., Fox, C. A. et Tarnocai, C. 2011. Sols organique au canada: Partie 2. Sols organiques des hautes terres. Can. J. Soil Sci. 91: 823–842. Depuis la révision, en 1987, du Système canadien de classification des sols, les sols des hautes terres modérément bien drainés qui se caractérisent par l'accumulation d'une couche épaisse (&gt; 10 cm sur l'assise rocheuse; &gt; 40 cm sur le sol minéral) de matériaux foliques (matériaux d'origine forestière, branches, racines et autres matériaux ne venant pas des terres humides) sont classés dans le grand groupe des folisols, de l'ordre des sols organiques. Ce groupe correspond à la catégorie « Folist » dans keys to Soil Taxonomy et à celle des Histosols Foliques dans la Base de référence mondiale pour les ressources en sols de la FAO. La plupart des Folisols se retrouvent dans deux sous-groupes (Folisols hémiques et humiques), selon le degré de décomposition des matériaux foliques. Les sous-groupes des Folisols ligniques et histiques identifient une accumulation particulière de...","container-title":"Canadian Journal of Soil Science","DOI":"10.4141/cjss10032","ISSN":"0008-4271","issue":"5","journalAbbreviation":"Can. J. Soil. Sci.","page":"823-842","source":"NRC Research Press","title":"Organic soils of Canada: Part 2. Upland Organic soils","title-short":"Organic soils of Canada","volume":"91","author":[{"family":"Fox","given":"C.A."},{"family":"Tarnocai","given":"Charles"}],"issued":{"date-parts":[["2011",1,1]]},"citation-key":"fox_2011"}}],"schema":"https://github.com/citation-style-language/schema/raw/master/csl-citation.json"} </w:instrText>
      </w:r>
      <w:r w:rsidRPr="009867C1">
        <w:fldChar w:fldCharType="separate"/>
      </w:r>
      <w:r w:rsidR="0042141C" w:rsidRPr="009867C1">
        <w:t>(C. A. Fox &amp; Tarnocai, 2011)</w:t>
      </w:r>
      <w:r w:rsidRPr="009867C1">
        <w:fldChar w:fldCharType="end"/>
      </w:r>
      <w:r w:rsidRPr="009867C1">
        <w:t xml:space="preserve">, with homogenous organic composition down to gravel or bedrock. </w:t>
      </w:r>
    </w:p>
    <w:p w14:paraId="2CF8E1B4" w14:textId="77777777" w:rsidR="00223F7A" w:rsidRPr="009867C1" w:rsidRDefault="00223F7A" w:rsidP="00223F7A"/>
    <w:p w14:paraId="62F77C4C" w14:textId="77777777" w:rsidR="00223F7A" w:rsidRPr="009867C1" w:rsidRDefault="00223F7A" w:rsidP="00223F7A">
      <w:r w:rsidRPr="009867C1">
        <w:rPr>
          <w:b/>
        </w:rPr>
        <w:t>Plant Community</w:t>
      </w:r>
    </w:p>
    <w:p w14:paraId="4B685B81" w14:textId="0B87E6CC" w:rsidR="00223F7A" w:rsidRPr="009867C1" w:rsidRDefault="00223F7A" w:rsidP="00223F7A">
      <w:pPr>
        <w:ind w:firstLine="720"/>
      </w:pPr>
      <w:r w:rsidRPr="009867C1">
        <w:t xml:space="preserve">At each core, the closest large tree (the “focal tree”) was identified to species; and had its distance from the core, </w:t>
      </w:r>
      <w:r w:rsidR="000A6507">
        <w:t>azimuth</w:t>
      </w:r>
      <w:r w:rsidRPr="009867C1">
        <w:t xml:space="preserve"> from the core, and diameter at breast height (dbh) measured, and its height estimated. Mosses and herbs, and trees and shrubs, were recorded with a two-tiered nested approach (</w:t>
      </w:r>
      <w:r w:rsidRPr="000A6507">
        <w:t xml:space="preserve">Appendix </w:t>
      </w:r>
      <w:r w:rsidRPr="009867C1">
        <w:t xml:space="preserve">C). First, </w:t>
      </w:r>
      <w:r w:rsidR="000A6507">
        <w:t xml:space="preserve">a </w:t>
      </w:r>
      <w:r w:rsidRPr="009867C1">
        <w:t>1 m</w:t>
      </w:r>
      <w:r w:rsidRPr="009867C1">
        <w:rPr>
          <w:vertAlign w:val="superscript"/>
        </w:rPr>
        <w:t>2</w:t>
      </w:r>
      <w:r w:rsidRPr="009867C1">
        <w:t xml:space="preserve"> plot was centered on the soil core</w:t>
      </w:r>
      <w:r w:rsidR="000A6507">
        <w:t xml:space="preserve"> where p</w:t>
      </w:r>
      <w:r w:rsidRPr="009867C1">
        <w:t xml:space="preserve">ercent cover of each moss and herb species </w:t>
      </w:r>
      <w:r w:rsidRPr="009867C1">
        <w:rPr>
          <w:i/>
        </w:rPr>
        <w:t>j</w:t>
      </w:r>
      <w:r w:rsidRPr="009867C1">
        <w:t xml:space="preserve"> were visually assessed. This resulted in an estimate for each moss and herb species </w:t>
      </w:r>
      <w:r w:rsidRPr="009867C1">
        <w:rPr>
          <w:i/>
        </w:rPr>
        <w:t xml:space="preserve">j </w:t>
      </w:r>
      <w:r w:rsidRPr="009867C1">
        <w:t xml:space="preserve">in each plot. </w:t>
      </w:r>
    </w:p>
    <w:p w14:paraId="7D8B5347" w14:textId="77777777" w:rsidR="00223F7A" w:rsidRPr="009867C1" w:rsidRDefault="00223F7A" w:rsidP="0078516B">
      <w:pPr>
        <w:ind w:firstLine="720"/>
      </w:pPr>
      <w:r w:rsidRPr="009867C1">
        <w:t>Second, a 5 m radius circular plot was centered on the soil core and shrubs with height &gt;1 m were identified to species and their aboveground volume estimated by measuring their cubic volume (</w:t>
      </w:r>
      <m:oMath>
        <m:r>
          <w:rPr>
            <w:rFonts w:ascii="Cambria Math" w:hAnsi="Cambria Math"/>
          </w:rPr>
          <m:t>h x l x w</m:t>
        </m:r>
      </m:oMath>
      <w:r w:rsidRPr="009867C1">
        <w:t>). Their distance and bearing to the core were measured, and these figures combined to estimate the effect of each shrub on the soil core as a “shrub influence index”, calculated as:</w:t>
      </w:r>
    </w:p>
    <w:p w14:paraId="6506CED1" w14:textId="77777777" w:rsidR="00223F7A" w:rsidRPr="009867C1" w:rsidRDefault="00557CA9" w:rsidP="00223F7A">
      <w:pPr>
        <w:jc w:val="center"/>
      </w:pPr>
      <m:oMath>
        <m:sSub>
          <m:sSubPr>
            <m:ctrlPr>
              <w:rPr>
                <w:rFonts w:ascii="Cambria Math" w:hAnsi="Cambria Math"/>
                <w:i/>
              </w:rPr>
            </m:ctrlPr>
          </m:sSubPr>
          <m:e>
            <m:r>
              <w:rPr>
                <w:rFonts w:ascii="Cambria Math" w:hAnsi="Cambria Math"/>
              </w:rPr>
              <m:t>i</m:t>
            </m:r>
          </m:e>
          <m:sub>
            <m:r>
              <w:rPr>
                <w:rFonts w:ascii="Cambria Math" w:hAnsi="Cambria Math"/>
              </w:rPr>
              <m:t>shrub</m:t>
            </m:r>
          </m:sub>
        </m:sSub>
        <m:r>
          <w:rPr>
            <w:rFonts w:ascii="Cambria Math" w:hAnsi="Cambria Math"/>
          </w:rPr>
          <m:t>=</m:t>
        </m:r>
        <m:f>
          <m:fPr>
            <m:ctrlPr>
              <w:rPr>
                <w:rFonts w:ascii="Cambria Math" w:hAnsi="Cambria Math"/>
                <w:i/>
              </w:rPr>
            </m:ctrlPr>
          </m:fPr>
          <m:num>
            <m:r>
              <w:rPr>
                <w:rFonts w:ascii="Cambria Math" w:hAnsi="Cambria Math"/>
              </w:rPr>
              <m:t>shrub volume</m:t>
            </m:r>
          </m:num>
          <m:den>
            <m:r>
              <w:rPr>
                <w:rFonts w:ascii="Cambria Math" w:hAnsi="Cambria Math"/>
              </w:rPr>
              <m:t>distance to soil core</m:t>
            </m:r>
          </m:den>
        </m:f>
      </m:oMath>
      <w:r w:rsidR="00223F7A" w:rsidRPr="009867C1">
        <w:t>.</w:t>
      </w:r>
    </w:p>
    <w:p w14:paraId="513903DD" w14:textId="6501478C" w:rsidR="00223F7A" w:rsidRPr="009867C1" w:rsidRDefault="00223F7A" w:rsidP="00223F7A">
      <w:r w:rsidRPr="009867C1">
        <w:t xml:space="preserve">Similarly, every tree with dbh &gt; 1 cm in the 5 m radius plot was recorded. Tree species identity, circumference, distance and </w:t>
      </w:r>
      <w:r w:rsidR="000A6507">
        <w:t>azimuth</w:t>
      </w:r>
      <w:r w:rsidRPr="009867C1">
        <w:t xml:space="preserve"> from the core w</w:t>
      </w:r>
      <w:r w:rsidR="000A6507">
        <w:t>ere</w:t>
      </w:r>
      <w:r w:rsidRPr="009867C1">
        <w:t xml:space="preserve"> measured. To estimate the effect of each tree on the soil core, a “tree influence index” was calculated as: </w:t>
      </w:r>
    </w:p>
    <w:p w14:paraId="13560A42" w14:textId="77777777" w:rsidR="00223F7A" w:rsidRPr="009867C1" w:rsidRDefault="00557CA9" w:rsidP="00223F7A">
      <w:pPr>
        <w:ind w:firstLine="720"/>
        <w:jc w:val="center"/>
      </w:pPr>
      <m:oMath>
        <m:sSub>
          <m:sSubPr>
            <m:ctrlPr>
              <w:rPr>
                <w:rFonts w:ascii="Cambria Math" w:hAnsi="Cambria Math"/>
                <w:i/>
              </w:rPr>
            </m:ctrlPr>
          </m:sSubPr>
          <m:e>
            <m:r>
              <w:rPr>
                <w:rFonts w:ascii="Cambria Math" w:hAnsi="Cambria Math"/>
              </w:rPr>
              <m:t>i</m:t>
            </m:r>
          </m:e>
          <m:sub>
            <m:r>
              <w:rPr>
                <w:rFonts w:ascii="Cambria Math" w:hAnsi="Cambria Math"/>
              </w:rPr>
              <m:t>tree</m:t>
            </m:r>
          </m:sub>
        </m:sSub>
        <m:r>
          <w:rPr>
            <w:rFonts w:ascii="Cambria Math" w:hAnsi="Cambria Math"/>
          </w:rPr>
          <m:t>=</m:t>
        </m:r>
        <m:f>
          <m:fPr>
            <m:ctrlPr>
              <w:rPr>
                <w:rFonts w:ascii="Cambria Math" w:hAnsi="Cambria Math"/>
                <w:i/>
              </w:rPr>
            </m:ctrlPr>
          </m:fPr>
          <m:num>
            <m:r>
              <w:rPr>
                <w:rFonts w:ascii="Cambria Math" w:hAnsi="Cambria Math"/>
              </w:rPr>
              <m:t>circumference</m:t>
            </m:r>
          </m:num>
          <m:den>
            <m:r>
              <w:rPr>
                <w:rFonts w:ascii="Cambria Math" w:hAnsi="Cambria Math"/>
              </w:rPr>
              <m:t>distance to soil core</m:t>
            </m:r>
          </m:den>
        </m:f>
        <m:r>
          <w:rPr>
            <w:rFonts w:ascii="Cambria Math" w:hAnsi="Cambria Math"/>
          </w:rPr>
          <m:t xml:space="preserve"> </m:t>
        </m:r>
      </m:oMath>
      <w:r w:rsidR="00223F7A" w:rsidRPr="009867C1">
        <w:t>.</w:t>
      </w:r>
    </w:p>
    <w:p w14:paraId="66D438B3" w14:textId="77777777" w:rsidR="00223F7A" w:rsidRPr="009867C1" w:rsidRDefault="00223F7A" w:rsidP="00223F7A">
      <w:r w:rsidRPr="009867C1">
        <w:t xml:space="preserve">For each tree and shrub species </w:t>
      </w:r>
      <w:r w:rsidRPr="009867C1">
        <w:rPr>
          <w:i/>
        </w:rPr>
        <w:t>j</w:t>
      </w:r>
      <w:r w:rsidRPr="009867C1">
        <w:t xml:space="preserve"> the influence indices of all individuals at each plot were summed, giving an estimate of the aggregate effect of species </w:t>
      </w:r>
      <w:r w:rsidRPr="009867C1">
        <w:rPr>
          <w:i/>
        </w:rPr>
        <w:t>j</w:t>
      </w:r>
      <w:r w:rsidRPr="009867C1">
        <w:t xml:space="preserve"> on each soil core.   </w:t>
      </w:r>
    </w:p>
    <w:p w14:paraId="76902A1A" w14:textId="7207250C" w:rsidR="00223F7A" w:rsidRPr="009867C1" w:rsidRDefault="00223F7A" w:rsidP="00223F7A">
      <w:pPr>
        <w:ind w:firstLine="720"/>
        <w:rPr>
          <w:lang w:val="en-CA"/>
        </w:rPr>
      </w:pPr>
      <w:r w:rsidRPr="009867C1">
        <w:rPr>
          <w:lang w:val="en-CA"/>
        </w:rPr>
        <w:t>Dimensionality of these four vegetation indices (mosses, herbs, shrubs and trees) were reduced via principal component analysis (PCA) for downstream use as explanatory</w:t>
      </w:r>
      <w:r w:rsidR="0078516B">
        <w:rPr>
          <w:lang w:val="en-CA"/>
        </w:rPr>
        <w:t xml:space="preserve"> variables</w:t>
      </w:r>
      <w:r w:rsidRPr="009867C1">
        <w:rPr>
          <w:lang w:val="en-CA"/>
        </w:rPr>
        <w:t>. In each vegetation PCA, the variation explained and major loading for the first princip</w:t>
      </w:r>
      <w:r w:rsidR="00A459C6">
        <w:rPr>
          <w:lang w:val="en-CA"/>
        </w:rPr>
        <w:t>al</w:t>
      </w:r>
      <w:r w:rsidRPr="009867C1">
        <w:rPr>
          <w:lang w:val="en-CA"/>
        </w:rPr>
        <w:t xml:space="preserve"> axis was: moss (36% of variation explained; positive direction - lanky moss); herbs (35%; positive – salal, deer fern; negative – false lily of the valley, spiny wood fern); shrubs (34%; positive – salal; negative – false azalea, </w:t>
      </w:r>
      <w:r w:rsidRPr="00A459C6">
        <w:rPr>
          <w:i/>
          <w:iCs/>
          <w:lang w:val="en-CA"/>
        </w:rPr>
        <w:t>Vaccinium</w:t>
      </w:r>
      <w:r w:rsidRPr="009867C1">
        <w:rPr>
          <w:lang w:val="en-CA"/>
        </w:rPr>
        <w:t>); trees (39% of variation; negative – cedar) (</w:t>
      </w:r>
      <w:r w:rsidRPr="000A6507">
        <w:rPr>
          <w:lang w:val="en-CA"/>
        </w:rPr>
        <w:t>Appendix C</w:t>
      </w:r>
      <w:r w:rsidRPr="009867C1">
        <w:rPr>
          <w:lang w:val="en-CA"/>
        </w:rPr>
        <w:t>).</w:t>
      </w:r>
    </w:p>
    <w:p w14:paraId="13AC2A0C" w14:textId="77777777" w:rsidR="00223F7A" w:rsidRPr="009867C1" w:rsidRDefault="00223F7A" w:rsidP="00223F7A">
      <w:pPr>
        <w:rPr>
          <w:b/>
        </w:rPr>
      </w:pPr>
      <w:r w:rsidRPr="009867C1">
        <w:rPr>
          <w:b/>
        </w:rPr>
        <w:t>Soil analyses</w:t>
      </w:r>
    </w:p>
    <w:p w14:paraId="4ED5D8EA" w14:textId="1DD75BC7" w:rsidR="00223F7A" w:rsidRPr="009867C1" w:rsidRDefault="00223F7A" w:rsidP="00D964A8">
      <w:r w:rsidRPr="009867C1">
        <w:t xml:space="preserve">Soil chemical analyses were carried out by the British Columbia Ministry of Environment &amp; Climate Change Strategy Analytical Laboratory in Victoria, British Columbia, Canada. Total C, N, and S were volatilized via combustion and analyzed using a Thermo Flash 2000 elemental analyzer. Nitrate and ammonium were extracted with a 2N KCl extraction </w:t>
      </w:r>
      <w:r w:rsidRPr="009867C1">
        <w:fldChar w:fldCharType="begin"/>
      </w:r>
      <w:r w:rsidR="00AC0205">
        <w:instrText xml:space="preserve"> ADDIN ZOTERO_ITEM CSL_CITATION {"citationID":"WArdF7rN","properties":{"formattedCitation":"(Carter &amp; Gregorich, 2007)","plainCitation":"(Carter &amp; Gregorich, 2007)","noteIndex":0},"citationItems":[{"id":139,"uris":["http://zotero.org/users/2189142/items/W6QEWHN7"],"itemData":{"id":139,"type":"book","edition":"2 edition","language":"English","number-of-pages":"1264","publisher":"CRC Press","source":"Amazon","title":"Soil Sampling and Methods of Analysis","editor":[{"family":"Carter","given":"M. R."},{"family":"Gregorich","given":"E. G."}],"issued":{"date-parts":[["2007",8,3]]},"citation-key":"carter_2007a"}}],"schema":"https://github.com/citation-style-language/schema/raw/master/csl-citation.json"} </w:instrText>
      </w:r>
      <w:r w:rsidRPr="009867C1">
        <w:fldChar w:fldCharType="separate"/>
      </w:r>
      <w:r w:rsidR="0042141C" w:rsidRPr="009867C1">
        <w:t>(Carter &amp; Gregorich, 2007)</w:t>
      </w:r>
      <w:r w:rsidRPr="009867C1">
        <w:fldChar w:fldCharType="end"/>
      </w:r>
      <w:r w:rsidRPr="009867C1">
        <w:t xml:space="preserve"> and analyzed using an Astoria Pacific A2 auto-analyzer. Loss on ignition (LOI) was calculated via complete combustion in an ashing furnace and measured using an analytical balance, and pH using an ion meter and a 1:1 dilution with distilled water. Ergosterol was extracted using an EtOH protocol and analyzed using a Waters 2690 HPLC </w:t>
      </w:r>
      <w:r w:rsidRPr="009867C1">
        <w:fldChar w:fldCharType="begin"/>
      </w:r>
      <w:r w:rsidR="00AC0205">
        <w:instrText xml:space="preserve"> ADDIN ZOTERO_ITEM CSL_CITATION {"citationID":"hSp0aPKx","properties":{"formattedCitation":"(F. Martin et al., 1990)","plainCitation":"(F. Martin et al., 1990)","noteIndex":0},"citationItems":[{"id":138,"uris":["http://zotero.org/users/2189142/items/TF8UR3C2"],"itemData":{"id":138,"type":"article-journal","abstract":"A simplified procedure for estimating fungal ergosterol from small numbers of ectomycorrhizas is described. Efficient extraction of free ergosterol is achieved with ethanol and ergosterol is then quantified by reversed-phase high performance liquid chromatography. This procedure is suitable for estimating ergosterol levels from many fungal isolates. The procedure has been scaled down allowing fungal infection to be measured in a few ectomycorrhizas. The assay is more sensitive, rapid, and convenient than chitin assay in measuring ectomycorrhizal fungus biomass. The development of symbiotic tissues and extent of fungal colonization in Eucalyptus globulus-Pisolithus tinctorius ectomycorrhizas measured by an ergosterol assay was compared to chitin assay. Ergosterol assay was more sensitive in measuring early growth of the fungal partner.","container-title":"Mycological Research","DOI":"10.1016/S0953-7562(09)81333-6","ISSN":"0953-7562","issue":"8","journalAbbreviation":"Mycological Research","language":"en","page":"1059-1064","source":"ScienceDirect","title":"An improved ergosterol assay to estimate fungal biomass in ectomycorrhizas","volume":"94","author":[{"family":"Martin","given":"F."},{"family":"Delaruelle","given":"C."},{"family":"Hilbert","given":"J. -L."}],"issued":{"date-parts":[["1990",12,1]]},"citation-key":"martin_1990"}}],"schema":"https://github.com/citation-style-language/schema/raw/master/csl-citation.json"} </w:instrText>
      </w:r>
      <w:r w:rsidRPr="009867C1">
        <w:fldChar w:fldCharType="separate"/>
      </w:r>
      <w:r w:rsidR="0042141C" w:rsidRPr="009867C1">
        <w:t>(F. Martin et al., 1990)</w:t>
      </w:r>
      <w:r w:rsidRPr="009867C1">
        <w:fldChar w:fldCharType="end"/>
      </w:r>
      <w:r w:rsidRPr="009867C1">
        <w:t xml:space="preserve">. All other elements were extracted using a 0.1N Barium Chloride Extraction </w:t>
      </w:r>
      <w:r w:rsidRPr="009867C1">
        <w:fldChar w:fldCharType="begin"/>
      </w:r>
      <w:r w:rsidR="00AC0205">
        <w:instrText xml:space="preserve"> ADDIN ZOTERO_ITEM CSL_CITATION {"citationID":"kuLyu6oG","properties":{"formattedCitation":"(Hendershot &amp; Duquette, 1986)","plainCitation":"(Hendershot &amp; Duquette, 1986)","noteIndex":0},"citationItems":[{"id":1639,"uris":["http://zotero.org/users/2189142/items/ZK5T7577"],"itemData":{"id":1639,"type":"article-journal","container-title":"Soil Science Society of America Journal","DOI":"10.2136/sssaj1986.03615995005000030013x","ISSN":"0361-5995","issue":"3","language":"en","page":"605-608","source":"dl.sciencesocieties.org","title":"A Simple Barium Chloride Method for Determining Cation Exchange Capacity and Exchangeable Cations 1","volume":"50","author":[{"family":"Hendershot","given":"William H."},{"family":"Duquette","given":"Martin"}],"issued":{"date-parts":[["1986"]],"season":"6/01"},"citation-key":"hendershot_1986"}}],"schema":"https://github.com/citation-style-language/schema/raw/master/csl-citation.json"} </w:instrText>
      </w:r>
      <w:r w:rsidRPr="009867C1">
        <w:fldChar w:fldCharType="separate"/>
      </w:r>
      <w:r w:rsidR="0042141C" w:rsidRPr="009867C1">
        <w:t>(Hendershot &amp; Duquette, 1986)</w:t>
      </w:r>
      <w:r w:rsidRPr="009867C1">
        <w:fldChar w:fldCharType="end"/>
      </w:r>
      <w:r w:rsidRPr="009867C1">
        <w:t xml:space="preserve"> and/or a Mehlich III extraction </w:t>
      </w:r>
      <w:r w:rsidRPr="009867C1">
        <w:fldChar w:fldCharType="begin"/>
      </w:r>
      <w:r w:rsidR="00AC0205">
        <w:instrText xml:space="preserve"> ADDIN ZOTERO_ITEM CSL_CITATION {"citationID":"yQNWkQQz","properties":{"formattedCitation":"(Mehlich, 1984)","plainCitation":"(Mehlich, 1984)","noteIndex":0},"citationItems":[{"id":1641,"uris":["http://zotero.org/users/2189142/items/NH4ECVCB"],"itemData":{"id":1641,"type":"article-journal","abstract":"The objectives of this study were to modify the Mehlich 2 (M2) extractant to include Cu among the extractable nutrients, retain or enhance the wide range of soils for which it is suitable and minimize it's corrosive properties. The substitution of nitrate for chloride anions and the addition of EDTA accomplished those objectives. The new extracting solution, already designated Mehlich 3 (M3) is composed of 0.2N CH3COOH‐0.25N NH4N03‐0.015NNH4F‐0.013NHN03‐0.001M EDTA. Extractions from 105 soils using M3, M2, Bray 1 (Bl) and Ammonium Acetate (AA) were compared to evaluate the new extractant. The quantity of F extracted by M3 exceeded that by M2 20% and that by Bl 4% but the results from all extractions were highly correlated. Extractions of both K and Mg by M3 were 6–8% higher than those by AA and 3–4% higher than those by M2, but, again, there was high correlation among methods. Addition of EDTA increased Cu extractions by 170%, Mn by 50% and Zn by 25%. Cu extractions by M3 correlated with those from the Mehlich‐Bowling method. High correlations between Mn, as well as Zn, extracted by M3 and M2 were shown.","container-title":"Communications in Soil Science and Plant Analysis","DOI":"10.1080/00103628409367568","ISSN":"0010-3624","issue":"12","page":"1409-1416","source":"Taylor and Francis+NEJM","title":"Mehlich 3 soil test extractant: A modification of Mehlich 2 extractant","title-short":"Mehlich 3 soil test extractant","volume":"15","author":[{"family":"Mehlich","given":"A."}],"issued":{"date-parts":[["1984",12,1]]},"citation-key":"mehlich_1984"}}],"schema":"https://github.com/citation-style-language/schema/raw/master/csl-citation.json"} </w:instrText>
      </w:r>
      <w:r w:rsidRPr="009867C1">
        <w:fldChar w:fldCharType="separate"/>
      </w:r>
      <w:r w:rsidR="0042141C" w:rsidRPr="009867C1">
        <w:t>(Mehlich, 1984)</w:t>
      </w:r>
      <w:r w:rsidRPr="009867C1">
        <w:fldChar w:fldCharType="end"/>
      </w:r>
      <w:r w:rsidRPr="009867C1">
        <w:t xml:space="preserve"> and analyzed with a Teledyne Leeman Prodigy ICP-OES. </w:t>
      </w:r>
      <w:r w:rsidR="004E619B">
        <w:t>Soil tests, units, and methods are summarized in</w:t>
      </w:r>
      <w:r w:rsidR="00D964A8">
        <w:t xml:space="preserve"> </w:t>
      </w:r>
      <w:r w:rsidR="00D964A8">
        <w:fldChar w:fldCharType="begin"/>
      </w:r>
      <w:r w:rsidR="00D964A8">
        <w:instrText xml:space="preserve"> REF _Ref101783379 \h </w:instrText>
      </w:r>
      <w:r w:rsidR="00D964A8">
        <w:fldChar w:fldCharType="separate"/>
      </w:r>
      <w:r w:rsidR="000667DB">
        <w:t xml:space="preserve">Table </w:t>
      </w:r>
      <w:r w:rsidR="000667DB">
        <w:rPr>
          <w:noProof/>
        </w:rPr>
        <w:t>2</w:t>
      </w:r>
      <w:r w:rsidR="000667DB">
        <w:noBreakHyphen/>
      </w:r>
      <w:r w:rsidR="000667DB">
        <w:rPr>
          <w:noProof/>
        </w:rPr>
        <w:t>2</w:t>
      </w:r>
      <w:r w:rsidR="00D964A8">
        <w:fldChar w:fldCharType="end"/>
      </w:r>
      <w:r w:rsidR="004E619B">
        <w:t>.</w:t>
      </w:r>
    </w:p>
    <w:p w14:paraId="7CEF5894" w14:textId="77777777" w:rsidR="00223F7A" w:rsidRPr="009867C1" w:rsidRDefault="00223F7A" w:rsidP="00223F7A">
      <w:pPr>
        <w:rPr>
          <w:lang w:val="en-CA"/>
        </w:rPr>
      </w:pPr>
    </w:p>
    <w:p w14:paraId="0526223A" w14:textId="77777777" w:rsidR="00223F7A" w:rsidRPr="009867C1" w:rsidRDefault="00223F7A" w:rsidP="00223F7A">
      <w:pPr>
        <w:rPr>
          <w:b/>
          <w:lang w:val="en-CA"/>
        </w:rPr>
      </w:pPr>
      <w:r w:rsidRPr="009867C1">
        <w:rPr>
          <w:b/>
          <w:lang w:val="en-CA"/>
        </w:rPr>
        <w:t>Salmon density data</w:t>
      </w:r>
    </w:p>
    <w:p w14:paraId="22FBB34F" w14:textId="24F2C6AB" w:rsidR="00223F7A" w:rsidRPr="009867C1" w:rsidRDefault="00223F7A" w:rsidP="0078516B">
      <w:pPr>
        <w:ind w:firstLine="720"/>
        <w:rPr>
          <w:lang w:val="en-CA"/>
        </w:rPr>
      </w:pPr>
      <w:r w:rsidRPr="009867C1">
        <w:rPr>
          <w:lang w:val="en-CA"/>
        </w:rPr>
        <w:t>Annual fish</w:t>
      </w:r>
      <w:r w:rsidR="009273B5">
        <w:rPr>
          <w:lang w:val="en-CA"/>
        </w:rPr>
        <w:t xml:space="preserve"> count</w:t>
      </w:r>
      <w:r w:rsidRPr="009867C1">
        <w:rPr>
          <w:lang w:val="en-CA"/>
        </w:rPr>
        <w:t xml:space="preserve"> data were contributed by the Reynolds lab at Simon Fraser University, Department of Fisheries and Oceans, and the Heiltsuk First Nation. Detailed description of these data </w:t>
      </w:r>
      <w:r w:rsidR="009273B5">
        <w:rPr>
          <w:lang w:val="en-CA"/>
        </w:rPr>
        <w:t>are</w:t>
      </w:r>
      <w:r w:rsidRPr="009867C1">
        <w:rPr>
          <w:lang w:val="en-CA"/>
        </w:rPr>
        <w:t xml:space="preserve"> found in </w:t>
      </w:r>
      <w:r w:rsidRPr="009273B5">
        <w:rPr>
          <w:lang w:val="en-CA"/>
        </w:rPr>
        <w:t>Appendix B</w:t>
      </w:r>
      <w:r w:rsidRPr="009867C1">
        <w:rPr>
          <w:lang w:val="en-CA"/>
        </w:rPr>
        <w:t xml:space="preserve">. </w:t>
      </w:r>
      <w:r w:rsidR="009273B5">
        <w:rPr>
          <w:lang w:val="en-CA"/>
        </w:rPr>
        <w:t>S</w:t>
      </w:r>
      <w:r w:rsidRPr="009867C1">
        <w:rPr>
          <w:lang w:val="en-CA"/>
        </w:rPr>
        <w:t xml:space="preserve">almon biomass for year </w:t>
      </w:r>
      <w:r w:rsidRPr="009867C1">
        <w:rPr>
          <w:i/>
          <w:lang w:val="en-CA"/>
        </w:rPr>
        <w:t>t</w:t>
      </w:r>
      <w:r w:rsidRPr="009867C1">
        <w:rPr>
          <w:lang w:val="en-CA"/>
        </w:rPr>
        <w:t xml:space="preserve"> at site </w:t>
      </w:r>
      <w:r w:rsidRPr="009867C1">
        <w:rPr>
          <w:i/>
          <w:lang w:val="en-CA"/>
        </w:rPr>
        <w:t>j</w:t>
      </w:r>
      <w:r w:rsidRPr="009867C1">
        <w:rPr>
          <w:lang w:val="en-CA"/>
        </w:rPr>
        <w:t xml:space="preserve"> was calculated by multiplying annual salmon escapement estimates of site </w:t>
      </w:r>
      <w:r w:rsidRPr="009867C1">
        <w:rPr>
          <w:i/>
          <w:lang w:val="en-CA"/>
        </w:rPr>
        <w:t>j</w:t>
      </w:r>
      <w:r w:rsidRPr="009867C1">
        <w:rPr>
          <w:lang w:val="en-CA"/>
        </w:rPr>
        <w:t xml:space="preserve"> by the average biomass of the corresponding species </w:t>
      </w:r>
      <w:r w:rsidRPr="009867C1">
        <w:rPr>
          <w:i/>
          <w:lang w:val="en-CA"/>
        </w:rPr>
        <w:t>i</w:t>
      </w:r>
      <w:r w:rsidRPr="009867C1">
        <w:rPr>
          <w:lang w:val="en-CA"/>
        </w:rPr>
        <w:t xml:space="preserve"> at spawning time </w:t>
      </w:r>
      <m:oMath>
        <m:r>
          <w:rPr>
            <w:rFonts w:ascii="Cambria Math" w:hAnsi="Cambria Math"/>
            <w:lang w:val="en-CA"/>
          </w:rPr>
          <m:t>(</m:t>
        </m:r>
        <m:sSub>
          <m:sSubPr>
            <m:ctrlPr>
              <w:rPr>
                <w:rFonts w:ascii="Cambria Math" w:hAnsi="Cambria Math"/>
                <w:i/>
                <w:lang w:val="en-CA"/>
              </w:rPr>
            </m:ctrlPr>
          </m:sSubPr>
          <m:e>
            <m:r>
              <w:rPr>
                <w:rFonts w:ascii="Cambria Math" w:hAnsi="Cambria Math"/>
                <w:lang w:val="en-CA"/>
              </w:rPr>
              <m:t>estimated biomass</m:t>
            </m:r>
          </m:e>
          <m:sub>
            <m:r>
              <w:rPr>
                <w:rFonts w:ascii="Cambria Math" w:hAnsi="Cambria Math"/>
                <w:lang w:val="en-CA"/>
              </w:rPr>
              <m:t>tj</m:t>
            </m:r>
          </m:sub>
        </m:sSub>
        <m:r>
          <w:rPr>
            <w:rFonts w:ascii="Cambria Math" w:hAnsi="Cambria Math"/>
            <w:lang w:val="en-CA"/>
          </w:rPr>
          <m:t>=</m:t>
        </m:r>
        <m:nary>
          <m:naryPr>
            <m:chr m:val="∑"/>
            <m:limLoc m:val="undOvr"/>
            <m:ctrlPr>
              <w:rPr>
                <w:rFonts w:ascii="Cambria Math" w:hAnsi="Cambria Math"/>
                <w:i/>
                <w:lang w:val="en-CA"/>
              </w:rPr>
            </m:ctrlPr>
          </m:naryPr>
          <m:sub>
            <m:r>
              <w:rPr>
                <w:rFonts w:ascii="Cambria Math" w:hAnsi="Cambria Math"/>
                <w:lang w:val="en-CA"/>
              </w:rPr>
              <m:t>i=1</m:t>
            </m:r>
          </m:sub>
          <m:sup>
            <m:r>
              <w:rPr>
                <w:rFonts w:ascii="Cambria Math" w:hAnsi="Cambria Math"/>
                <w:lang w:val="en-CA"/>
              </w:rPr>
              <m:t>4</m:t>
            </m:r>
          </m:sup>
          <m:e>
            <m:sSub>
              <m:sSubPr>
                <m:ctrlPr>
                  <w:rPr>
                    <w:rFonts w:ascii="Cambria Math" w:hAnsi="Cambria Math"/>
                    <w:i/>
                    <w:lang w:val="en-CA"/>
                  </w:rPr>
                </m:ctrlPr>
              </m:sSubPr>
              <m:e>
                <m:r>
                  <w:rPr>
                    <w:rFonts w:ascii="Cambria Math" w:hAnsi="Cambria Math"/>
                    <w:lang w:val="en-CA"/>
                  </w:rPr>
                  <m:t>escapement</m:t>
                </m:r>
              </m:e>
              <m:sub>
                <m:r>
                  <w:rPr>
                    <w:rFonts w:ascii="Cambria Math" w:hAnsi="Cambria Math"/>
                    <w:lang w:val="en-CA"/>
                  </w:rPr>
                  <m:t>tji</m:t>
                </m:r>
              </m:sub>
            </m:sSub>
            <m:r>
              <w:rPr>
                <w:rFonts w:ascii="Cambria Math" w:hAnsi="Cambria Math"/>
                <w:lang w:val="en-CA"/>
              </w:rPr>
              <m:t>*</m:t>
            </m:r>
            <m:sSub>
              <m:sSubPr>
                <m:ctrlPr>
                  <w:rPr>
                    <w:rFonts w:ascii="Cambria Math" w:hAnsi="Cambria Math"/>
                    <w:i/>
                    <w:lang w:val="en-CA"/>
                  </w:rPr>
                </m:ctrlPr>
              </m:sSubPr>
              <m:e>
                <m:r>
                  <w:rPr>
                    <w:rFonts w:ascii="Cambria Math" w:hAnsi="Cambria Math"/>
                    <w:lang w:val="en-CA"/>
                  </w:rPr>
                  <m:t>average individual biomass at spawning</m:t>
                </m:r>
              </m:e>
              <m:sub>
                <m:r>
                  <w:rPr>
                    <w:rFonts w:ascii="Cambria Math" w:hAnsi="Cambria Math"/>
                    <w:lang w:val="en-CA"/>
                  </w:rPr>
                  <m:t xml:space="preserve"> i</m:t>
                </m:r>
              </m:sub>
            </m:sSub>
          </m:e>
        </m:nary>
      </m:oMath>
      <w:r w:rsidRPr="009867C1">
        <w:rPr>
          <w:lang w:val="en-CA"/>
        </w:rPr>
        <w:t>). Four salmon species are found in these study sites: Chum (</w:t>
      </w:r>
      <w:r w:rsidRPr="009867C1">
        <w:rPr>
          <w:i/>
        </w:rPr>
        <w:t>Oncorhynchus keta</w:t>
      </w:r>
      <w:r w:rsidRPr="009867C1">
        <w:t>)</w:t>
      </w:r>
      <w:r w:rsidRPr="009867C1">
        <w:rPr>
          <w:lang w:val="en-CA"/>
        </w:rPr>
        <w:t>, Pink (</w:t>
      </w:r>
      <w:r w:rsidRPr="009867C1">
        <w:rPr>
          <w:i/>
        </w:rPr>
        <w:t>O. gorbusha</w:t>
      </w:r>
      <w:r w:rsidRPr="009867C1">
        <w:t>)</w:t>
      </w:r>
      <w:r w:rsidRPr="009867C1">
        <w:rPr>
          <w:lang w:val="en-CA"/>
        </w:rPr>
        <w:t>, Coho (</w:t>
      </w:r>
      <w:r w:rsidRPr="009867C1">
        <w:rPr>
          <w:i/>
          <w:lang w:val="en-CA"/>
        </w:rPr>
        <w:t xml:space="preserve">O. </w:t>
      </w:r>
      <w:r w:rsidRPr="009867C1">
        <w:rPr>
          <w:i/>
        </w:rPr>
        <w:t>kisutch</w:t>
      </w:r>
      <w:r w:rsidRPr="009867C1">
        <w:t>)</w:t>
      </w:r>
      <w:r w:rsidRPr="009867C1">
        <w:rPr>
          <w:lang w:val="en-CA"/>
        </w:rPr>
        <w:t>, and Sockeye (</w:t>
      </w:r>
      <w:r w:rsidRPr="009867C1">
        <w:rPr>
          <w:i/>
          <w:lang w:val="en-CA"/>
        </w:rPr>
        <w:t>O. nerka</w:t>
      </w:r>
      <w:r w:rsidRPr="009867C1">
        <w:rPr>
          <w:lang w:val="en-CA"/>
        </w:rPr>
        <w:t xml:space="preserve">); biomass estimates at spawning for Chum and Pink were taken from previous values at these sites </w:t>
      </w:r>
      <w:r w:rsidRPr="009867C1">
        <w:rPr>
          <w:lang w:val="en-CA"/>
        </w:rPr>
        <w:fldChar w:fldCharType="begin"/>
      </w:r>
      <w:r w:rsidR="00AC0205">
        <w:rPr>
          <w:lang w:val="en-CA"/>
        </w:rPr>
        <w:instrText xml:space="preserve"> ADDIN ZOTERO_ITEM CSL_CITATION {"citationID":"9ovfvTj5","properties":{"formattedCitation":"(Hocking &amp; Reynolds, 2011)","plainCitation":"(Hocking &amp; Reynolds, 2011)","noteIndex":0},"citationItems":[{"id":550,"uris":["http://zotero.org/users/2189142/items/JR362H46"],"itemData":{"id":550,"type":"article-journal","abstract":"The study of natural gradients in nutrient subsidies between ecosystems allows for predictions of how changes in one system can affect biodiversity in another. We performed a large-scale empirical test of the role of Pacific salmon (Oncorhynchus spp.) in structuring riparian plant communities. A comparison of 50 watersheds in the remote Great Bear Rainforest of British Columbia’s central coast in Canada shows that salmon influence nutrient loading to plants, shifting plant communities toward nutrient-rich species, which in turn decreases plant diversity. These effects are mediated by interactions between salmon density and the physical characteristics of watersheds. Predicting how salmon affect terrestrial ecosystems is central to conservation plans that aim to better integrate ecosystem values into resource management.","container-title":"Science","DOI":"10.1126/science.1201079","ISSN":"0036-8075, 1095-9203","issue":"6024","journalAbbreviation":"Science","language":"en","note":"PMID: 21442794","page":"1609-1612","source":"www.sciencemag.org.ezproxy.library.ubc.ca","title":"Impacts of Salmon on Riparian Plant Diversity","volume":"331","author":[{"family":"Hocking","given":"Morgan D."},{"family":"Reynolds","given":"John D."}],"issued":{"date-parts":[["2011",3,25]]},"citation-key":"hocking_2011"}}],"schema":"https://github.com/citation-style-language/schema/raw/master/csl-citation.json"} </w:instrText>
      </w:r>
      <w:r w:rsidRPr="009867C1">
        <w:rPr>
          <w:lang w:val="en-CA"/>
        </w:rPr>
        <w:fldChar w:fldCharType="separate"/>
      </w:r>
      <w:r w:rsidR="0042141C" w:rsidRPr="009867C1">
        <w:t>(Hocking &amp; Reynolds, 2011)</w:t>
      </w:r>
      <w:r w:rsidRPr="009867C1">
        <w:rPr>
          <w:lang w:val="en-CA"/>
        </w:rPr>
        <w:fldChar w:fldCharType="end"/>
      </w:r>
      <w:r w:rsidRPr="009867C1">
        <w:rPr>
          <w:lang w:val="en-CA"/>
        </w:rPr>
        <w:t xml:space="preserve">, and Coho and Sockeye were taken from the literature </w:t>
      </w:r>
      <w:r w:rsidRPr="009867C1">
        <w:rPr>
          <w:lang w:val="en-CA"/>
        </w:rPr>
        <w:fldChar w:fldCharType="begin"/>
      </w:r>
      <w:r w:rsidR="00AC0205">
        <w:rPr>
          <w:lang w:val="en-CA"/>
        </w:rPr>
        <w:instrText xml:space="preserve"> ADDIN ZOTERO_ITEM CSL_CITATION {"citationID":"X3Tq6wJm","properties":{"formattedCitation":"(Shaul et al., 2007)","plainCitation":"(Shaul et al., 2007)","noteIndex":0},"citationItems":[{"id":2031,"uris":["http://zotero.org/users/2189142/items/3M2FI2NH"],"itemData":{"id":2031,"type":"article-journal","container-title":"North Pacific Anadromous Fish Commission Bulletin","page":"93–104","source":"Google Scholar","title":"Trends in abundance and size of coho salmon in the Pacific Rim","volume":"4","author":[{"family":"Shaul","given":"Leon"},{"family":"Weitkamp","given":"Laurie"},{"family":"Simpson","given":"Kent"},{"family":"Sawada","given":"Joel"}],"issued":{"date-parts":[["2007"]]},"citation-key":"shaul_2007"}}],"schema":"https://github.com/citation-style-language/schema/raw/master/csl-citation.json"} </w:instrText>
      </w:r>
      <w:r w:rsidRPr="009867C1">
        <w:rPr>
          <w:lang w:val="en-CA"/>
        </w:rPr>
        <w:fldChar w:fldCharType="separate"/>
      </w:r>
      <w:r w:rsidR="0042141C" w:rsidRPr="009867C1">
        <w:t>(Shaul et al., 2007)</w:t>
      </w:r>
      <w:r w:rsidRPr="009867C1">
        <w:rPr>
          <w:lang w:val="en-CA"/>
        </w:rPr>
        <w:fldChar w:fldCharType="end"/>
      </w:r>
      <w:r w:rsidRPr="009867C1">
        <w:rPr>
          <w:lang w:val="en-CA"/>
        </w:rPr>
        <w:t xml:space="preserve">. Chum and Pink accounted for the vast majority of salmon at the sites (&gt;95% of total biomass). Annual biomass measures for each stream </w:t>
      </w:r>
      <w:r w:rsidRPr="009867C1">
        <w:rPr>
          <w:i/>
          <w:lang w:val="en-CA"/>
        </w:rPr>
        <w:t>j</w:t>
      </w:r>
      <w:r w:rsidRPr="009867C1">
        <w:rPr>
          <w:lang w:val="en-CA"/>
        </w:rPr>
        <w:t xml:space="preserve"> were averaged over the last three years on record prior to sampling (2014-2016).  From these biomass estimates, density indices were calculated by dividing estimated biomass by the length of spawning reach of each watershed </w:t>
      </w:r>
      <m:oMath>
        <m:r>
          <w:rPr>
            <w:rFonts w:ascii="Cambria Math" w:hAnsi="Cambria Math"/>
            <w:lang w:val="en-CA"/>
          </w:rPr>
          <m:t>(density=</m:t>
        </m:r>
        <m:f>
          <m:fPr>
            <m:ctrlPr>
              <w:rPr>
                <w:rFonts w:ascii="Cambria Math" w:hAnsi="Cambria Math"/>
                <w:i/>
                <w:lang w:val="en-CA"/>
              </w:rPr>
            </m:ctrlPr>
          </m:fPr>
          <m:num>
            <m:r>
              <w:rPr>
                <w:rFonts w:ascii="Cambria Math" w:hAnsi="Cambria Math"/>
                <w:lang w:val="en-CA"/>
              </w:rPr>
              <m:t>estimated biomass</m:t>
            </m:r>
          </m:num>
          <m:den>
            <m:r>
              <w:rPr>
                <w:rFonts w:ascii="Cambria Math" w:hAnsi="Cambria Math"/>
                <w:lang w:val="en-CA"/>
              </w:rPr>
              <m:t>length of spawning reach</m:t>
            </m:r>
          </m:den>
        </m:f>
        <m:r>
          <w:rPr>
            <w:rFonts w:ascii="Cambria Math" w:hAnsi="Cambria Math"/>
            <w:lang w:val="en-CA"/>
          </w:rPr>
          <m:t xml:space="preserve"> )</m:t>
        </m:r>
      </m:oMath>
      <w:r w:rsidRPr="009867C1">
        <w:rPr>
          <w:lang w:val="en-CA"/>
        </w:rPr>
        <w:t xml:space="preserve"> and is henceforth referred to as “salmon density”. Its units are thus </w:t>
      </w:r>
      <m:oMath>
        <m:f>
          <m:fPr>
            <m:ctrlPr>
              <w:rPr>
                <w:rFonts w:ascii="Cambria Math" w:hAnsi="Cambria Math"/>
                <w:i/>
                <w:lang w:val="en-CA"/>
              </w:rPr>
            </m:ctrlPr>
          </m:fPr>
          <m:num>
            <m:r>
              <w:rPr>
                <w:rFonts w:ascii="Cambria Math" w:hAnsi="Cambria Math"/>
                <w:lang w:val="en-CA"/>
              </w:rPr>
              <m:t>(kg of salmon)</m:t>
            </m:r>
          </m:num>
          <m:den>
            <m:r>
              <w:rPr>
                <w:rFonts w:ascii="Cambria Math" w:hAnsi="Cambria Math"/>
                <w:lang w:val="en-CA"/>
              </w:rPr>
              <m:t xml:space="preserve">(m of stream reach)(year) </m:t>
            </m:r>
          </m:den>
        </m:f>
      </m:oMath>
      <w:r w:rsidRPr="009867C1">
        <w:rPr>
          <w:lang w:val="en-CA"/>
        </w:rPr>
        <w:t xml:space="preserve">. </w:t>
      </w:r>
    </w:p>
    <w:p w14:paraId="2D1AA5EE" w14:textId="77777777" w:rsidR="00223F7A" w:rsidRPr="009867C1" w:rsidRDefault="00223F7A" w:rsidP="00223F7A">
      <w:pPr>
        <w:rPr>
          <w:b/>
          <w:lang w:val="en-CA"/>
        </w:rPr>
      </w:pPr>
      <w:r w:rsidRPr="009867C1">
        <w:rPr>
          <w:b/>
          <w:lang w:val="en-CA"/>
        </w:rPr>
        <w:t>Data Analysis</w:t>
      </w:r>
    </w:p>
    <w:p w14:paraId="725C7932" w14:textId="4681E558" w:rsidR="00223F7A" w:rsidRPr="009867C1" w:rsidRDefault="009273B5" w:rsidP="00223F7A">
      <w:pPr>
        <w:ind w:firstLine="720"/>
        <w:rPr>
          <w:lang w:val="en-CA"/>
        </w:rPr>
      </w:pPr>
      <w:r>
        <w:rPr>
          <w:lang w:val="en-CA"/>
        </w:rPr>
        <w:t>Two</w:t>
      </w:r>
      <w:r w:rsidR="00223F7A" w:rsidRPr="009867C1">
        <w:rPr>
          <w:lang w:val="en-CA"/>
        </w:rPr>
        <w:t xml:space="preserve"> interconnected data sets</w:t>
      </w:r>
      <w:r>
        <w:rPr>
          <w:lang w:val="en-CA"/>
        </w:rPr>
        <w:t xml:space="preserve"> were analyzed</w:t>
      </w:r>
      <w:r w:rsidR="00223F7A" w:rsidRPr="009867C1">
        <w:rPr>
          <w:lang w:val="en-CA"/>
        </w:rPr>
        <w:t xml:space="preserve">: a regional gradient of salmon density at 23 sites (“regional gradient data”), and an above and below waterfalls comparison at four of these sites (“above/below waterfall data”). Regional gradient data was analyzed through three methodologies: a multivariate approach using canonical correspondence analysis (CCA); hypothesis testing using a generalized linear modelling approach; and an exploratory approach using random forest models on a wider set of explanatory variables. Above/below waterfall data was </w:t>
      </w:r>
      <w:r w:rsidR="003E78DE">
        <w:rPr>
          <w:lang w:val="en-CA"/>
        </w:rPr>
        <w:t xml:space="preserve">summed within watershed and </w:t>
      </w:r>
      <w:r w:rsidR="00223F7A" w:rsidRPr="009867C1">
        <w:rPr>
          <w:lang w:val="en-CA"/>
        </w:rPr>
        <w:t>analyzed using paired Wilcoxon tests</w:t>
      </w:r>
      <w:r>
        <w:rPr>
          <w:lang w:val="en-CA"/>
        </w:rPr>
        <w:t xml:space="preserve"> due to lack of normality and sensitivity of the mean to extreme values</w:t>
      </w:r>
      <w:r w:rsidR="00223F7A" w:rsidRPr="009867C1">
        <w:rPr>
          <w:lang w:val="en-CA"/>
        </w:rPr>
        <w:t xml:space="preserve">. All statistical analyses were performed in R </w:t>
      </w:r>
      <w:r w:rsidR="00223F7A" w:rsidRPr="009867C1">
        <w:rPr>
          <w:lang w:val="en-CA"/>
        </w:rPr>
        <w:fldChar w:fldCharType="begin"/>
      </w:r>
      <w:r w:rsidR="00AC0205">
        <w:rPr>
          <w:lang w:val="en-CA"/>
        </w:rPr>
        <w:instrText xml:space="preserve"> ADDIN ZOTERO_ITEM CSL_CITATION {"citationID":"Hhoxrzvp","properties":{"formattedCitation":"(R Core Team, 2019)","plainCitation":"(R Core Team, 2019)","noteIndex":0},"citationItems":[{"id":218,"uris":["http://zotero.org/users/2189142/items/ISZFK4WI"],"itemData":{"id":218,"type":"book","event-place":"Vienna, Austria","publisher":"R Foundation for Statistical Computing","publisher-place":"Vienna, Austria","title":"R: A language and environment for statistical computing","URL":"https://www.R-project.org/","author":[{"family":"R Core Team","given":""}],"issued":{"date-parts":[["2019"]]},"citation-key":"rcoreteam_2019"}}],"schema":"https://github.com/citation-style-language/schema/raw/master/csl-citation.json"} </w:instrText>
      </w:r>
      <w:r w:rsidR="00223F7A" w:rsidRPr="009867C1">
        <w:rPr>
          <w:lang w:val="en-CA"/>
        </w:rPr>
        <w:fldChar w:fldCharType="separate"/>
      </w:r>
      <w:r w:rsidR="0042141C" w:rsidRPr="009867C1">
        <w:t>(R Core Team, 2019)</w:t>
      </w:r>
      <w:r w:rsidR="00223F7A" w:rsidRPr="009867C1">
        <w:rPr>
          <w:lang w:val="en-CA"/>
        </w:rPr>
        <w:fldChar w:fldCharType="end"/>
      </w:r>
      <w:r w:rsidR="00223F7A" w:rsidRPr="009867C1">
        <w:rPr>
          <w:lang w:val="en-CA"/>
        </w:rPr>
        <w:t>.</w:t>
      </w:r>
    </w:p>
    <w:p w14:paraId="60A255EB" w14:textId="4197CBF6" w:rsidR="00223F7A" w:rsidRPr="009867C1" w:rsidRDefault="00223F7A" w:rsidP="00223F7A">
      <w:pPr>
        <w:ind w:firstLine="720"/>
        <w:rPr>
          <w:lang w:val="en-CA"/>
        </w:rPr>
      </w:pPr>
      <w:r w:rsidRPr="009867C1">
        <w:rPr>
          <w:lang w:val="en-CA"/>
        </w:rPr>
        <w:t xml:space="preserve"> Given we had strong a</w:t>
      </w:r>
      <w:r w:rsidR="002E2D56">
        <w:rPr>
          <w:lang w:val="en-CA"/>
        </w:rPr>
        <w:t>-</w:t>
      </w:r>
      <w:r w:rsidRPr="009867C1">
        <w:rPr>
          <w:lang w:val="en-CA"/>
        </w:rPr>
        <w:t>priori hypotheses (</w:t>
      </w:r>
      <w:r w:rsidRPr="009867C1">
        <w:rPr>
          <w:lang w:val="en-CA"/>
        </w:rPr>
        <w:fldChar w:fldCharType="begin"/>
      </w:r>
      <w:r w:rsidRPr="009867C1">
        <w:rPr>
          <w:lang w:val="en-CA"/>
        </w:rPr>
        <w:instrText xml:space="preserve"> REF _Ref73022722 \h </w:instrText>
      </w:r>
      <w:r w:rsidR="009867C1">
        <w:rPr>
          <w:lang w:val="en-CA"/>
        </w:rPr>
        <w:instrText xml:space="preserve"> \* MERGEFORMAT </w:instrText>
      </w:r>
      <w:r w:rsidRPr="009867C1">
        <w:rPr>
          <w:lang w:val="en-CA"/>
        </w:rPr>
      </w:r>
      <w:r w:rsidRPr="009867C1">
        <w:rPr>
          <w:lang w:val="en-CA"/>
        </w:rPr>
        <w:fldChar w:fldCharType="separate"/>
      </w:r>
      <w:r w:rsidR="000667DB" w:rsidRPr="009867C1">
        <w:t xml:space="preserve">Table </w:t>
      </w:r>
      <w:r w:rsidR="000667DB">
        <w:rPr>
          <w:noProof/>
        </w:rPr>
        <w:t>2</w:t>
      </w:r>
      <w:r w:rsidR="000667DB">
        <w:rPr>
          <w:noProof/>
        </w:rPr>
        <w:noBreakHyphen/>
        <w:t>1</w:t>
      </w:r>
      <w:r w:rsidRPr="009867C1">
        <w:rPr>
          <w:lang w:val="en-CA"/>
        </w:rPr>
        <w:fldChar w:fldCharType="end"/>
      </w:r>
      <w:r w:rsidRPr="009867C1">
        <w:rPr>
          <w:lang w:val="en-CA"/>
        </w:rPr>
        <w:t xml:space="preserve">), canonical correspondence analysis (CCA) </w:t>
      </w:r>
      <w:r w:rsidRPr="009867C1">
        <w:rPr>
          <w:lang w:val="en-CA"/>
        </w:rPr>
        <w:fldChar w:fldCharType="begin"/>
      </w:r>
      <w:r w:rsidR="00AC0205">
        <w:rPr>
          <w:lang w:val="en-CA"/>
        </w:rPr>
        <w:instrText xml:space="preserve"> ADDIN ZOTERO_ITEM CSL_CITATION {"citationID":"zOxKN6M8","properties":{"formattedCitation":"(Legendre &amp; Legendre, 2012)","plainCitation":"(Legendre &amp; Legendre, 2012)","noteIndex":0},"citationItems":[{"id":141,"uris":["http://zotero.org/users/2189142/items/TR22582P"],"itemData":{"id":141,"type":"book","abstract":"The book describes and discusses the numerical methods which are successfully being used for analysing ecological data, using a clear and comprehensive approach. These methods are derived from the fields of mathematical physics, parametric and nonparametric statistics, information theory, numerical taxonomy, archaeology, psychometry, sociometry, econometry and others.An updated, 3rd English edition of the most widely cited book on quantitative analysis of multivariate ecological dataRelates ecological questions to methods of statistical analysis, with a clear description of complex numerical methodsAll methods are illustrated by examples from the ecological literature so that ecologists clearly see how to use the methods and approaches in their own researchAll calculations are available in R language functions","edition":"3 edition","event-place":"Amsterdam","ISBN":"978-0-444-53868-0","language":"English","number-of-pages":"1006","publisher":"Elsevier","publisher-place":"Amsterdam","source":"Amazon","title":"Numerical Ecology","author":[{"family":"Legendre","given":"Pierre"},{"family":"Legendre","given":"Loic F. J."}],"issued":{"date-parts":[["2012",8,20]]},"citation-key":"legendre_2012"}}],"schema":"https://github.com/citation-style-language/schema/raw/master/csl-citation.json"} </w:instrText>
      </w:r>
      <w:r w:rsidRPr="009867C1">
        <w:rPr>
          <w:lang w:val="en-CA"/>
        </w:rPr>
        <w:fldChar w:fldCharType="separate"/>
      </w:r>
      <w:r w:rsidR="0042141C" w:rsidRPr="009867C1">
        <w:t>(Legendre &amp; Legendre, 2012)</w:t>
      </w:r>
      <w:r w:rsidRPr="009867C1">
        <w:rPr>
          <w:lang w:val="en-CA"/>
        </w:rPr>
        <w:fldChar w:fldCharType="end"/>
      </w:r>
      <w:r w:rsidRPr="009867C1">
        <w:rPr>
          <w:lang w:val="en-CA"/>
        </w:rPr>
        <w:t xml:space="preserve"> was appropriate to test </w:t>
      </w:r>
      <w:r w:rsidR="009273B5">
        <w:rPr>
          <w:lang w:val="en-CA"/>
        </w:rPr>
        <w:t>the relationships</w:t>
      </w:r>
      <w:r w:rsidRPr="009867C1">
        <w:rPr>
          <w:lang w:val="en-CA"/>
        </w:rPr>
        <w:t xml:space="preserve"> between explanatory variables and aggregate soil chemistry. All chemical variables were used (</w:t>
      </w:r>
      <w:r w:rsidRPr="009867C1">
        <w:rPr>
          <w:i/>
          <w:lang w:val="en-CA"/>
        </w:rPr>
        <w:t>k</w:t>
      </w:r>
      <w:r w:rsidRPr="009867C1">
        <w:rPr>
          <w:lang w:val="en-CA"/>
        </w:rPr>
        <w:t xml:space="preserve">=22) and the ordination was constrained by salmon density, soil type (2 levels: forest floor and organic), dominant tree species (4 levels: Sitka spruce, Amabilis fir, Western redcedar, and Western hemlock), and the first axes of each vegetation PCA. Chi-square distances were used and all variables were scaled to zero with unit variance. P-values represent the marginal effects of each term after all other effects are included in the model and calculated over 1000 permutations using pseudo-F statistics for comparison </w:t>
      </w:r>
      <w:r w:rsidRPr="009867C1">
        <w:rPr>
          <w:lang w:val="en-CA"/>
        </w:rPr>
        <w:fldChar w:fldCharType="begin"/>
      </w:r>
      <w:r w:rsidR="00AC0205">
        <w:rPr>
          <w:lang w:val="en-CA"/>
        </w:rPr>
        <w:instrText xml:space="preserve"> ADDIN ZOTERO_ITEM CSL_CITATION {"citationID":"ELiV8u7O","properties":{"formattedCitation":"(Legendre et al., 2011)","plainCitation":"(Legendre et al., 2011)","noteIndex":0},"citationItems":[{"id":143,"uris":["http://zotero.org/users/2189142/items/WUM5SCS6"],"itemData":{"id":143,"type":"article-journal","abstract":"1. Tests of significance of the individual canonical axes in redundancy analysis allow researchers to determine which of the axes represent variation that can be distinguished from random. Variation along the significant axes can be mapped, used to draw biplots or interpreted through subsequent analyses, whilst the nonsignificant axes may be dropped from further consideration. 2. Three methods have been implemented in computer programs to test the significance of the canonical axes; they are compared in this paper. The simultaneous test of all individual canonical axes, which is appealing because of its simplicity, produced incorrect (highly inflated) levels of type I error for the axes following those corresponding to true relationships in the data, so it is invalid. The ‘marginal’ testing method implemented in the ‘vegan’ R package and the ‘forward’ testing method implemented in the program CANOCO were found to have correct levels of type I error and comparable power. Permutation of the residuals achieved greater power than permutation of the raw data. 3. R functions found in a Supplement to this paper provide the first formal description of the ‘marginal’ and ‘forward’ testing methods.","container-title":"Methods in Ecology and Evolution","DOI":"10.1111/j.2041-210X.2010.00078.x","ISSN":"2041-210X","issue":"3","language":"en","note":"_eprint: https://besjournals.onlinelibrary.wiley.com/doi/pdf/10.1111/j.2041-210X.2010.00078.x","page":"269-277","source":"Wiley Online Library","title":"Testing the significance of canonical axes in redundancy analysis","volume":"2","author":[{"family":"Legendre","given":"Pierre"},{"family":"Oksanen","given":"Jari"},{"family":"Braak","given":"Cajo J. F.","dropping-particle":"ter"}],"issued":{"date-parts":[["2011"]]},"citation-key":"legendre_2011"}}],"schema":"https://github.com/citation-style-language/schema/raw/master/csl-citation.json"} </w:instrText>
      </w:r>
      <w:r w:rsidRPr="009867C1">
        <w:rPr>
          <w:lang w:val="en-CA"/>
        </w:rPr>
        <w:fldChar w:fldCharType="separate"/>
      </w:r>
      <w:r w:rsidR="0042141C" w:rsidRPr="009867C1">
        <w:t>(Legendre et al., 2011)</w:t>
      </w:r>
      <w:r w:rsidRPr="009867C1">
        <w:rPr>
          <w:lang w:val="en-CA"/>
        </w:rPr>
        <w:fldChar w:fldCharType="end"/>
      </w:r>
      <w:r w:rsidRPr="009867C1">
        <w:rPr>
          <w:lang w:val="en-CA"/>
        </w:rPr>
        <w:t xml:space="preserve">.  </w:t>
      </w:r>
    </w:p>
    <w:p w14:paraId="4EC701CB" w14:textId="2FF429B1" w:rsidR="00223F7A" w:rsidRPr="009867C1" w:rsidRDefault="00223F7A" w:rsidP="00223F7A">
      <w:pPr>
        <w:ind w:firstLine="720"/>
        <w:rPr>
          <w:lang w:val="en-CA"/>
        </w:rPr>
      </w:pPr>
      <w:r w:rsidRPr="009867C1">
        <w:rPr>
          <w:lang w:val="en-CA"/>
        </w:rPr>
        <w:t xml:space="preserve">A generalized linear model averaging approach was used for hypothesis testing </w:t>
      </w:r>
      <w:r w:rsidRPr="009867C1">
        <w:rPr>
          <w:lang w:val="en-CA"/>
        </w:rPr>
        <w:fldChar w:fldCharType="begin"/>
      </w:r>
      <w:r w:rsidR="00AC0205">
        <w:rPr>
          <w:lang w:val="en-CA"/>
        </w:rPr>
        <w:instrText xml:space="preserve"> ADDIN ZOTERO_ITEM CSL_CITATION {"citationID":"fsMkgiXT","properties":{"formattedCitation":"(Burnham &amp; Anderson, 2003)","plainCitation":"(Burnham &amp; Anderson, 2003)","noteIndex":0},"citationItems":[{"id":225,"uris":["http://zotero.org/users/2189142/items/QT8DGF7Z"],"itemData":{"id":225,"type":"book","abstract":"A unique and comprehensive text on the philosophy of model-based data analysis and strategy for the analysis of empirical data. The book introduces information theoretic approaches and focuses critical attention on a priori modeling and the selection of a good approximating model that best represents the inference supported by the data. It contains several new approaches to estimating model selection uncertainty and incorporating selection uncertainty into estimates of precision. An array of examples is given to illustrate various technical issues. The text has been written for biologists and statisticians using models for making inferences from empirical data.","edition":"2nd ed. 2002. Corr. 3rd printing 2003 edition","event-place":"New York","ISBN":"978-0-387-95364-9","language":"English","number-of-pages":"488","publisher":"Springer","publisher-place":"New York","source":"Amazon","title":"Model Selection and Multimodel Inference: A Practical Information-Theoretic Approach","title-short":"Model Selection and Multimodel Inference","author":[{"family":"Burnham","given":"Kenneth P."},{"family":"Anderson","given":"David R."}],"issued":{"date-parts":[["2003",12,4]]},"citation-key":"burnham_2003"}}],"schema":"https://github.com/citation-style-language/schema/raw/master/csl-citation.json"} </w:instrText>
      </w:r>
      <w:r w:rsidRPr="009867C1">
        <w:rPr>
          <w:lang w:val="en-CA"/>
        </w:rPr>
        <w:fldChar w:fldCharType="separate"/>
      </w:r>
      <w:r w:rsidR="0042141C" w:rsidRPr="009867C1">
        <w:t>(Burnham &amp; Anderson, 2003)</w:t>
      </w:r>
      <w:r w:rsidRPr="009867C1">
        <w:rPr>
          <w:lang w:val="en-CA"/>
        </w:rPr>
        <w:fldChar w:fldCharType="end"/>
      </w:r>
      <w:r w:rsidRPr="009867C1">
        <w:rPr>
          <w:lang w:val="en-CA"/>
        </w:rPr>
        <w:t xml:space="preserve">. Forest floors and organic soil were analyzed separately, and a separate model was built for every response variable </w:t>
      </w:r>
      <w:r w:rsidRPr="009867C1">
        <w:rPr>
          <w:i/>
          <w:lang w:val="en-CA"/>
        </w:rPr>
        <w:t>k</w:t>
      </w:r>
      <w:r w:rsidRPr="009867C1">
        <w:rPr>
          <w:lang w:val="en-CA"/>
        </w:rPr>
        <w:t>. Boron in organic soil was excluded as it had negligible concentrations. This resulted in</w:t>
      </w:r>
      <w:r w:rsidR="002E2D56">
        <w:rPr>
          <w:lang w:val="en-CA"/>
        </w:rPr>
        <w:t xml:space="preserve"> </w:t>
      </w:r>
      <m:oMath>
        <m:d>
          <m:dPr>
            <m:ctrlPr>
              <w:rPr>
                <w:rFonts w:ascii="Cambria Math" w:hAnsi="Cambria Math"/>
                <w:i/>
                <w:lang w:val="en-CA"/>
              </w:rPr>
            </m:ctrlPr>
          </m:dPr>
          <m:e>
            <m:r>
              <w:rPr>
                <w:rFonts w:ascii="Cambria Math" w:hAnsi="Cambria Math"/>
                <w:lang w:val="en-CA"/>
              </w:rPr>
              <m:t>2x22</m:t>
            </m:r>
          </m:e>
        </m:d>
        <m:r>
          <w:rPr>
            <w:rFonts w:ascii="Cambria Math" w:hAnsi="Cambria Math"/>
            <w:lang w:val="en-CA"/>
          </w:rPr>
          <m:t>-1=43</m:t>
        </m:r>
      </m:oMath>
      <w:r w:rsidRPr="009867C1">
        <w:rPr>
          <w:lang w:val="en-CA"/>
        </w:rPr>
        <w:t xml:space="preserve"> separate models. The full model equation was: </w:t>
      </w:r>
    </w:p>
    <w:p w14:paraId="439CB864" w14:textId="77777777" w:rsidR="00223F7A" w:rsidRPr="009867C1" w:rsidRDefault="00557CA9" w:rsidP="00223F7A">
      <w:pPr>
        <w:ind w:firstLine="720"/>
        <w:jc w:val="center"/>
        <w:rPr>
          <w:lang w:val="en-CA"/>
        </w:rPr>
      </w:pPr>
      <m:oMath>
        <m:sSub>
          <m:sSubPr>
            <m:ctrlPr>
              <w:rPr>
                <w:rFonts w:ascii="Cambria Math" w:hAnsi="Cambria Math"/>
                <w:i/>
                <w:lang w:val="en-CA"/>
              </w:rPr>
            </m:ctrlPr>
          </m:sSubPr>
          <m:e>
            <m:r>
              <w:rPr>
                <w:rFonts w:ascii="Cambria Math" w:hAnsi="Cambria Math"/>
                <w:lang w:val="en-CA"/>
              </w:rPr>
              <m:t>Response vaiable</m:t>
            </m:r>
          </m:e>
          <m:sub>
            <m:r>
              <w:rPr>
                <w:rFonts w:ascii="Cambria Math" w:hAnsi="Cambria Math"/>
                <w:lang w:val="en-CA"/>
              </w:rPr>
              <m:t>k</m:t>
            </m:r>
          </m:sub>
        </m:sSub>
        <m:r>
          <w:rPr>
            <w:rFonts w:ascii="Cambria Math" w:hAnsi="Cambria Math"/>
            <w:lang w:val="en-CA"/>
          </w:rPr>
          <m:t xml:space="preserve"> ~ salmon density+soil type+ dominant tree species+moss PCA1+</m:t>
        </m:r>
        <m:r>
          <w:rPr>
            <w:rFonts w:ascii="Cambria Math" w:hAnsi="Cambria Math"/>
            <w:lang w:val="en-CA"/>
          </w:rPr>
          <m:t>herb PCA1+shrub PCA1+tree PCA1</m:t>
        </m:r>
      </m:oMath>
      <w:r w:rsidR="00223F7A" w:rsidRPr="009867C1">
        <w:rPr>
          <w:lang w:val="en-CA"/>
        </w:rPr>
        <w:t>.</w:t>
      </w:r>
    </w:p>
    <w:p w14:paraId="6E5AA087" w14:textId="0A155762" w:rsidR="00223F7A" w:rsidRPr="009867C1" w:rsidRDefault="00223F7A" w:rsidP="00223F7A">
      <w:pPr>
        <w:rPr>
          <w:lang w:val="en-CA"/>
        </w:rPr>
      </w:pPr>
      <w:r w:rsidRPr="009867C1">
        <w:rPr>
          <w:lang w:val="en-CA"/>
        </w:rPr>
        <w:t xml:space="preserve">All explanatory variables associated with each response variable were tested for collinearity before modelling </w:t>
      </w:r>
      <w:r w:rsidRPr="009867C1">
        <w:rPr>
          <w:lang w:val="en-CA"/>
        </w:rPr>
        <w:fldChar w:fldCharType="begin"/>
      </w:r>
      <w:r w:rsidR="00AC0205">
        <w:rPr>
          <w:lang w:val="en-CA"/>
        </w:rPr>
        <w:instrText xml:space="preserve"> ADDIN ZOTERO_ITEM CSL_CITATION {"citationID":"Yno9LjD3","properties":{"formattedCitation":"(Cade, 2015)","plainCitation":"(Cade, 2015)","noteIndex":0},"citationItems":[{"id":1616,"uris":["http://zotero.org/users/2189142/items/2R4KYD36"],"itemData":{"id":1616,"type":"article-journal","abstract":"Three flawed practices associated with model averaging coefficients for predictor variables in regression models commonly occur when making multimodel inferences in analyses of ecological data. Model-averaged regression coefficients based on Akaike information criterion (AIC) weights have been recommended for addressing model uncertainty but they are not valid, interpretable estimates of partial effects for individual predictors when there is multicollinearity among the predictor variables. Multicollinearity implies that the scaling of units in the denominators of the regression coefficients may change across models such that neither the parameters nor their estimates have common scales, therefore averaging them makes no sense. The associated sums of AIC model weights recommended to assess relative importance of individual predictors are really a measure of relative importance of models, with little information about contributions by individual predictors compared to other measures of relative importance based on effects size or variance reduction. Sometimes the model-averaged regression coefficients for predictor variables are incorrectly used to make model-averaged predictions of the response variable when the models are not linear in the parameters. I demonstrate the issues with the first two practices using the college grade point average example extensively analyzed by Burnham and Anderson. I show how partial standard deviations of the predictor variables can be used to detect changing scales of their estimates with multicollinearity. Standardizing estimates based on partial standard deviations for their variables can be used to make the scaling of the estimates commensurate across models, a necessary but not sufficient condition for model averaging of the estimates to be sensible. A unimodal distribution of estimates and valid interpretation of individual parameters are additional requisite conditions. The standardized estimates or equivalently the t statistics on unstandardized estimates also can be used to provide more informative measures of relative importance than sums of AIC weights. Finally, I illustrate how seriously compromised statistical interpretations and predictions can be for all three of these flawed practices by critiquing their use in a recent species distribution modeling technique developed for predicting Greater Sage-Grouse (Centrocercus urophasianus) distribution in Colorado, USA. These model averaging issues are common in other ecological literature and ought to be discontinued if we are to make effective scientific contributions to ecological knowledge and conservation of natural resources.","container-title":"Ecology","DOI":"10.1890/14-1639.1","ISSN":"1939-9170","issue":"9","language":"en","page":"2370-2382","source":"Wiley Online Library","title":"Model averaging and muddled multimodel inferences","volume":"96","author":[{"family":"Cade","given":"Brian S."}],"issued":{"date-parts":[["2015"]]},"citation-key":"cade_2015"}}],"schema":"https://github.com/citation-style-language/schema/raw/master/csl-citation.json"} </w:instrText>
      </w:r>
      <w:r w:rsidRPr="009867C1">
        <w:rPr>
          <w:lang w:val="en-CA"/>
        </w:rPr>
        <w:fldChar w:fldCharType="separate"/>
      </w:r>
      <w:r w:rsidR="0042141C" w:rsidRPr="009867C1">
        <w:t>(Cade, 2015)</w:t>
      </w:r>
      <w:r w:rsidRPr="009867C1">
        <w:rPr>
          <w:lang w:val="en-CA"/>
        </w:rPr>
        <w:fldChar w:fldCharType="end"/>
      </w:r>
      <w:r w:rsidRPr="009867C1">
        <w:rPr>
          <w:lang w:val="en-CA"/>
        </w:rPr>
        <w:t xml:space="preserve"> and multicollinearity assessed via inspection of variance inflation factors (VIFs) with respect to the full model; multicollinearity between explanatory variables was minimal in all selected models (VIFs &lt; 2). All explanatory variables were scaled before model fitting. Model assumptions were visually assessed via diagnostic plots, and either Gaussian or Gamma distributions were used as the model family with either identity, inverse, or log-link link functions based on </w:t>
      </w:r>
      <w:r w:rsidR="00B607E9">
        <w:rPr>
          <w:lang w:val="en-CA"/>
        </w:rPr>
        <w:t xml:space="preserve">data range and </w:t>
      </w:r>
      <w:r w:rsidRPr="009867C1">
        <w:rPr>
          <w:lang w:val="en-CA"/>
        </w:rPr>
        <w:t>which best met model assumptions. Predictions from the global model were used to generate marginal predictions and confidence intervals visualized in scatterplots in</w:t>
      </w:r>
      <w:r w:rsidR="009273B5">
        <w:rPr>
          <w:lang w:val="en-CA"/>
        </w:rPr>
        <w:t xml:space="preserve"> </w:t>
      </w:r>
      <w:r w:rsidR="009273B5">
        <w:rPr>
          <w:lang w:val="en-CA"/>
        </w:rPr>
        <w:fldChar w:fldCharType="begin"/>
      </w:r>
      <w:r w:rsidR="009273B5">
        <w:rPr>
          <w:lang w:val="en-CA"/>
        </w:rPr>
        <w:instrText xml:space="preserve"> REF _Ref37603035 \h </w:instrText>
      </w:r>
      <w:r w:rsidR="009273B5">
        <w:rPr>
          <w:lang w:val="en-CA"/>
        </w:rPr>
      </w:r>
      <w:r w:rsidR="009273B5">
        <w:rPr>
          <w:lang w:val="en-CA"/>
        </w:rPr>
        <w:fldChar w:fldCharType="separate"/>
      </w:r>
      <w:r w:rsidR="000667DB" w:rsidRPr="009867C1">
        <w:t xml:space="preserve">Figure </w:t>
      </w:r>
      <w:r w:rsidR="000667DB">
        <w:rPr>
          <w:noProof/>
        </w:rPr>
        <w:t>2</w:t>
      </w:r>
      <w:r w:rsidR="000667DB">
        <w:noBreakHyphen/>
      </w:r>
      <w:r w:rsidR="000667DB">
        <w:rPr>
          <w:noProof/>
        </w:rPr>
        <w:t>2</w:t>
      </w:r>
      <w:r w:rsidR="009273B5">
        <w:rPr>
          <w:lang w:val="en-CA"/>
        </w:rPr>
        <w:fldChar w:fldCharType="end"/>
      </w:r>
      <w:r w:rsidR="009273B5">
        <w:rPr>
          <w:lang w:val="en-CA"/>
        </w:rPr>
        <w:t xml:space="preserve"> to </w:t>
      </w:r>
      <w:r w:rsidR="009273B5">
        <w:rPr>
          <w:lang w:val="en-CA"/>
        </w:rPr>
        <w:fldChar w:fldCharType="begin"/>
      </w:r>
      <w:r w:rsidR="009273B5">
        <w:rPr>
          <w:lang w:val="en-CA"/>
        </w:rPr>
        <w:instrText xml:space="preserve"> REF _Ref73042590 \h </w:instrText>
      </w:r>
      <w:r w:rsidR="009273B5">
        <w:rPr>
          <w:lang w:val="en-CA"/>
        </w:rPr>
      </w:r>
      <w:r w:rsidR="009273B5">
        <w:rPr>
          <w:lang w:val="en-CA"/>
        </w:rPr>
        <w:fldChar w:fldCharType="separate"/>
      </w:r>
      <w:r w:rsidR="000667DB" w:rsidRPr="009867C1">
        <w:t xml:space="preserve">Figure </w:t>
      </w:r>
      <w:r w:rsidR="000667DB">
        <w:rPr>
          <w:noProof/>
        </w:rPr>
        <w:t>2</w:t>
      </w:r>
      <w:r w:rsidR="000667DB">
        <w:noBreakHyphen/>
      </w:r>
      <w:r w:rsidR="000667DB">
        <w:rPr>
          <w:noProof/>
        </w:rPr>
        <w:t>6</w:t>
      </w:r>
      <w:r w:rsidR="009273B5">
        <w:rPr>
          <w:lang w:val="en-CA"/>
        </w:rPr>
        <w:fldChar w:fldCharType="end"/>
      </w:r>
      <w:r w:rsidRPr="009867C1">
        <w:rPr>
          <w:lang w:val="en-CA"/>
        </w:rPr>
        <w:t xml:space="preserve">. </w:t>
      </w:r>
    </w:p>
    <w:p w14:paraId="25CD50D5" w14:textId="634CC549" w:rsidR="00223F7A" w:rsidRPr="009867C1" w:rsidRDefault="00223F7A" w:rsidP="00223F7A">
      <w:pPr>
        <w:ind w:firstLine="720"/>
        <w:rPr>
          <w:lang w:val="en-CA"/>
        </w:rPr>
      </w:pPr>
      <w:r w:rsidRPr="009867C1">
        <w:rPr>
          <w:lang w:val="en-CA"/>
        </w:rPr>
        <w:t>To compare the relative importance of explanatory variables,</w:t>
      </w:r>
      <w:r w:rsidR="009273B5">
        <w:rPr>
          <w:lang w:val="en-CA"/>
        </w:rPr>
        <w:t xml:space="preserve"> model-averaged</w:t>
      </w:r>
      <w:r w:rsidRPr="009867C1">
        <w:rPr>
          <w:lang w:val="en-CA"/>
        </w:rPr>
        <w:t xml:space="preserve"> standardized coefficients and confidence intervals were</w:t>
      </w:r>
      <w:r w:rsidR="009273B5">
        <w:rPr>
          <w:lang w:val="en-CA"/>
        </w:rPr>
        <w:t xml:space="preserve"> calculated and</w:t>
      </w:r>
      <w:r w:rsidRPr="009867C1">
        <w:rPr>
          <w:lang w:val="en-CA"/>
        </w:rPr>
        <w:t xml:space="preserve"> visualized in forestplots </w:t>
      </w:r>
      <w:r w:rsidR="009273B5">
        <w:rPr>
          <w:lang w:val="en-CA"/>
        </w:rPr>
        <w:t xml:space="preserve">in </w:t>
      </w:r>
      <w:r w:rsidR="009273B5">
        <w:rPr>
          <w:lang w:val="en-CA"/>
        </w:rPr>
        <w:fldChar w:fldCharType="begin"/>
      </w:r>
      <w:r w:rsidR="009273B5">
        <w:rPr>
          <w:lang w:val="en-CA"/>
        </w:rPr>
        <w:instrText xml:space="preserve"> REF _Ref37603035 \h </w:instrText>
      </w:r>
      <w:r w:rsidR="009273B5">
        <w:rPr>
          <w:lang w:val="en-CA"/>
        </w:rPr>
      </w:r>
      <w:r w:rsidR="009273B5">
        <w:rPr>
          <w:lang w:val="en-CA"/>
        </w:rPr>
        <w:fldChar w:fldCharType="separate"/>
      </w:r>
      <w:r w:rsidR="000667DB" w:rsidRPr="009867C1">
        <w:t xml:space="preserve">Figure </w:t>
      </w:r>
      <w:r w:rsidR="000667DB">
        <w:rPr>
          <w:noProof/>
        </w:rPr>
        <w:t>2</w:t>
      </w:r>
      <w:r w:rsidR="000667DB">
        <w:noBreakHyphen/>
      </w:r>
      <w:r w:rsidR="000667DB">
        <w:rPr>
          <w:noProof/>
        </w:rPr>
        <w:t>2</w:t>
      </w:r>
      <w:r w:rsidR="009273B5">
        <w:rPr>
          <w:lang w:val="en-CA"/>
        </w:rPr>
        <w:fldChar w:fldCharType="end"/>
      </w:r>
      <w:r w:rsidR="009273B5">
        <w:rPr>
          <w:lang w:val="en-CA"/>
        </w:rPr>
        <w:t xml:space="preserve"> to </w:t>
      </w:r>
      <w:r w:rsidR="009273B5">
        <w:rPr>
          <w:lang w:val="en-CA"/>
        </w:rPr>
        <w:fldChar w:fldCharType="begin"/>
      </w:r>
      <w:r w:rsidR="009273B5">
        <w:rPr>
          <w:lang w:val="en-CA"/>
        </w:rPr>
        <w:instrText xml:space="preserve"> REF _Ref73042590 \h </w:instrText>
      </w:r>
      <w:r w:rsidR="009273B5">
        <w:rPr>
          <w:lang w:val="en-CA"/>
        </w:rPr>
      </w:r>
      <w:r w:rsidR="009273B5">
        <w:rPr>
          <w:lang w:val="en-CA"/>
        </w:rPr>
        <w:fldChar w:fldCharType="separate"/>
      </w:r>
      <w:r w:rsidR="000667DB" w:rsidRPr="009867C1">
        <w:t xml:space="preserve">Figure </w:t>
      </w:r>
      <w:r w:rsidR="000667DB">
        <w:rPr>
          <w:noProof/>
        </w:rPr>
        <w:t>2</w:t>
      </w:r>
      <w:r w:rsidR="000667DB">
        <w:noBreakHyphen/>
      </w:r>
      <w:r w:rsidR="000667DB">
        <w:rPr>
          <w:noProof/>
        </w:rPr>
        <w:t>6</w:t>
      </w:r>
      <w:r w:rsidR="009273B5">
        <w:rPr>
          <w:lang w:val="en-CA"/>
        </w:rPr>
        <w:fldChar w:fldCharType="end"/>
      </w:r>
      <w:r w:rsidRPr="009867C1">
        <w:rPr>
          <w:lang w:val="en-CA"/>
        </w:rPr>
        <w:t xml:space="preserve">; this methodology calculates coefficients for all subsets of the </w:t>
      </w:r>
      <w:r w:rsidR="009273B5">
        <w:rPr>
          <w:lang w:val="en-CA"/>
        </w:rPr>
        <w:t>global</w:t>
      </w:r>
      <w:r w:rsidRPr="009867C1">
        <w:rPr>
          <w:lang w:val="en-CA"/>
        </w:rPr>
        <w:t xml:space="preserve"> model, sorts them by AICc, and averages all coefficients weighted in proportion to their AICc values </w:t>
      </w:r>
      <w:r w:rsidRPr="009867C1">
        <w:fldChar w:fldCharType="begin"/>
      </w:r>
      <w:r w:rsidR="00AC0205">
        <w:instrText xml:space="preserve"> ADDIN ZOTERO_ITEM CSL_CITATION {"citationID":"g27zYPBz","properties":{"formattedCitation":"(Barton, 2020; Burnham &amp; Anderson, 2003)","plainCitation":"(Barton, 2020; Burnham &amp; Anderson, 2003)","noteIndex":0},"citationItems":[{"id":2612,"uris":["http://zotero.org/users/2189142/items/XEQ99PYQ"],"itemData":{"id":2612,"type":"book","title":"MuMIn: Multi-Model Inference","URL":"https://CRAN.R-project.org/package=MuMIn","author":[{"family":"Barton","given":"Kamil"}],"issued":{"date-parts":[["2020"]]},"citation-key":"barton_2020"}},{"id":225,"uris":["http://zotero.org/users/2189142/items/QT8DGF7Z"],"itemData":{"id":225,"type":"book","abstract":"A unique and comprehensive text on the philosophy of model-based data analysis and strategy for the analysis of empirical data. The book introduces information theoretic approaches and focuses critical attention on a priori modeling and the selection of a good approximating model that best represents the inference supported by the data. It contains several new approaches to estimating model selection uncertainty and incorporating selection uncertainty into estimates of precision. An array of examples is given to illustrate various technical issues. The text has been written for biologists and statisticians using models for making inferences from empirical data.","edition":"2nd ed. 2002. Corr. 3rd printing 2003 edition","event-place":"New York","ISBN":"978-0-387-95364-9","language":"English","number-of-pages":"488","publisher":"Springer","publisher-place":"New York","source":"Amazon","title":"Model Selection and Multimodel Inference: A Practical Information-Theoretic Approach","title-short":"Model Selection and Multimodel Inference","author":[{"family":"Burnham","given":"Kenneth P."},{"family":"Anderson","given":"David R."}],"issued":{"date-parts":[["2003",12,4]]},"citation-key":"burnham_2003"}}],"schema":"https://github.com/citation-style-language/schema/raw/master/csl-citation.json"} </w:instrText>
      </w:r>
      <w:r w:rsidRPr="009867C1">
        <w:fldChar w:fldCharType="separate"/>
      </w:r>
      <w:r w:rsidR="0042141C" w:rsidRPr="009867C1">
        <w:t>(Barton, 2020; Burnham &amp; Anderson, 2003)</w:t>
      </w:r>
      <w:r w:rsidRPr="009867C1">
        <w:fldChar w:fldCharType="end"/>
      </w:r>
      <w:r w:rsidRPr="009867C1">
        <w:rPr>
          <w:lang w:val="en-CA"/>
        </w:rPr>
        <w:t>. This results in a single ‘averaged’ model coefficient for each explanatory variable.</w:t>
      </w:r>
      <w:r w:rsidR="009273B5">
        <w:rPr>
          <w:lang w:val="en-CA"/>
        </w:rPr>
        <w:t xml:space="preserve"> </w:t>
      </w:r>
      <w:r w:rsidR="009273B5" w:rsidRPr="009867C1">
        <w:rPr>
          <w:lang w:val="en-CA"/>
        </w:rPr>
        <w:t xml:space="preserve">Coefficients were averaged only across the models in which they occur (‘conditional’ rather than ‘full’ averaging) </w:t>
      </w:r>
      <w:r w:rsidR="009273B5" w:rsidRPr="009867C1">
        <w:rPr>
          <w:lang w:val="en-CA"/>
        </w:rPr>
        <w:fldChar w:fldCharType="begin"/>
      </w:r>
      <w:r w:rsidR="00AC0205">
        <w:rPr>
          <w:lang w:val="en-CA"/>
        </w:rPr>
        <w:instrText xml:space="preserve"> ADDIN ZOTERO_ITEM CSL_CITATION {"citationID":"2fcxiZ8j","properties":{"formattedCitation":"(Galipaud et al., 2014)","plainCitation":"(Galipaud et al., 2014)","noteIndex":0},"citationItems":[{"id":1652,"uris":["http://zotero.org/users/2189142/items/B7S9ZVCA"],"itemData":{"id":1652,"type":"article-journal","abstract":"Information-theory procedures are powerful tools for multimodel inference and are now standard methods in ecology. When performing model averaging on a given set of models, the importance of a predictor variable is commonly estimated by summing the weights of models where the variable appears, the so-called sum of weights (SW). However, SWs have received little methodological attention and are frequently misinterpreted. We assessed the reliability of SW by performing model selection and averaging on simulated data sets including variables strongly and weakly correlated to the response variable and a variable unrelated to the response. Our aim was to investigate how useful SWs are to inform about the relative importance of predictor variables. SW can take a wide range of possible values, even for predictor variables unrelated to the response. As a consequence, SW with intermediate values cannot be confidently interpreted as denoting importance for the considered predictor variable. Increasing sample size using an alternative information criterion for model selection or using only a subset of candidate models for model averaging did not qualitatively change our results: a variable of a given effect size can take a wide range of SW values. Contrary to what is assumed in many ecological studies, it seems hazardous to define a threshold for SW above which a variable is considered as having a statistical effect on the response and SW is not a measure of effect size. Although we did not consider every possible condition of analysis, it is likely that in most situations, SW is a poor estimate of variable's importance.","container-title":"Methods in Ecology and Evolution","DOI":"10.1111/2041-210X.12251","ISSN":"2041-210X","issue":"10","language":"en","page":"983-991","source":"Wiley Online Library","title":"Ecologists overestimate the importance of predictor variables in model averaging: a plea for cautious interpretations","title-short":"Ecologists overestimate the importance of predictor variables in model averaging","volume":"5","author":[{"family":"Galipaud","given":"Matthias"},{"family":"Gillingham","given":"Mark A. F."},{"family":"David","given":"Morgan"},{"family":"Dechaume‐Moncharmont","given":"François-Xavier"}],"issued":{"date-parts":[["2014"]]},"citation-key":"galipaud_2014"}}],"schema":"https://github.com/citation-style-language/schema/raw/master/csl-citation.json"} </w:instrText>
      </w:r>
      <w:r w:rsidR="009273B5" w:rsidRPr="009867C1">
        <w:rPr>
          <w:lang w:val="en-CA"/>
        </w:rPr>
        <w:fldChar w:fldCharType="separate"/>
      </w:r>
      <w:r w:rsidR="009273B5" w:rsidRPr="009867C1">
        <w:t>(Galipaud et al., 2014)</w:t>
      </w:r>
      <w:r w:rsidR="009273B5" w:rsidRPr="009867C1">
        <w:rPr>
          <w:lang w:val="en-CA"/>
        </w:rPr>
        <w:fldChar w:fldCharType="end"/>
      </w:r>
      <w:r w:rsidR="009273B5">
        <w:rPr>
          <w:lang w:val="en-CA"/>
        </w:rPr>
        <w:t xml:space="preserve">, and </w:t>
      </w:r>
      <w:r w:rsidR="009273B5" w:rsidRPr="009867C1">
        <w:rPr>
          <w:lang w:val="en-CA"/>
        </w:rPr>
        <w:t>model selection tables were manually inspected</w:t>
      </w:r>
      <w:r w:rsidR="009273B5">
        <w:rPr>
          <w:lang w:val="en-CA"/>
        </w:rPr>
        <w:t xml:space="preserve"> t</w:t>
      </w:r>
      <w:r w:rsidRPr="009867C1">
        <w:rPr>
          <w:lang w:val="en-CA"/>
        </w:rPr>
        <w:t xml:space="preserve">o assess coefficient stability </w:t>
      </w:r>
      <w:r w:rsidR="009273B5">
        <w:rPr>
          <w:lang w:val="en-CA"/>
        </w:rPr>
        <w:t>among</w:t>
      </w:r>
      <w:r w:rsidRPr="009867C1">
        <w:rPr>
          <w:lang w:val="en-CA"/>
        </w:rPr>
        <w:t xml:space="preserve"> averaged models,. </w:t>
      </w:r>
    </w:p>
    <w:p w14:paraId="3A116926" w14:textId="77777777" w:rsidR="000667DB" w:rsidRDefault="00223F7A" w:rsidP="000667DB">
      <w:pPr>
        <w:ind w:firstLine="720"/>
      </w:pPr>
      <w:r w:rsidRPr="009867C1">
        <w:rPr>
          <w:lang w:val="en-CA"/>
        </w:rPr>
        <w:t xml:space="preserve">Above and below waterfall data was visualized with box-and-whisker plots </w:t>
      </w:r>
      <w:r w:rsidRPr="007C1731">
        <w:rPr>
          <w:lang w:val="en-CA"/>
        </w:rPr>
        <w:t>(</w:t>
      </w:r>
      <w:r w:rsidR="007C1731">
        <w:rPr>
          <w:lang w:val="en-CA"/>
        </w:rPr>
        <w:fldChar w:fldCharType="begin"/>
      </w:r>
      <w:r w:rsidR="007C1731">
        <w:rPr>
          <w:lang w:val="en-CA"/>
        </w:rPr>
        <w:instrText xml:space="preserve"> REF _Ref37603035 \h </w:instrText>
      </w:r>
      <w:r w:rsidR="007C1731">
        <w:rPr>
          <w:lang w:val="en-CA"/>
        </w:rPr>
      </w:r>
      <w:r w:rsidR="007C1731">
        <w:rPr>
          <w:lang w:val="en-CA"/>
        </w:rPr>
        <w:fldChar w:fldCharType="separate"/>
      </w:r>
      <w:r w:rsidR="000667DB" w:rsidRPr="009867C1">
        <w:t xml:space="preserve">Figure </w:t>
      </w:r>
      <w:r w:rsidR="000667DB">
        <w:rPr>
          <w:noProof/>
        </w:rPr>
        <w:t>2</w:t>
      </w:r>
      <w:r w:rsidR="000667DB">
        <w:noBreakHyphen/>
      </w:r>
      <w:r w:rsidR="000667DB">
        <w:rPr>
          <w:noProof/>
        </w:rPr>
        <w:t>2</w:t>
      </w:r>
      <w:r w:rsidR="007C1731">
        <w:rPr>
          <w:lang w:val="en-CA"/>
        </w:rPr>
        <w:fldChar w:fldCharType="end"/>
      </w:r>
      <w:r w:rsidR="007C1731">
        <w:rPr>
          <w:lang w:val="en-CA"/>
        </w:rPr>
        <w:t xml:space="preserve"> to </w:t>
      </w:r>
      <w:r w:rsidR="007C1731">
        <w:rPr>
          <w:lang w:val="en-CA"/>
        </w:rPr>
        <w:fldChar w:fldCharType="begin"/>
      </w:r>
      <w:r w:rsidR="007C1731">
        <w:rPr>
          <w:lang w:val="en-CA"/>
        </w:rPr>
        <w:instrText xml:space="preserve"> REF _Ref73042590 \h </w:instrText>
      </w:r>
      <w:r w:rsidR="007C1731">
        <w:rPr>
          <w:lang w:val="en-CA"/>
        </w:rPr>
      </w:r>
      <w:r w:rsidR="007C1731">
        <w:rPr>
          <w:lang w:val="en-CA"/>
        </w:rPr>
        <w:fldChar w:fldCharType="separate"/>
      </w:r>
      <w:r w:rsidR="000667DB" w:rsidRPr="009867C1">
        <w:t xml:space="preserve">Figure </w:t>
      </w:r>
      <w:r w:rsidR="000667DB">
        <w:rPr>
          <w:noProof/>
        </w:rPr>
        <w:t>2</w:t>
      </w:r>
      <w:r w:rsidR="000667DB">
        <w:noBreakHyphen/>
      </w:r>
      <w:r w:rsidR="000667DB">
        <w:rPr>
          <w:noProof/>
        </w:rPr>
        <w:t>6</w:t>
      </w:r>
      <w:r w:rsidR="007C1731">
        <w:rPr>
          <w:lang w:val="en-CA"/>
        </w:rPr>
        <w:fldChar w:fldCharType="end"/>
      </w:r>
      <w:r w:rsidRPr="007C1731">
        <w:rPr>
          <w:lang w:val="en-CA"/>
        </w:rPr>
        <w:t>, last facet in each row</w:t>
      </w:r>
      <w:r w:rsidRPr="009867C1">
        <w:rPr>
          <w:lang w:val="en-CA"/>
        </w:rPr>
        <w:t>)</w:t>
      </w:r>
      <w:r w:rsidR="004A4036">
        <w:rPr>
          <w:lang w:val="en-CA"/>
        </w:rPr>
        <w:t>;</w:t>
      </w:r>
      <w:r w:rsidRPr="009867C1">
        <w:rPr>
          <w:lang w:val="en-CA"/>
        </w:rPr>
        <w:t xml:space="preserve"> </w:t>
      </w:r>
      <w:r w:rsidR="004A4036">
        <w:rPr>
          <w:lang w:val="en-CA"/>
        </w:rPr>
        <w:t>for</w:t>
      </w:r>
      <w:r w:rsidRPr="009867C1">
        <w:rPr>
          <w:lang w:val="en-CA"/>
        </w:rPr>
        <w:t xml:space="preserve"> hypothesis testing</w:t>
      </w:r>
      <w:r w:rsidR="004A4036">
        <w:rPr>
          <w:lang w:val="en-CA"/>
        </w:rPr>
        <w:t xml:space="preserve"> data was pooled by taking the mean within site and then compared </w:t>
      </w:r>
      <w:r w:rsidRPr="009867C1">
        <w:rPr>
          <w:lang w:val="en-CA"/>
        </w:rPr>
        <w:t>via two-sided Wilcoxon paired-rank tests (</w:t>
      </w:r>
      <w:r w:rsidRPr="009867C1">
        <w:rPr>
          <w:lang w:val="en-CA"/>
        </w:rPr>
        <w:fldChar w:fldCharType="begin"/>
      </w:r>
      <w:r w:rsidRPr="009867C1">
        <w:rPr>
          <w:lang w:val="en-CA"/>
        </w:rPr>
        <w:instrText xml:space="preserve"> REF _Ref73024340 \h </w:instrText>
      </w:r>
      <w:r w:rsidR="009867C1">
        <w:rPr>
          <w:lang w:val="en-CA"/>
        </w:rPr>
        <w:instrText xml:space="preserve"> \* MERGEFORMAT </w:instrText>
      </w:r>
      <w:r w:rsidRPr="009867C1">
        <w:rPr>
          <w:lang w:val="en-CA"/>
        </w:rPr>
      </w:r>
      <w:r w:rsidRPr="009867C1">
        <w:rPr>
          <w:lang w:val="en-CA"/>
        </w:rPr>
        <w:fldChar w:fldCharType="separate"/>
      </w:r>
    </w:p>
    <w:p w14:paraId="50A2C389" w14:textId="7B699376" w:rsidR="00223F7A" w:rsidRPr="009867C1" w:rsidRDefault="000667DB" w:rsidP="00223F7A">
      <w:pPr>
        <w:ind w:firstLine="720"/>
        <w:rPr>
          <w:lang w:val="en-CA"/>
        </w:rPr>
      </w:pPr>
      <w:r w:rsidRPr="009867C1">
        <w:t>Table</w:t>
      </w:r>
      <w:r w:rsidRPr="009867C1">
        <w:rPr>
          <w:noProof/>
        </w:rPr>
        <w:t xml:space="preserve"> </w:t>
      </w:r>
      <w:r>
        <w:rPr>
          <w:noProof/>
        </w:rPr>
        <w:t>2</w:t>
      </w:r>
      <w:r>
        <w:rPr>
          <w:noProof/>
        </w:rPr>
        <w:noBreakHyphen/>
        <w:t>4</w:t>
      </w:r>
      <w:r w:rsidR="00223F7A" w:rsidRPr="009867C1">
        <w:rPr>
          <w:lang w:val="en-CA"/>
        </w:rPr>
        <w:fldChar w:fldCharType="end"/>
      </w:r>
      <w:r w:rsidR="00223F7A" w:rsidRPr="009867C1">
        <w:rPr>
          <w:lang w:val="en-CA"/>
        </w:rPr>
        <w:t xml:space="preserve">), with samples above and below randomly paired within sites. </w:t>
      </w:r>
    </w:p>
    <w:p w14:paraId="0F34358A" w14:textId="2B7BC252" w:rsidR="00223F7A" w:rsidRPr="009867C1" w:rsidRDefault="00223F7A" w:rsidP="00223F7A">
      <w:pPr>
        <w:ind w:firstLine="720"/>
        <w:rPr>
          <w:rFonts w:eastAsiaTheme="minorEastAsia"/>
        </w:rPr>
      </w:pPr>
      <w:r w:rsidRPr="009867C1">
        <w:rPr>
          <w:lang w:val="en-CA"/>
        </w:rPr>
        <w:t xml:space="preserve">To test a broader set of explanatory variables, random forest models were used in an exploratory analysis with a broader set of explanatory variables </w:t>
      </w:r>
      <w:r w:rsidRPr="009867C1">
        <w:rPr>
          <w:rFonts w:eastAsiaTheme="minorEastAsia"/>
        </w:rPr>
        <w:t xml:space="preserve">with the R </w:t>
      </w:r>
      <w:r w:rsidRPr="009867C1">
        <w:rPr>
          <w:rFonts w:eastAsiaTheme="minorEastAsia"/>
          <w:i/>
        </w:rPr>
        <w:t>caret</w:t>
      </w:r>
      <w:r w:rsidRPr="009867C1">
        <w:rPr>
          <w:rFonts w:eastAsiaTheme="minorEastAsia"/>
        </w:rPr>
        <w:t xml:space="preserve"> and </w:t>
      </w:r>
      <w:r w:rsidRPr="009867C1">
        <w:rPr>
          <w:rFonts w:eastAsiaTheme="minorEastAsia"/>
          <w:i/>
        </w:rPr>
        <w:t>randomForest</w:t>
      </w:r>
      <w:r w:rsidRPr="009867C1">
        <w:rPr>
          <w:rFonts w:eastAsiaTheme="minorEastAsia"/>
        </w:rPr>
        <w:t xml:space="preserve"> packages </w:t>
      </w:r>
      <w:r w:rsidRPr="009867C1">
        <w:rPr>
          <w:rFonts w:eastAsiaTheme="minorEastAsia"/>
        </w:rPr>
        <w:fldChar w:fldCharType="begin"/>
      </w:r>
      <w:r w:rsidR="00AC0205">
        <w:rPr>
          <w:rFonts w:eastAsiaTheme="minorEastAsia"/>
        </w:rPr>
        <w:instrText xml:space="preserve"> ADDIN ZOTERO_ITEM CSL_CITATION {"citationID":"wL2vDGpe","properties":{"formattedCitation":"(Kuhn, 2008; Liaw &amp; Wiener, 2002)","plainCitation":"(Kuhn, 2008; Liaw &amp; Wiener, 2002)","noteIndex":0},"citationItems":[{"id":8,"uris":["http://zotero.org/users/2189142/items/3XNZDZ29"],"itemData":{"id":8,"type":"article-journal","container-title":"Journal of Statistical Software","DOI":"10.18637/jss.v028.i05","ISSN":"1548-7660","issue":"1","language":"en","note":"number: 1","page":"1-26","source":"www.jstatsoft.org","title":"Building Predictive Models in R Using the caret Package","volume":"28","author":[{"family":"Kuhn","given":"Max"}],"issued":{"date-parts":[["2008",11,10]]},"citation-key":"kuhn_2008"}},{"id":7,"uris":["http://zotero.org/users/2189142/items/F4A4NN58"],"itemData":{"id":7,"type":"article-journal","container-title":"R news","issue":"3","page":"18–22","source":"Google Scholar","title":"Classification and regression by randomForest","volume":"2","author":[{"family":"Liaw","given":"Andy"},{"family":"Wiener","given":"Matthew"}],"issued":{"date-parts":[["2002"]]},"citation-key":"liaw_2002"}}],"schema":"https://github.com/citation-style-language/schema/raw/master/csl-citation.json"} </w:instrText>
      </w:r>
      <w:r w:rsidRPr="009867C1">
        <w:rPr>
          <w:rFonts w:eastAsiaTheme="minorEastAsia"/>
        </w:rPr>
        <w:fldChar w:fldCharType="separate"/>
      </w:r>
      <w:r w:rsidR="0042141C" w:rsidRPr="009867C1">
        <w:t>(Kuhn, 2008; Liaw &amp; Wiener, 2002)</w:t>
      </w:r>
      <w:r w:rsidRPr="009867C1">
        <w:rPr>
          <w:rFonts w:eastAsiaTheme="minorEastAsia"/>
        </w:rPr>
        <w:fldChar w:fldCharType="end"/>
      </w:r>
      <w:r w:rsidRPr="009867C1">
        <w:rPr>
          <w:rFonts w:eastAsiaTheme="minorEastAsia"/>
        </w:rPr>
        <w:t>. Standardized importance coefficients of these explanatory variables were then visualized with a heatmap (</w:t>
      </w:r>
      <w:r w:rsidRPr="009867C1">
        <w:rPr>
          <w:rFonts w:eastAsiaTheme="minorEastAsia"/>
        </w:rPr>
        <w:fldChar w:fldCharType="begin"/>
      </w:r>
      <w:r w:rsidRPr="009867C1">
        <w:rPr>
          <w:rFonts w:eastAsiaTheme="minorEastAsia"/>
        </w:rPr>
        <w:instrText xml:space="preserve"> REF _Ref73025934 \h </w:instrText>
      </w:r>
      <w:r w:rsidR="009867C1">
        <w:rPr>
          <w:rFonts w:eastAsiaTheme="minorEastAsia"/>
        </w:rPr>
        <w:instrText xml:space="preserve"> \* MERGEFORMAT </w:instrText>
      </w:r>
      <w:r w:rsidRPr="009867C1">
        <w:rPr>
          <w:rFonts w:eastAsiaTheme="minorEastAsia"/>
        </w:rPr>
      </w:r>
      <w:r w:rsidRPr="009867C1">
        <w:rPr>
          <w:rFonts w:eastAsiaTheme="minorEastAsia"/>
        </w:rPr>
        <w:fldChar w:fldCharType="separate"/>
      </w:r>
      <w:r w:rsidR="000667DB" w:rsidRPr="009867C1">
        <w:t xml:space="preserve">Figure </w:t>
      </w:r>
      <w:r w:rsidR="000667DB">
        <w:rPr>
          <w:noProof/>
        </w:rPr>
        <w:t>2</w:t>
      </w:r>
      <w:r w:rsidR="000667DB">
        <w:rPr>
          <w:noProof/>
        </w:rPr>
        <w:noBreakHyphen/>
        <w:t>7</w:t>
      </w:r>
      <w:r w:rsidRPr="009867C1">
        <w:rPr>
          <w:rFonts w:eastAsiaTheme="minorEastAsia"/>
        </w:rPr>
        <w:fldChar w:fldCharType="end"/>
      </w:r>
      <w:r w:rsidRPr="009867C1">
        <w:rPr>
          <w:rFonts w:eastAsiaTheme="minorEastAsia"/>
        </w:rPr>
        <w:t xml:space="preserve">). </w:t>
      </w:r>
    </w:p>
    <w:p w14:paraId="60F6AFA5" w14:textId="2866F934" w:rsidR="00223F7A" w:rsidRPr="009867C1" w:rsidRDefault="00223F7A" w:rsidP="00223F7A">
      <w:pPr>
        <w:ind w:firstLine="720"/>
        <w:rPr>
          <w:lang w:val="en-CA"/>
        </w:rPr>
      </w:pPr>
      <w:r w:rsidRPr="009867C1">
        <w:rPr>
          <w:rFonts w:eastAsiaTheme="minorEastAsia"/>
        </w:rPr>
        <w:t xml:space="preserve">Finally, to place these soils in context they were compared with regional averages for nearby coastal temperate rainforest, as catalogued in a recent meta-analysis </w:t>
      </w:r>
      <w:r w:rsidRPr="009867C1">
        <w:rPr>
          <w:rFonts w:eastAsiaTheme="minorEastAsia"/>
        </w:rPr>
        <w:fldChar w:fldCharType="begin"/>
      </w:r>
      <w:r w:rsidR="00AC0205">
        <w:rPr>
          <w:rFonts w:eastAsiaTheme="minorEastAsia"/>
        </w:rPr>
        <w:instrText xml:space="preserve"> ADDIN ZOTERO_ITEM CSL_CITATION {"citationID":"jygn2D4G","properties":{"formattedCitation":"(Carpenter et al., 2014)","plainCitation":"(Carpenter et al., 2014)","noteIndex":0},"citationItems":[{"id":904,"uris":["http://zotero.org/users/2189142/items/AWEPCWBQ"],"itemData":{"id":904,"type":"article-journal","abstract":"Temperate rainforests have high conservation and natural resource value, but the soils of this bioregion have not previously been studied as a unit. Here we examine the soils of North America's Pacific coastal temperate rainforests, utilizing databases from the United States Natural Resources Conservation Service and the Canadian Centre for Land and Biological Resources Research to (i) identify the soil taxa, (ii) evaluate the soil properties, and (iii) compare soils in temperate and tropical rainforests. There are strong climate gradients within these temperate rainforests, with the mean temperature declining from 11.7 °C to 6.1 °C and the mean annual precipitation increasing from 1500 mm to around 3000 mm from northern California (CA) to northwestern British Columbia (BC) and southeastern Alaska (AK). There is also high pedodiversity in this region, with soils representing 8 orders and 31 suborders, and, in the US portion, 65 great-groups, 142 subgroups, and 482 soil series. Twenty-six percent of described soil series are endemic to temperate rainforests in the US portion of the region, with the proportion declining with latitude. Dominant soil suborders vary along the latitudinal gradient from Humults–Udalfs/Ustalfs–Udepts–Udults in CA, to Udands–Udepts–Udands Humults in western Oregon (OR) and Washington (WA), to Orthods–Folists in BC and Cryods–Saprists in AK. The dominant diagnostic horizons are ochric/argillic (CA), umbric/cambic (OR, WA), and albic–histic/spodic (BC, AK). Whereas soils in CA, BC, and AK tend to have a mixed mineralogy, those in northern OR and WA commonly are derived from volcaniclastic materials and have a ferrihydritic or isotic mineralogy. Soils in this region are generally deep, hold abundant moisture, are not subject to deep-freezing, and are enriched in extractable Fe and Al. Organic C and total N contents are high overall, but also variable, with right-skewed distributions. Compared to tropical rainforest soils in the Pacific Basin, Pacific temperate rainforest have greater weatherable minerals, cation-exchange capacities, soil organic C, and total exchangeable base cations. However, soils of both bioregions tend to be deep, acidic Al-saturated, and can have large N reservoirs. This investigation provides a foundation for a more unified understanding of the soils of a globally significant bioregion.","container-title":"Geoderma","DOI":"10.1016/j.geoderma.2014.04.023","ISSN":"0016-7061","journalAbbreviation":"Geoderma","page":"250-264","source":"ScienceDirect","title":"Soils of temperate rainforests of the North American Pacific Coast","volume":"230–231","author":[{"family":"Carpenter","given":"Dunbar N."},{"family":"Bockheim","given":"James G."},{"family":"Reich","given":"Paul F."}],"issued":{"date-parts":[["2014",10]]},"citation-key":"carpenter_2014"}}],"schema":"https://github.com/citation-style-language/schema/raw/master/csl-citation.json"} </w:instrText>
      </w:r>
      <w:r w:rsidRPr="009867C1">
        <w:rPr>
          <w:rFonts w:eastAsiaTheme="minorEastAsia"/>
        </w:rPr>
        <w:fldChar w:fldCharType="separate"/>
      </w:r>
      <w:r w:rsidR="0042141C" w:rsidRPr="009867C1">
        <w:t>(Carpenter et al., 2014)</w:t>
      </w:r>
      <w:r w:rsidRPr="009867C1">
        <w:rPr>
          <w:rFonts w:eastAsiaTheme="minorEastAsia"/>
        </w:rPr>
        <w:fldChar w:fldCharType="end"/>
      </w:r>
      <w:r w:rsidRPr="009867C1">
        <w:rPr>
          <w:rFonts w:eastAsiaTheme="minorEastAsia"/>
        </w:rPr>
        <w:t xml:space="preserve">. </w:t>
      </w:r>
      <w:r w:rsidR="00ED2A79">
        <w:rPr>
          <w:rFonts w:eastAsiaTheme="minorEastAsia"/>
        </w:rPr>
        <w:t>Data d</w:t>
      </w:r>
      <w:r w:rsidRPr="009867C1">
        <w:rPr>
          <w:rFonts w:eastAsiaTheme="minorEastAsia"/>
        </w:rPr>
        <w:t>ensity curves for their data w</w:t>
      </w:r>
      <w:r w:rsidR="00ED2A79">
        <w:rPr>
          <w:rFonts w:eastAsiaTheme="minorEastAsia"/>
        </w:rPr>
        <w:t>ere</w:t>
      </w:r>
      <w:r w:rsidRPr="009867C1">
        <w:rPr>
          <w:rFonts w:eastAsiaTheme="minorEastAsia"/>
        </w:rPr>
        <w:t xml:space="preserve"> reassembled (</w:t>
      </w:r>
      <w:r w:rsidRPr="009867C1">
        <w:rPr>
          <w:rFonts w:eastAsiaTheme="minorEastAsia"/>
        </w:rPr>
        <w:fldChar w:fldCharType="begin"/>
      </w:r>
      <w:r w:rsidRPr="009867C1">
        <w:rPr>
          <w:rFonts w:eastAsiaTheme="minorEastAsia"/>
        </w:rPr>
        <w:instrText xml:space="preserve"> REF _Ref73192803 \h </w:instrText>
      </w:r>
      <w:r w:rsidR="009867C1">
        <w:rPr>
          <w:rFonts w:eastAsiaTheme="minorEastAsia"/>
        </w:rPr>
        <w:instrText xml:space="preserve"> \* MERGEFORMAT </w:instrText>
      </w:r>
      <w:r w:rsidRPr="009867C1">
        <w:rPr>
          <w:rFonts w:eastAsiaTheme="minorEastAsia"/>
        </w:rPr>
      </w:r>
      <w:r w:rsidRPr="009867C1">
        <w:rPr>
          <w:rFonts w:eastAsiaTheme="minorEastAsia"/>
        </w:rPr>
        <w:fldChar w:fldCharType="separate"/>
      </w:r>
      <w:r w:rsidR="000667DB" w:rsidRPr="009867C1">
        <w:t xml:space="preserve">Figure </w:t>
      </w:r>
      <w:r w:rsidR="000667DB">
        <w:rPr>
          <w:noProof/>
        </w:rPr>
        <w:t>2</w:t>
      </w:r>
      <w:r w:rsidR="000667DB">
        <w:rPr>
          <w:noProof/>
        </w:rPr>
        <w:noBreakHyphen/>
        <w:t>9</w:t>
      </w:r>
      <w:r w:rsidRPr="009867C1">
        <w:rPr>
          <w:rFonts w:eastAsiaTheme="minorEastAsia"/>
        </w:rPr>
        <w:fldChar w:fldCharType="end"/>
      </w:r>
      <w:r w:rsidRPr="009867C1">
        <w:rPr>
          <w:rFonts w:eastAsiaTheme="minorEastAsia"/>
        </w:rPr>
        <w:t xml:space="preserve">) and compared with both forest floors and organic soils measured in this study. We assumed a bulk density of 0.15 (similar to regional </w:t>
      </w:r>
      <w:r w:rsidR="007C1731">
        <w:rPr>
          <w:rFonts w:eastAsiaTheme="minorEastAsia"/>
        </w:rPr>
        <w:t>F</w:t>
      </w:r>
      <w:r w:rsidRPr="009867C1">
        <w:rPr>
          <w:rFonts w:eastAsiaTheme="minorEastAsia"/>
        </w:rPr>
        <w:t xml:space="preserve">olisols) and projected to 1 m depth in order to match the scales used in the regional meta-analysis. </w:t>
      </w:r>
    </w:p>
    <w:p w14:paraId="72BD35D7" w14:textId="77777777" w:rsidR="00223F7A" w:rsidRPr="009867C1" w:rsidRDefault="00223F7A" w:rsidP="00223F7A">
      <w:pPr>
        <w:rPr>
          <w:lang w:val="en-CA"/>
        </w:rPr>
      </w:pPr>
    </w:p>
    <w:p w14:paraId="5FC75E55" w14:textId="77777777" w:rsidR="00223F7A" w:rsidRPr="009867C1" w:rsidRDefault="00223F7A" w:rsidP="00223F7A">
      <w:pPr>
        <w:pStyle w:val="Heading3"/>
        <w:rPr>
          <w:lang w:val="en-CA"/>
        </w:rPr>
      </w:pPr>
      <w:bookmarkStart w:id="51" w:name="_Toc99385420"/>
      <w:r w:rsidRPr="009867C1">
        <w:rPr>
          <w:lang w:val="en-CA"/>
        </w:rPr>
        <w:t>Results</w:t>
      </w:r>
      <w:bookmarkEnd w:id="51"/>
    </w:p>
    <w:p w14:paraId="4AE4750C" w14:textId="4648BB3E" w:rsidR="00B41819" w:rsidRDefault="00B41819" w:rsidP="00B41819">
      <w:pPr>
        <w:pStyle w:val="Heading4"/>
      </w:pPr>
      <w:bookmarkStart w:id="52" w:name="_Toc99385421"/>
      <w:r>
        <w:t>Aggregate soil chemistry</w:t>
      </w:r>
      <w:r w:rsidR="0092286A">
        <w:t xml:space="preserve"> (</w:t>
      </w:r>
      <w:r w:rsidR="0092286A">
        <w:fldChar w:fldCharType="begin"/>
      </w:r>
      <w:r w:rsidR="0092286A">
        <w:instrText xml:space="preserve"> REF _Ref76483328 \h </w:instrText>
      </w:r>
      <w:r w:rsidR="0092286A">
        <w:fldChar w:fldCharType="separate"/>
      </w:r>
      <w:r w:rsidR="000667DB" w:rsidRPr="009867C1">
        <w:t xml:space="preserve">Figure </w:t>
      </w:r>
      <w:r w:rsidR="000667DB">
        <w:rPr>
          <w:noProof/>
        </w:rPr>
        <w:t>2</w:t>
      </w:r>
      <w:r w:rsidR="000667DB">
        <w:noBreakHyphen/>
      </w:r>
      <w:r w:rsidR="000667DB">
        <w:rPr>
          <w:noProof/>
        </w:rPr>
        <w:t>1</w:t>
      </w:r>
      <w:r w:rsidR="0092286A">
        <w:fldChar w:fldCharType="end"/>
      </w:r>
      <w:r w:rsidR="0092286A">
        <w:t>)</w:t>
      </w:r>
      <w:bookmarkEnd w:id="52"/>
    </w:p>
    <w:p w14:paraId="7E7ACC00" w14:textId="347F94C7" w:rsidR="00223F7A" w:rsidRDefault="00B41819" w:rsidP="00223F7A">
      <w:pPr>
        <w:ind w:firstLine="720"/>
      </w:pPr>
      <w:r>
        <w:t xml:space="preserve">Salmon density </w:t>
      </w:r>
      <w:r w:rsidR="0092286A">
        <w:t>was found to affect</w:t>
      </w:r>
      <w:r>
        <w:t xml:space="preserve"> aggregate soil chemistry; i</w:t>
      </w:r>
      <w:r w:rsidR="00223F7A" w:rsidRPr="009867C1">
        <w:t>n the regional gradient data CCA, salmon density, soil depth, dominant tree, moss PCA1 and shrub PCA1 all had significant (P &lt; 0.05) correlations with aggregate soil chemistry (</w:t>
      </w:r>
      <w:r w:rsidR="00A05904">
        <w:fldChar w:fldCharType="begin"/>
      </w:r>
      <w:r w:rsidR="00A05904">
        <w:instrText xml:space="preserve"> REF _Ref76483328 \h </w:instrText>
      </w:r>
      <w:r w:rsidR="00A05904">
        <w:fldChar w:fldCharType="separate"/>
      </w:r>
      <w:r w:rsidR="000667DB" w:rsidRPr="009867C1">
        <w:t xml:space="preserve">Figure </w:t>
      </w:r>
      <w:r w:rsidR="000667DB">
        <w:rPr>
          <w:noProof/>
        </w:rPr>
        <w:t>2</w:t>
      </w:r>
      <w:r w:rsidR="000667DB">
        <w:noBreakHyphen/>
      </w:r>
      <w:r w:rsidR="000667DB">
        <w:rPr>
          <w:noProof/>
        </w:rPr>
        <w:t>1</w:t>
      </w:r>
      <w:r w:rsidR="00A05904">
        <w:fldChar w:fldCharType="end"/>
      </w:r>
      <w:r w:rsidR="004E619B">
        <w:t xml:space="preserve"> &amp; </w:t>
      </w:r>
      <w:r w:rsidR="004E619B">
        <w:fldChar w:fldCharType="begin"/>
      </w:r>
      <w:r w:rsidR="004E619B">
        <w:instrText xml:space="preserve"> REF _Ref76483620 \h </w:instrText>
      </w:r>
      <w:r w:rsidR="004E619B">
        <w:fldChar w:fldCharType="separate"/>
      </w:r>
      <w:r w:rsidR="000667DB">
        <w:t xml:space="preserve">Table </w:t>
      </w:r>
      <w:r w:rsidR="000667DB">
        <w:rPr>
          <w:noProof/>
        </w:rPr>
        <w:t>2</w:t>
      </w:r>
      <w:r w:rsidR="000667DB">
        <w:noBreakHyphen/>
      </w:r>
      <w:r w:rsidR="000667DB">
        <w:rPr>
          <w:noProof/>
        </w:rPr>
        <w:t>3</w:t>
      </w:r>
      <w:r w:rsidR="004E619B">
        <w:fldChar w:fldCharType="end"/>
      </w:r>
      <w:r w:rsidR="00223F7A" w:rsidRPr="009867C1">
        <w:t>). 57% of the inertia was accounted for by the explanatory variables, and adjusted R</w:t>
      </w:r>
      <w:r w:rsidR="00223F7A" w:rsidRPr="009867C1">
        <w:rPr>
          <w:vertAlign w:val="superscript"/>
        </w:rPr>
        <w:t>2</w:t>
      </w:r>
      <w:r w:rsidR="00223F7A" w:rsidRPr="009867C1">
        <w:t xml:space="preserve"> for the model was 0.4</w:t>
      </w:r>
      <w:r w:rsidR="00C3156E">
        <w:t>0</w:t>
      </w:r>
      <w:r w:rsidR="00223F7A" w:rsidRPr="009867C1">
        <w:t xml:space="preserve"> and VIFs amongst explanatory variables was low (&lt;3.5). </w:t>
      </w:r>
    </w:p>
    <w:p w14:paraId="06B2C04C" w14:textId="01D6C9C1" w:rsidR="00B41819" w:rsidRDefault="00552946" w:rsidP="00B41819">
      <w:pPr>
        <w:pStyle w:val="Heading4"/>
      </w:pPr>
      <w:bookmarkStart w:id="53" w:name="_Toc99385422"/>
      <w:r>
        <w:t>Nitrogenous compounds</w:t>
      </w:r>
      <w:r w:rsidR="00B41819">
        <w:t xml:space="preserve"> </w:t>
      </w:r>
      <w:r w:rsidR="009B6CCE">
        <w:t>(</w:t>
      </w:r>
      <w:r w:rsidR="009B6CCE">
        <w:fldChar w:fldCharType="begin"/>
      </w:r>
      <w:r w:rsidR="009B6CCE">
        <w:instrText xml:space="preserve"> REF _Ref37603035 \h </w:instrText>
      </w:r>
      <w:r w:rsidR="009B6CCE">
        <w:fldChar w:fldCharType="separate"/>
      </w:r>
      <w:r w:rsidR="000667DB" w:rsidRPr="009867C1">
        <w:t xml:space="preserve">Figure </w:t>
      </w:r>
      <w:r w:rsidR="000667DB">
        <w:rPr>
          <w:noProof/>
        </w:rPr>
        <w:t>2</w:t>
      </w:r>
      <w:r w:rsidR="000667DB">
        <w:noBreakHyphen/>
      </w:r>
      <w:r w:rsidR="000667DB">
        <w:rPr>
          <w:noProof/>
        </w:rPr>
        <w:t>2</w:t>
      </w:r>
      <w:r w:rsidR="009B6CCE">
        <w:fldChar w:fldCharType="end"/>
      </w:r>
      <w:r w:rsidR="009B6CCE">
        <w:t>)</w:t>
      </w:r>
      <w:bookmarkEnd w:id="53"/>
    </w:p>
    <w:p w14:paraId="7E860D4E" w14:textId="273C81D0" w:rsidR="004843A7" w:rsidRDefault="004843A7" w:rsidP="007C76E4">
      <w:pPr>
        <w:ind w:firstLine="720"/>
      </w:pPr>
      <w:r>
        <w:t>Total nitrogen, ammonium and nitrate were all predicted to increase with salmon inputs</w:t>
      </w:r>
      <w:r w:rsidR="00107C20">
        <w:t xml:space="preserve"> </w:t>
      </w:r>
      <w:r w:rsidR="000A0EF1">
        <w:t>(</w:t>
      </w:r>
      <w:r w:rsidR="000A0EF1">
        <w:fldChar w:fldCharType="begin"/>
      </w:r>
      <w:r w:rsidR="000A0EF1">
        <w:instrText xml:space="preserve"> REF _Ref73029173 \h </w:instrText>
      </w:r>
      <w:r w:rsidR="000A0EF1">
        <w:fldChar w:fldCharType="separate"/>
      </w:r>
      <w:r w:rsidR="000667DB" w:rsidRPr="009867C1">
        <w:t xml:space="preserve">Table </w:t>
      </w:r>
      <w:r w:rsidR="000667DB">
        <w:rPr>
          <w:noProof/>
        </w:rPr>
        <w:t>2</w:t>
      </w:r>
      <w:r w:rsidR="000667DB">
        <w:noBreakHyphen/>
      </w:r>
      <w:r w:rsidR="000667DB">
        <w:rPr>
          <w:noProof/>
        </w:rPr>
        <w:t>5</w:t>
      </w:r>
      <w:r w:rsidR="000A0EF1">
        <w:fldChar w:fldCharType="end"/>
      </w:r>
      <w:r w:rsidR="000A0EF1">
        <w:t>)</w:t>
      </w:r>
      <w:r>
        <w:t>. Total N did not change with salmon density across the regional gradient, but was higher below falls than above falls</w:t>
      </w:r>
      <w:r w:rsidR="000A0EF1">
        <w:t xml:space="preserve"> (</w:t>
      </w:r>
      <w:r w:rsidR="000A0EF1">
        <w:fldChar w:fldCharType="begin"/>
      </w:r>
      <w:r w:rsidR="000A0EF1">
        <w:instrText xml:space="preserve"> REF _Ref37603035 \h </w:instrText>
      </w:r>
      <w:r w:rsidR="000A0EF1">
        <w:fldChar w:fldCharType="separate"/>
      </w:r>
      <w:r w:rsidR="000667DB" w:rsidRPr="009867C1">
        <w:t xml:space="preserve">Figure </w:t>
      </w:r>
      <w:r w:rsidR="000667DB">
        <w:rPr>
          <w:noProof/>
        </w:rPr>
        <w:t>2</w:t>
      </w:r>
      <w:r w:rsidR="000667DB">
        <w:noBreakHyphen/>
      </w:r>
      <w:r w:rsidR="000667DB">
        <w:rPr>
          <w:noProof/>
        </w:rPr>
        <w:t>2</w:t>
      </w:r>
      <w:r w:rsidR="000A0EF1">
        <w:fldChar w:fldCharType="end"/>
      </w:r>
      <w:r w:rsidR="000A0EF1">
        <w:t>)</w:t>
      </w:r>
      <w:r>
        <w:t xml:space="preserve">. </w:t>
      </w:r>
      <w:r w:rsidR="00107C20">
        <w:t xml:space="preserve">Ammonium </w:t>
      </w:r>
      <w:r w:rsidR="000A0EF1">
        <w:t>was also higher below falls than above falls, and had</w:t>
      </w:r>
      <w:r w:rsidR="00107C20">
        <w:t xml:space="preserve"> an increasing</w:t>
      </w:r>
      <w:r w:rsidR="007C76E4">
        <w:t>,</w:t>
      </w:r>
      <w:r w:rsidR="000A0EF1">
        <w:t xml:space="preserve"> but only moderately significant</w:t>
      </w:r>
      <w:r w:rsidR="00107C20">
        <w:t xml:space="preserve"> </w:t>
      </w:r>
      <w:r w:rsidR="000A0EF1">
        <w:t>(P&lt;0.1)</w:t>
      </w:r>
      <w:r w:rsidR="007C76E4">
        <w:t>,</w:t>
      </w:r>
      <w:r w:rsidR="000A0EF1">
        <w:t xml:space="preserve"> </w:t>
      </w:r>
      <w:r w:rsidR="00107C20">
        <w:t>tendency</w:t>
      </w:r>
      <w:r w:rsidR="000A0EF1">
        <w:t xml:space="preserve"> with respect to salmon density</w:t>
      </w:r>
      <w:r w:rsidR="00107C20">
        <w:t xml:space="preserve"> in forest floor </w:t>
      </w:r>
      <w:r w:rsidR="000A0EF1">
        <w:t>soil</w:t>
      </w:r>
      <w:r w:rsidR="007C76E4">
        <w:t>,</w:t>
      </w:r>
      <w:r w:rsidR="000A0EF1">
        <w:t xml:space="preserve"> and </w:t>
      </w:r>
      <w:r w:rsidR="00BE7441">
        <w:t>an increasing tendency</w:t>
      </w:r>
      <w:r w:rsidR="000A0EF1">
        <w:t xml:space="preserve"> in organic soil</w:t>
      </w:r>
      <w:r w:rsidR="00107C20">
        <w:t>.</w:t>
      </w:r>
      <w:r w:rsidR="000A0EF1">
        <w:t xml:space="preserve"> Nitrate increased with salmon inputs both along the regional gradient and below falls.</w:t>
      </w:r>
      <w:r w:rsidR="00107C20">
        <w:t xml:space="preserve"> </w:t>
      </w:r>
    </w:p>
    <w:p w14:paraId="13D5DE2C" w14:textId="7A78E171" w:rsidR="000A0EF1" w:rsidRDefault="000A0EF1" w:rsidP="000A0EF1">
      <w:pPr>
        <w:pStyle w:val="Heading4"/>
      </w:pPr>
      <w:bookmarkStart w:id="54" w:name="_Toc99385423"/>
      <w:r>
        <w:t>Organics</w:t>
      </w:r>
      <w:r w:rsidR="009B6CCE">
        <w:t xml:space="preserve"> (</w:t>
      </w:r>
      <w:r w:rsidR="009B6CCE" w:rsidRPr="009867C1">
        <w:fldChar w:fldCharType="begin"/>
      </w:r>
      <w:r w:rsidR="009B6CCE" w:rsidRPr="009867C1">
        <w:instrText xml:space="preserve"> REF _Ref37697423 \h </w:instrText>
      </w:r>
      <w:r w:rsidR="009B6CCE">
        <w:instrText xml:space="preserve"> \* MERGEFORMAT </w:instrText>
      </w:r>
      <w:r w:rsidR="009B6CCE" w:rsidRPr="009867C1">
        <w:fldChar w:fldCharType="separate"/>
      </w:r>
      <w:r w:rsidR="000667DB" w:rsidRPr="009867C1">
        <w:t xml:space="preserve">Figure </w:t>
      </w:r>
      <w:r w:rsidR="000667DB">
        <w:rPr>
          <w:noProof/>
        </w:rPr>
        <w:t>2</w:t>
      </w:r>
      <w:r w:rsidR="000667DB">
        <w:rPr>
          <w:noProof/>
        </w:rPr>
        <w:noBreakHyphen/>
        <w:t>3</w:t>
      </w:r>
      <w:r w:rsidR="009B6CCE" w:rsidRPr="009867C1">
        <w:fldChar w:fldCharType="end"/>
      </w:r>
      <w:r w:rsidR="009B6CCE">
        <w:t>)</w:t>
      </w:r>
      <w:bookmarkEnd w:id="54"/>
    </w:p>
    <w:p w14:paraId="75AE717E" w14:textId="3D67F20A" w:rsidR="0054424E" w:rsidRDefault="00653AD4" w:rsidP="00223F7A">
      <w:pPr>
        <w:ind w:firstLine="720"/>
      </w:pPr>
      <w:r>
        <w:t>I found</w:t>
      </w:r>
      <w:r w:rsidR="00F06984">
        <w:t xml:space="preserve"> a decreasing tendency in</w:t>
      </w:r>
      <w:r w:rsidR="0054424E">
        <w:t xml:space="preserve"> pH below waterfalls</w:t>
      </w:r>
      <w:r w:rsidR="00F06984">
        <w:t>, and this was significant</w:t>
      </w:r>
      <w:r w:rsidR="0054424E">
        <w:t xml:space="preserve"> in organic soil but not in forest floors (</w:t>
      </w:r>
      <w:r w:rsidR="0054424E" w:rsidRPr="009867C1">
        <w:fldChar w:fldCharType="begin"/>
      </w:r>
      <w:r w:rsidR="0054424E" w:rsidRPr="009867C1">
        <w:instrText xml:space="preserve"> REF _Ref37697423 \h </w:instrText>
      </w:r>
      <w:r w:rsidR="0054424E">
        <w:instrText xml:space="preserve"> \* MERGEFORMAT </w:instrText>
      </w:r>
      <w:r w:rsidR="0054424E" w:rsidRPr="009867C1">
        <w:fldChar w:fldCharType="separate"/>
      </w:r>
      <w:r w:rsidR="000667DB" w:rsidRPr="009867C1">
        <w:t xml:space="preserve">Figure </w:t>
      </w:r>
      <w:r w:rsidR="000667DB">
        <w:rPr>
          <w:noProof/>
        </w:rPr>
        <w:t>2</w:t>
      </w:r>
      <w:r w:rsidR="000667DB">
        <w:rPr>
          <w:noProof/>
        </w:rPr>
        <w:noBreakHyphen/>
        <w:t>3</w:t>
      </w:r>
      <w:r w:rsidR="0054424E" w:rsidRPr="009867C1">
        <w:fldChar w:fldCharType="end"/>
      </w:r>
      <w:r w:rsidR="0054424E">
        <w:t>)</w:t>
      </w:r>
      <w:r>
        <w:t xml:space="preserve">; however, </w:t>
      </w:r>
      <w:r w:rsidR="0054424E">
        <w:t xml:space="preserve">this increase was not reflected in the modelling results. </w:t>
      </w:r>
    </w:p>
    <w:p w14:paraId="06EAF331" w14:textId="0515CA64" w:rsidR="00223F7A" w:rsidRPr="009867C1" w:rsidRDefault="00223F7A" w:rsidP="00223F7A">
      <w:pPr>
        <w:ind w:firstLine="720"/>
      </w:pPr>
      <w:r w:rsidRPr="009867C1">
        <w:t xml:space="preserve">Exchangeable phosphorus </w:t>
      </w:r>
      <w:r w:rsidR="002A6E8A">
        <w:t>was</w:t>
      </w:r>
      <w:r w:rsidR="00653AD4">
        <w:t xml:space="preserve"> predicted to increase with salmon inputs, and was</w:t>
      </w:r>
      <w:r w:rsidR="0054424E">
        <w:t xml:space="preserve"> higher below than above falls in both soil types (</w:t>
      </w:r>
      <w:r w:rsidR="0054424E" w:rsidRPr="009867C1">
        <w:fldChar w:fldCharType="begin"/>
      </w:r>
      <w:r w:rsidR="0054424E" w:rsidRPr="009867C1">
        <w:instrText xml:space="preserve"> REF _Ref37697423 \h </w:instrText>
      </w:r>
      <w:r w:rsidR="0054424E">
        <w:instrText xml:space="preserve"> \* MERGEFORMAT </w:instrText>
      </w:r>
      <w:r w:rsidR="0054424E" w:rsidRPr="009867C1">
        <w:fldChar w:fldCharType="separate"/>
      </w:r>
      <w:r w:rsidR="000667DB" w:rsidRPr="009867C1">
        <w:t xml:space="preserve">Figure </w:t>
      </w:r>
      <w:r w:rsidR="000667DB">
        <w:rPr>
          <w:noProof/>
        </w:rPr>
        <w:t>2</w:t>
      </w:r>
      <w:r w:rsidR="000667DB">
        <w:rPr>
          <w:noProof/>
        </w:rPr>
        <w:noBreakHyphen/>
        <w:t>3</w:t>
      </w:r>
      <w:r w:rsidR="0054424E" w:rsidRPr="009867C1">
        <w:fldChar w:fldCharType="end"/>
      </w:r>
      <w:r w:rsidR="0054424E">
        <w:t>)</w:t>
      </w:r>
      <w:r w:rsidR="00653AD4">
        <w:t>. However, there were n</w:t>
      </w:r>
      <w:r w:rsidR="0054424E">
        <w:t>o significant trend</w:t>
      </w:r>
      <w:r w:rsidR="00653AD4">
        <w:t>s</w:t>
      </w:r>
      <w:r w:rsidR="0054424E">
        <w:t xml:space="preserve"> in the modelling results</w:t>
      </w:r>
      <w:r w:rsidR="00EF56BB">
        <w:t xml:space="preserve"> or the waterfall analysis</w:t>
      </w:r>
      <w:r w:rsidR="0054424E">
        <w:t xml:space="preserve">. </w:t>
      </w:r>
    </w:p>
    <w:p w14:paraId="2429B8A6" w14:textId="1B6AB061" w:rsidR="00653AD4" w:rsidRDefault="00223F7A" w:rsidP="00223F7A">
      <w:pPr>
        <w:ind w:firstLine="720"/>
      </w:pPr>
      <w:r w:rsidRPr="009867C1">
        <w:t xml:space="preserve">  </w:t>
      </w:r>
      <w:r w:rsidR="00653AD4">
        <w:t xml:space="preserve">Similarly, carbon was predicted to increase with salmon inputs, but was </w:t>
      </w:r>
      <w:r w:rsidR="00726053">
        <w:t xml:space="preserve">unaffected by salmon </w:t>
      </w:r>
      <w:r w:rsidR="00653AD4">
        <w:t xml:space="preserve">inputs </w:t>
      </w:r>
      <w:r w:rsidR="00726053">
        <w:t>i</w:t>
      </w:r>
      <w:r w:rsidRPr="009867C1">
        <w:t xml:space="preserve">n </w:t>
      </w:r>
      <w:r w:rsidR="00E33F25">
        <w:t xml:space="preserve">the gradient data and was higher, but not significantly so, in organic soil below falls. </w:t>
      </w:r>
      <w:r w:rsidRPr="009867C1">
        <w:t>Loss-on-ignition</w:t>
      </w:r>
      <w:r w:rsidR="007C76E4">
        <w:t xml:space="preserve"> (LOI, </w:t>
      </w:r>
      <w:r w:rsidR="007C76E4" w:rsidRPr="009867C1">
        <w:fldChar w:fldCharType="begin"/>
      </w:r>
      <w:r w:rsidR="007C76E4" w:rsidRPr="009867C1">
        <w:instrText xml:space="preserve"> REF _Ref37697423 \h </w:instrText>
      </w:r>
      <w:r w:rsidR="007C76E4">
        <w:instrText xml:space="preserve"> \* MERGEFORMAT </w:instrText>
      </w:r>
      <w:r w:rsidR="007C76E4" w:rsidRPr="009867C1">
        <w:fldChar w:fldCharType="separate"/>
      </w:r>
      <w:r w:rsidR="000667DB" w:rsidRPr="009867C1">
        <w:t xml:space="preserve">Figure </w:t>
      </w:r>
      <w:r w:rsidR="000667DB">
        <w:rPr>
          <w:noProof/>
        </w:rPr>
        <w:t>2</w:t>
      </w:r>
      <w:r w:rsidR="000667DB">
        <w:rPr>
          <w:noProof/>
        </w:rPr>
        <w:noBreakHyphen/>
        <w:t>3</w:t>
      </w:r>
      <w:r w:rsidR="007C76E4" w:rsidRPr="009867C1">
        <w:fldChar w:fldCharType="end"/>
      </w:r>
      <w:r w:rsidR="007C76E4">
        <w:t xml:space="preserve"> p.2) </w:t>
      </w:r>
      <w:r w:rsidRPr="009867C1">
        <w:t xml:space="preserve">was dominated by carbon content and had similar results. </w:t>
      </w:r>
    </w:p>
    <w:p w14:paraId="03E80D64" w14:textId="735A2EF1" w:rsidR="007C76E4" w:rsidRDefault="00223F7A" w:rsidP="00223F7A">
      <w:pPr>
        <w:ind w:firstLine="720"/>
      </w:pPr>
      <w:r w:rsidRPr="009867C1">
        <w:t>Total sulfur (</w:t>
      </w:r>
      <w:r w:rsidRPr="009867C1">
        <w:fldChar w:fldCharType="begin"/>
      </w:r>
      <w:r w:rsidRPr="009867C1">
        <w:instrText xml:space="preserve"> REF _Ref37697423 \h </w:instrText>
      </w:r>
      <w:r w:rsidR="009867C1">
        <w:instrText xml:space="preserve"> \* MERGEFORMAT </w:instrText>
      </w:r>
      <w:r w:rsidRPr="009867C1">
        <w:fldChar w:fldCharType="separate"/>
      </w:r>
      <w:r w:rsidR="000667DB" w:rsidRPr="009867C1">
        <w:t xml:space="preserve">Figure </w:t>
      </w:r>
      <w:r w:rsidR="000667DB">
        <w:rPr>
          <w:noProof/>
        </w:rPr>
        <w:t>2</w:t>
      </w:r>
      <w:r w:rsidR="000667DB">
        <w:rPr>
          <w:noProof/>
        </w:rPr>
        <w:noBreakHyphen/>
        <w:t>3</w:t>
      </w:r>
      <w:r w:rsidRPr="009867C1">
        <w:fldChar w:fldCharType="end"/>
      </w:r>
      <w:r w:rsidR="007C76E4">
        <w:t xml:space="preserve"> p.2</w:t>
      </w:r>
      <w:r w:rsidRPr="009867C1">
        <w:t xml:space="preserve">) </w:t>
      </w:r>
      <w:r w:rsidR="00726053">
        <w:t xml:space="preserve">was </w:t>
      </w:r>
      <w:r w:rsidR="007C76E4">
        <w:t xml:space="preserve">predicted to increase with salmon inputs, and </w:t>
      </w:r>
      <w:r w:rsidR="00AC24B6">
        <w:t xml:space="preserve">there </w:t>
      </w:r>
      <w:r w:rsidR="007C76E4">
        <w:t xml:space="preserve">was </w:t>
      </w:r>
      <w:r w:rsidR="00AC24B6">
        <w:t>an increasing tendency in</w:t>
      </w:r>
      <w:r w:rsidR="007C76E4">
        <w:t xml:space="preserve"> both soil layers below waterfalls. It showed, however, no significant tendenc</w:t>
      </w:r>
      <w:r w:rsidR="00AC24B6">
        <w:t>y</w:t>
      </w:r>
      <w:r w:rsidR="007C76E4">
        <w:t xml:space="preserve"> in the modelling results. Similarly, exchangeable sulfur was also expected to increase with salmon inputs, but showed </w:t>
      </w:r>
      <w:r w:rsidR="00AC24B6">
        <w:t>a decreasing but not</w:t>
      </w:r>
      <w:r w:rsidR="007C76E4">
        <w:t xml:space="preserve"> significant trend </w:t>
      </w:r>
      <w:r w:rsidR="00AC24B6">
        <w:t>both between</w:t>
      </w:r>
      <w:r w:rsidR="007C76E4">
        <w:t xml:space="preserve"> waterfalls</w:t>
      </w:r>
      <w:r w:rsidR="00AC24B6">
        <w:t xml:space="preserve"> and along gradients</w:t>
      </w:r>
      <w:r w:rsidR="007C76E4">
        <w:t xml:space="preserve">. </w:t>
      </w:r>
    </w:p>
    <w:p w14:paraId="64172D27" w14:textId="71E6FF0A" w:rsidR="007C76E4" w:rsidRDefault="007C76E4" w:rsidP="007C76E4">
      <w:pPr>
        <w:pStyle w:val="Heading4"/>
      </w:pPr>
      <w:bookmarkStart w:id="55" w:name="_Toc99385424"/>
      <w:r>
        <w:t>Exchangeable cations</w:t>
      </w:r>
      <w:r w:rsidR="009B6CCE">
        <w:t xml:space="preserve"> </w:t>
      </w:r>
      <w:r w:rsidR="009B6CCE" w:rsidRPr="009867C1">
        <w:t>(</w:t>
      </w:r>
      <w:r w:rsidR="009B6CCE" w:rsidRPr="009867C1">
        <w:fldChar w:fldCharType="begin"/>
      </w:r>
      <w:r w:rsidR="009B6CCE" w:rsidRPr="009867C1">
        <w:instrText xml:space="preserve"> REF _Ref37698445 \h </w:instrText>
      </w:r>
      <w:r w:rsidR="009B6CCE">
        <w:instrText xml:space="preserve"> \* MERGEFORMAT </w:instrText>
      </w:r>
      <w:r w:rsidR="009B6CCE" w:rsidRPr="009867C1">
        <w:fldChar w:fldCharType="separate"/>
      </w:r>
      <w:r w:rsidR="000667DB" w:rsidRPr="009867C1">
        <w:t xml:space="preserve">Figure </w:t>
      </w:r>
      <w:r w:rsidR="000667DB">
        <w:rPr>
          <w:noProof/>
        </w:rPr>
        <w:t>2</w:t>
      </w:r>
      <w:r w:rsidR="000667DB">
        <w:rPr>
          <w:noProof/>
        </w:rPr>
        <w:noBreakHyphen/>
        <w:t>4</w:t>
      </w:r>
      <w:r w:rsidR="009B6CCE" w:rsidRPr="009867C1">
        <w:fldChar w:fldCharType="end"/>
      </w:r>
      <w:r w:rsidR="009B6CCE" w:rsidRPr="009867C1">
        <w:t>)</w:t>
      </w:r>
      <w:bookmarkEnd w:id="55"/>
    </w:p>
    <w:p w14:paraId="0F1CE7B4" w14:textId="589BDBEC" w:rsidR="00915C0C" w:rsidRDefault="00223F7A" w:rsidP="00223F7A">
      <w:pPr>
        <w:ind w:firstLine="720"/>
      </w:pPr>
      <w:r w:rsidRPr="009867C1">
        <w:t>Cation exchange capacity (CEC)</w:t>
      </w:r>
      <w:r w:rsidR="00915C0C">
        <w:t xml:space="preserve"> was predicted to increase with salmon inputs, but</w:t>
      </w:r>
      <w:r w:rsidRPr="009867C1">
        <w:t xml:space="preserve"> showed no change along the salmon density gradient in either soil type (</w:t>
      </w:r>
      <w:r w:rsidRPr="009867C1">
        <w:fldChar w:fldCharType="begin"/>
      </w:r>
      <w:r w:rsidRPr="009867C1">
        <w:instrText xml:space="preserve"> REF _Ref37698445 \h </w:instrText>
      </w:r>
      <w:r w:rsidR="009867C1">
        <w:instrText xml:space="preserve"> \* MERGEFORMAT </w:instrText>
      </w:r>
      <w:r w:rsidRPr="009867C1">
        <w:fldChar w:fldCharType="separate"/>
      </w:r>
      <w:r w:rsidR="000667DB" w:rsidRPr="009867C1">
        <w:t xml:space="preserve">Figure </w:t>
      </w:r>
      <w:r w:rsidR="000667DB">
        <w:rPr>
          <w:noProof/>
        </w:rPr>
        <w:t>2</w:t>
      </w:r>
      <w:r w:rsidR="000667DB">
        <w:rPr>
          <w:noProof/>
        </w:rPr>
        <w:noBreakHyphen/>
        <w:t>4</w:t>
      </w:r>
      <w:r w:rsidRPr="009867C1">
        <w:fldChar w:fldCharType="end"/>
      </w:r>
      <w:r w:rsidRPr="009867C1">
        <w:t xml:space="preserve">), and similarly no significant differences </w:t>
      </w:r>
      <w:r w:rsidR="005562E8">
        <w:t>between water</w:t>
      </w:r>
      <w:r w:rsidRPr="009867C1">
        <w:t>fall</w:t>
      </w:r>
      <w:r w:rsidR="00B606C3">
        <w:t xml:space="preserve"> sites</w:t>
      </w:r>
      <w:r w:rsidRPr="009867C1">
        <w:t xml:space="preserve">. </w:t>
      </w:r>
    </w:p>
    <w:p w14:paraId="62DDE63C" w14:textId="3264385A" w:rsidR="00C26B6F" w:rsidRDefault="00223F7A" w:rsidP="00223F7A">
      <w:pPr>
        <w:ind w:firstLine="720"/>
      </w:pPr>
      <w:r w:rsidRPr="009867C1">
        <w:t xml:space="preserve">Calcium </w:t>
      </w:r>
      <w:r w:rsidR="00915C0C">
        <w:t xml:space="preserve">was also predicted to increase with salmon inputs, </w:t>
      </w:r>
      <w:r w:rsidR="006E5ED1">
        <w:t xml:space="preserve">and showed </w:t>
      </w:r>
      <w:r w:rsidR="00C26B6F">
        <w:t>positive</w:t>
      </w:r>
      <w:r w:rsidR="006E5ED1">
        <w:t xml:space="preserve"> but only moderately-significant (0.5&lt;P&lt;0.1)</w:t>
      </w:r>
      <w:r w:rsidR="00C26B6F">
        <w:t xml:space="preserve"> tendencies in the regional modelling </w:t>
      </w:r>
      <w:r w:rsidR="006E5ED1">
        <w:t>analysis and positive but not significant differences below falls</w:t>
      </w:r>
      <w:r w:rsidR="00C26B6F">
        <w:t xml:space="preserve">. </w:t>
      </w:r>
    </w:p>
    <w:p w14:paraId="6C076DFB" w14:textId="06CB5D42" w:rsidR="00C26B6F" w:rsidRDefault="00C26B6F" w:rsidP="00223F7A">
      <w:pPr>
        <w:ind w:firstLine="720"/>
      </w:pPr>
      <w:r>
        <w:t xml:space="preserve">Magnesium was predicted to increase with salmon inputs, but was found instead to decrease along the regional salmon gradient. </w:t>
      </w:r>
      <w:r w:rsidR="006E5ED1">
        <w:t xml:space="preserve">Between waterfall sites, there was no relationship in forest floors and an increasing tendency </w:t>
      </w:r>
      <w:r>
        <w:t xml:space="preserve">in organic soil. </w:t>
      </w:r>
    </w:p>
    <w:p w14:paraId="75CB6AA6" w14:textId="31BB782A" w:rsidR="00075A60" w:rsidRDefault="00223F7A" w:rsidP="00223F7A">
      <w:pPr>
        <w:ind w:firstLine="720"/>
      </w:pPr>
      <w:r w:rsidRPr="009867C1">
        <w:t>Potassium</w:t>
      </w:r>
      <w:r w:rsidR="00692A4C">
        <w:t xml:space="preserve"> (</w:t>
      </w:r>
      <w:r w:rsidR="00692A4C" w:rsidRPr="009867C1">
        <w:fldChar w:fldCharType="begin"/>
      </w:r>
      <w:r w:rsidR="00692A4C" w:rsidRPr="009867C1">
        <w:instrText xml:space="preserve"> REF _Ref37698445 \h </w:instrText>
      </w:r>
      <w:r w:rsidR="00692A4C">
        <w:instrText xml:space="preserve"> \* MERGEFORMAT </w:instrText>
      </w:r>
      <w:r w:rsidR="00692A4C" w:rsidRPr="009867C1">
        <w:fldChar w:fldCharType="separate"/>
      </w:r>
      <w:r w:rsidR="000667DB" w:rsidRPr="009867C1">
        <w:t xml:space="preserve">Figure </w:t>
      </w:r>
      <w:r w:rsidR="000667DB">
        <w:rPr>
          <w:noProof/>
        </w:rPr>
        <w:t>2</w:t>
      </w:r>
      <w:r w:rsidR="000667DB">
        <w:rPr>
          <w:noProof/>
        </w:rPr>
        <w:noBreakHyphen/>
        <w:t>4</w:t>
      </w:r>
      <w:r w:rsidR="00692A4C" w:rsidRPr="009867C1">
        <w:fldChar w:fldCharType="end"/>
      </w:r>
      <w:r w:rsidR="00692A4C">
        <w:t>, p.2)</w:t>
      </w:r>
      <w:r w:rsidRPr="009867C1">
        <w:t xml:space="preserve"> </w:t>
      </w:r>
      <w:r w:rsidR="00692A4C">
        <w:t>was also predicted to increase with salmon inputs, but</w:t>
      </w:r>
      <w:r w:rsidR="00075A60">
        <w:t xml:space="preserve"> showed no significant relationships </w:t>
      </w:r>
      <w:r w:rsidR="006E5ED1">
        <w:t xml:space="preserve">but decreasing tendencies </w:t>
      </w:r>
      <w:r w:rsidR="00075A60">
        <w:t>in any the</w:t>
      </w:r>
      <w:r w:rsidR="006E5ED1">
        <w:t>se</w:t>
      </w:r>
      <w:r w:rsidR="00075A60">
        <w:t xml:space="preserve"> comparisons. </w:t>
      </w:r>
    </w:p>
    <w:p w14:paraId="52B20602" w14:textId="77777777" w:rsidR="00194016" w:rsidRDefault="00194016" w:rsidP="00223F7A">
      <w:pPr>
        <w:ind w:firstLine="720"/>
      </w:pPr>
      <w:r>
        <w:t>While no predictions were made for s</w:t>
      </w:r>
      <w:r w:rsidR="00075A60">
        <w:t xml:space="preserve">odium, </w:t>
      </w:r>
      <w:r>
        <w:t xml:space="preserve">it behaved similarly to magnesium and decreased in the modelling results but was higher, or had no change, in the waterfall comparisons. </w:t>
      </w:r>
    </w:p>
    <w:p w14:paraId="568ECEF5" w14:textId="596E2F2D" w:rsidR="00075A60" w:rsidRDefault="00194016" w:rsidP="00194016">
      <w:pPr>
        <w:pStyle w:val="Heading4"/>
      </w:pPr>
      <w:bookmarkStart w:id="56" w:name="_Toc99385425"/>
      <w:r>
        <w:t>Metals</w:t>
      </w:r>
      <w:r w:rsidR="00075A60">
        <w:t xml:space="preserve"> </w:t>
      </w:r>
      <w:r w:rsidR="009B6CCE">
        <w:t>(</w:t>
      </w:r>
      <w:r w:rsidR="009B6CCE">
        <w:fldChar w:fldCharType="begin"/>
      </w:r>
      <w:r w:rsidR="009B6CCE">
        <w:instrText xml:space="preserve"> REF _Ref37603054 \h </w:instrText>
      </w:r>
      <w:r w:rsidR="009B6CCE">
        <w:fldChar w:fldCharType="separate"/>
      </w:r>
      <w:r w:rsidR="000667DB" w:rsidRPr="009867C1">
        <w:t xml:space="preserve">Figure </w:t>
      </w:r>
      <w:r w:rsidR="000667DB">
        <w:rPr>
          <w:noProof/>
        </w:rPr>
        <w:t>2</w:t>
      </w:r>
      <w:r w:rsidR="000667DB">
        <w:noBreakHyphen/>
      </w:r>
      <w:r w:rsidR="000667DB">
        <w:rPr>
          <w:noProof/>
        </w:rPr>
        <w:t>5</w:t>
      </w:r>
      <w:r w:rsidR="009B6CCE">
        <w:fldChar w:fldCharType="end"/>
      </w:r>
      <w:r w:rsidR="009B6CCE">
        <w:t>)</w:t>
      </w:r>
      <w:r w:rsidR="00B36C10">
        <w:t xml:space="preserve"> and Ergosterol </w:t>
      </w:r>
      <w:r w:rsidR="00B36C10" w:rsidRPr="009867C1">
        <w:t>(</w:t>
      </w:r>
      <w:r w:rsidR="00B36C10" w:rsidRPr="009867C1">
        <w:fldChar w:fldCharType="begin"/>
      </w:r>
      <w:r w:rsidR="00B36C10" w:rsidRPr="009867C1">
        <w:instrText xml:space="preserve"> REF _Ref73042590 \h </w:instrText>
      </w:r>
      <w:r w:rsidR="00B36C10">
        <w:instrText xml:space="preserve"> \* MERGEFORMAT </w:instrText>
      </w:r>
      <w:r w:rsidR="00B36C10" w:rsidRPr="009867C1">
        <w:fldChar w:fldCharType="separate"/>
      </w:r>
      <w:r w:rsidR="000667DB" w:rsidRPr="009867C1">
        <w:t xml:space="preserve">Figure </w:t>
      </w:r>
      <w:r w:rsidR="000667DB">
        <w:rPr>
          <w:noProof/>
        </w:rPr>
        <w:t>2</w:t>
      </w:r>
      <w:r w:rsidR="000667DB">
        <w:rPr>
          <w:noProof/>
        </w:rPr>
        <w:noBreakHyphen/>
        <w:t>6</w:t>
      </w:r>
      <w:r w:rsidR="00B36C10" w:rsidRPr="009867C1">
        <w:fldChar w:fldCharType="end"/>
      </w:r>
      <w:r w:rsidR="00B36C10">
        <w:t>)</w:t>
      </w:r>
      <w:bookmarkEnd w:id="56"/>
    </w:p>
    <w:p w14:paraId="045C9E2A" w14:textId="5F3B6ACA" w:rsidR="000A7F82" w:rsidRDefault="000A7F82" w:rsidP="00223F7A">
      <w:pPr>
        <w:ind w:firstLine="720"/>
      </w:pPr>
      <w:r>
        <w:t xml:space="preserve">Turning to the metals, </w:t>
      </w:r>
      <w:r w:rsidR="00223F7A" w:rsidRPr="009867C1">
        <w:t xml:space="preserve">aluminum </w:t>
      </w:r>
      <w:r w:rsidR="00230D11">
        <w:t>was</w:t>
      </w:r>
      <w:r>
        <w:t xml:space="preserve"> predicted to </w:t>
      </w:r>
      <w:r w:rsidR="008F3D00">
        <w:t xml:space="preserve">decrease </w:t>
      </w:r>
      <w:r>
        <w:t xml:space="preserve">with salmon </w:t>
      </w:r>
      <w:r w:rsidR="009B6CCE">
        <w:t>inputs</w:t>
      </w:r>
      <w:r>
        <w:t xml:space="preserve">. It </w:t>
      </w:r>
      <w:r w:rsidR="009B6CCE">
        <w:t>showed mixed responses across these analyses (</w:t>
      </w:r>
      <w:r w:rsidR="009B6CCE">
        <w:fldChar w:fldCharType="begin"/>
      </w:r>
      <w:r w:rsidR="009B6CCE">
        <w:instrText xml:space="preserve"> REF _Ref37603054 \h </w:instrText>
      </w:r>
      <w:r w:rsidR="009B6CCE">
        <w:fldChar w:fldCharType="separate"/>
      </w:r>
      <w:r w:rsidR="000667DB" w:rsidRPr="009867C1">
        <w:t xml:space="preserve">Figure </w:t>
      </w:r>
      <w:r w:rsidR="000667DB">
        <w:rPr>
          <w:noProof/>
        </w:rPr>
        <w:t>2</w:t>
      </w:r>
      <w:r w:rsidR="000667DB">
        <w:noBreakHyphen/>
      </w:r>
      <w:r w:rsidR="000667DB">
        <w:rPr>
          <w:noProof/>
        </w:rPr>
        <w:t>5</w:t>
      </w:r>
      <w:r w:rsidR="009B6CCE">
        <w:fldChar w:fldCharType="end"/>
      </w:r>
      <w:r w:rsidR="009B6CCE">
        <w:t xml:space="preserve">), with </w:t>
      </w:r>
      <w:r>
        <w:t xml:space="preserve">no change along the regional salmon density gradient in forest floor soils but a moderately significant (p=0.055) </w:t>
      </w:r>
      <w:r w:rsidR="009B6CCE">
        <w:t>increase in organic soils</w:t>
      </w:r>
      <w:r w:rsidR="00F9172E">
        <w:t xml:space="preserve"> (this result, however, was sensitive to two extreme values)</w:t>
      </w:r>
      <w:r w:rsidR="009B6CCE">
        <w:t xml:space="preserve">. Among waterfall sites it showed no significant relationships, but tended to be lower below than above falls. </w:t>
      </w:r>
    </w:p>
    <w:p w14:paraId="17A065BF" w14:textId="388552BB" w:rsidR="00A415DC" w:rsidRDefault="00230D11" w:rsidP="00223F7A">
      <w:pPr>
        <w:ind w:firstLine="720"/>
      </w:pPr>
      <w:r>
        <w:t xml:space="preserve"> </w:t>
      </w:r>
      <w:r w:rsidR="00F9172E">
        <w:t>Total</w:t>
      </w:r>
      <w:r w:rsidR="00263AAC">
        <w:t xml:space="preserve"> and exchangeable</w:t>
      </w:r>
      <w:r w:rsidR="00223F7A" w:rsidRPr="009867C1">
        <w:t xml:space="preserve"> iron</w:t>
      </w:r>
      <w:r w:rsidR="00263AAC">
        <w:t xml:space="preserve"> were both predicted to decrease</w:t>
      </w:r>
      <w:r w:rsidR="00223F7A" w:rsidRPr="009867C1">
        <w:t xml:space="preserve"> </w:t>
      </w:r>
      <w:r w:rsidR="008F3D00">
        <w:t xml:space="preserve">with salmon inputs, and showed similar lack of a response in the regional density gradient models. </w:t>
      </w:r>
      <w:r w:rsidR="00A415DC">
        <w:t>Despite being lower below falls in all soil types none of these differences were significant.</w:t>
      </w:r>
    </w:p>
    <w:p w14:paraId="13DBAA3E" w14:textId="2BE21B01" w:rsidR="00A87D57" w:rsidRDefault="00A87D57" w:rsidP="00223F7A">
      <w:pPr>
        <w:ind w:firstLine="720"/>
      </w:pPr>
      <w:r>
        <w:t>No predictions were made for copper, but it was found to increase with salmon density in organic but not forest floor soil (</w:t>
      </w:r>
      <w:r>
        <w:fldChar w:fldCharType="begin"/>
      </w:r>
      <w:r>
        <w:instrText xml:space="preserve"> REF _Ref37603054 \h </w:instrText>
      </w:r>
      <w:r>
        <w:fldChar w:fldCharType="separate"/>
      </w:r>
      <w:r w:rsidR="000667DB" w:rsidRPr="009867C1">
        <w:t xml:space="preserve">Figure </w:t>
      </w:r>
      <w:r w:rsidR="000667DB">
        <w:rPr>
          <w:noProof/>
        </w:rPr>
        <w:t>2</w:t>
      </w:r>
      <w:r w:rsidR="000667DB">
        <w:noBreakHyphen/>
      </w:r>
      <w:r w:rsidR="000667DB">
        <w:rPr>
          <w:noProof/>
        </w:rPr>
        <w:t>5</w:t>
      </w:r>
      <w:r>
        <w:fldChar w:fldCharType="end"/>
      </w:r>
      <w:r>
        <w:t xml:space="preserve">, p.2). </w:t>
      </w:r>
      <w:r w:rsidR="00223F7A" w:rsidRPr="009867C1">
        <w:t>Zinc</w:t>
      </w:r>
      <w:r>
        <w:t>, since it is a component of salmon flesh, was predicted to increase with salmon inputs; however, it showed no significant responses among our comparisons</w:t>
      </w:r>
      <w:r w:rsidR="00F9172E">
        <w:t xml:space="preserve"> but had an increasing tendency below falls</w:t>
      </w:r>
      <w:r>
        <w:t xml:space="preserve">. </w:t>
      </w:r>
      <w:r w:rsidR="00B36C10">
        <w:t>No predictions were made for either m</w:t>
      </w:r>
      <w:r>
        <w:t xml:space="preserve">anganese </w:t>
      </w:r>
      <w:r w:rsidR="00B36C10">
        <w:t xml:space="preserve">or boron, and similar to zinc these elements </w:t>
      </w:r>
      <w:r>
        <w:t>showed no significant responses among the various analyses</w:t>
      </w:r>
      <w:r w:rsidR="00B36C10">
        <w:t>.</w:t>
      </w:r>
    </w:p>
    <w:p w14:paraId="44DD4CDF" w14:textId="08842E4E" w:rsidR="00B36C10" w:rsidRDefault="00B36C10" w:rsidP="00223F7A">
      <w:pPr>
        <w:ind w:firstLine="720"/>
      </w:pPr>
      <w:r>
        <w:t xml:space="preserve">Various alternative hypotheses were made for ergosterol, but it was found to not change either along the regional salmon gradient or between waterfall sites </w:t>
      </w:r>
      <w:r w:rsidRPr="009867C1">
        <w:t>(</w:t>
      </w:r>
      <w:r w:rsidRPr="009867C1">
        <w:fldChar w:fldCharType="begin"/>
      </w:r>
      <w:r w:rsidRPr="009867C1">
        <w:instrText xml:space="preserve"> REF _Ref73042590 \h </w:instrText>
      </w:r>
      <w:r>
        <w:instrText xml:space="preserve"> \* MERGEFORMAT </w:instrText>
      </w:r>
      <w:r w:rsidRPr="009867C1">
        <w:fldChar w:fldCharType="separate"/>
      </w:r>
      <w:r w:rsidR="000667DB" w:rsidRPr="009867C1">
        <w:t xml:space="preserve">Figure </w:t>
      </w:r>
      <w:r w:rsidR="000667DB">
        <w:rPr>
          <w:noProof/>
        </w:rPr>
        <w:t>2</w:t>
      </w:r>
      <w:r w:rsidR="000667DB">
        <w:rPr>
          <w:noProof/>
        </w:rPr>
        <w:noBreakHyphen/>
        <w:t>6</w:t>
      </w:r>
      <w:r w:rsidRPr="009867C1">
        <w:fldChar w:fldCharType="end"/>
      </w:r>
      <w:r>
        <w:t>).</w:t>
      </w:r>
    </w:p>
    <w:p w14:paraId="29CAA971" w14:textId="2220D052" w:rsidR="00B36C10" w:rsidRDefault="00B36C10" w:rsidP="00B36C10">
      <w:pPr>
        <w:pStyle w:val="Heading4"/>
      </w:pPr>
      <w:bookmarkStart w:id="57" w:name="_Toc99385426"/>
      <w:r>
        <w:t>Exploratory analysis</w:t>
      </w:r>
      <w:r w:rsidR="0092286A">
        <w:t xml:space="preserve"> </w:t>
      </w:r>
      <w:r w:rsidR="0092286A" w:rsidRPr="009867C1">
        <w:t>(</w:t>
      </w:r>
      <w:r w:rsidR="0092286A" w:rsidRPr="009867C1">
        <w:fldChar w:fldCharType="begin"/>
      </w:r>
      <w:r w:rsidR="0092286A" w:rsidRPr="009867C1">
        <w:instrText xml:space="preserve"> REF _Ref73025934 \h </w:instrText>
      </w:r>
      <w:r w:rsidR="0092286A">
        <w:instrText xml:space="preserve"> \* MERGEFORMAT </w:instrText>
      </w:r>
      <w:r w:rsidR="0092286A" w:rsidRPr="009867C1">
        <w:fldChar w:fldCharType="separate"/>
      </w:r>
      <w:r w:rsidR="000667DB" w:rsidRPr="009867C1">
        <w:t xml:space="preserve">Figure </w:t>
      </w:r>
      <w:r w:rsidR="000667DB">
        <w:rPr>
          <w:noProof/>
        </w:rPr>
        <w:t>2</w:t>
      </w:r>
      <w:r w:rsidR="000667DB">
        <w:rPr>
          <w:noProof/>
        </w:rPr>
        <w:noBreakHyphen/>
        <w:t>7</w:t>
      </w:r>
      <w:r w:rsidR="0092286A" w:rsidRPr="009867C1">
        <w:fldChar w:fldCharType="end"/>
      </w:r>
      <w:r w:rsidR="0092286A">
        <w:t>)</w:t>
      </w:r>
      <w:bookmarkEnd w:id="57"/>
    </w:p>
    <w:p w14:paraId="3DCF2C84" w14:textId="60D53938" w:rsidR="00223F7A" w:rsidRDefault="00223F7A" w:rsidP="00223F7A">
      <w:pPr>
        <w:ind w:firstLine="720"/>
      </w:pPr>
      <w:r w:rsidRPr="009867C1">
        <w:t xml:space="preserve">In the random forest model analysis, explanatory variables of high importance were soil </w:t>
      </w:r>
      <w:r w:rsidR="006F63F4">
        <w:t>layer type</w:t>
      </w:r>
      <w:r w:rsidRPr="009867C1">
        <w:t>, the two moss</w:t>
      </w:r>
      <w:r w:rsidR="006F63F4">
        <w:t xml:space="preserve"> percent cover</w:t>
      </w:r>
      <w:r w:rsidRPr="009867C1">
        <w:t xml:space="preserve"> PCA axes, and the first shrub</w:t>
      </w:r>
      <w:r w:rsidR="006F63F4">
        <w:t xml:space="preserve"> index</w:t>
      </w:r>
      <w:r w:rsidRPr="009867C1">
        <w:t xml:space="preserve"> PCA axis (</w:t>
      </w:r>
      <w:r w:rsidRPr="009867C1">
        <w:fldChar w:fldCharType="begin"/>
      </w:r>
      <w:r w:rsidRPr="009867C1">
        <w:instrText xml:space="preserve"> REF _Ref73025934 \h </w:instrText>
      </w:r>
      <w:r w:rsidR="009867C1">
        <w:instrText xml:space="preserve"> \* MERGEFORMAT </w:instrText>
      </w:r>
      <w:r w:rsidRPr="009867C1">
        <w:fldChar w:fldCharType="separate"/>
      </w:r>
      <w:r w:rsidR="000667DB" w:rsidRPr="009867C1">
        <w:t xml:space="preserve">Figure </w:t>
      </w:r>
      <w:r w:rsidR="000667DB">
        <w:rPr>
          <w:noProof/>
        </w:rPr>
        <w:t>2</w:t>
      </w:r>
      <w:r w:rsidR="000667DB">
        <w:rPr>
          <w:noProof/>
        </w:rPr>
        <w:noBreakHyphen/>
        <w:t>7</w:t>
      </w:r>
      <w:r w:rsidRPr="009867C1">
        <w:fldChar w:fldCharType="end"/>
      </w:r>
      <w:r w:rsidRPr="009867C1">
        <w:t xml:space="preserve">). Salmon density and distance from the stream were also </w:t>
      </w:r>
      <w:r w:rsidR="0028453E">
        <w:t xml:space="preserve">of </w:t>
      </w:r>
      <w:r w:rsidR="006F63F4">
        <w:t xml:space="preserve">relatively </w:t>
      </w:r>
      <w:r w:rsidR="0028453E">
        <w:t xml:space="preserve">high </w:t>
      </w:r>
      <w:r w:rsidRPr="009867C1">
        <w:t>importan</w:t>
      </w:r>
      <w:r w:rsidR="0028453E">
        <w:t>ce</w:t>
      </w:r>
      <w:r w:rsidR="006F63F4">
        <w:t xml:space="preserve"> for the various nitrogenous compounds, phosphorus, total sulfur, calcium, magnesium, and zinc</w:t>
      </w:r>
      <w:r w:rsidRPr="009867C1">
        <w:t>.</w:t>
      </w:r>
      <w:r w:rsidR="006F63F4">
        <w:t xml:space="preserve">  </w:t>
      </w:r>
      <w:r w:rsidRPr="009867C1">
        <w:t xml:space="preserve"> </w:t>
      </w:r>
    </w:p>
    <w:p w14:paraId="6783E342" w14:textId="4C02A8F2" w:rsidR="006F63F4" w:rsidRPr="009867C1" w:rsidRDefault="006F63F4" w:rsidP="006F63F4">
      <w:pPr>
        <w:pStyle w:val="Heading4"/>
      </w:pPr>
      <w:bookmarkStart w:id="58" w:name="_Toc99385427"/>
      <w:r>
        <w:t xml:space="preserve">Calcium </w:t>
      </w:r>
      <w:r w:rsidR="00342973">
        <w:t>to</w:t>
      </w:r>
      <w:r>
        <w:t xml:space="preserve"> aluminum ratio and regional comparisons</w:t>
      </w:r>
      <w:bookmarkEnd w:id="58"/>
      <w:r w:rsidR="00EA7B1B">
        <w:t xml:space="preserve"> </w:t>
      </w:r>
    </w:p>
    <w:p w14:paraId="4FEBA369" w14:textId="18090339" w:rsidR="00223F7A" w:rsidRPr="009867C1" w:rsidRDefault="00223F7A" w:rsidP="00223F7A">
      <w:pPr>
        <w:ind w:firstLine="720"/>
      </w:pPr>
      <w:r w:rsidRPr="009867C1">
        <w:t xml:space="preserve">Ca:Al ratios were </w:t>
      </w:r>
      <w:r w:rsidR="00342973">
        <w:t xml:space="preserve">predicted to increase with salmon inputs, and were found to be </w:t>
      </w:r>
      <w:r w:rsidRPr="009867C1">
        <w:t>higher in forest floors than organic soil (</w:t>
      </w:r>
      <w:r w:rsidRPr="009867C1">
        <w:fldChar w:fldCharType="begin"/>
      </w:r>
      <w:r w:rsidRPr="009867C1">
        <w:instrText xml:space="preserve"> REF _Ref73352626 \h </w:instrText>
      </w:r>
      <w:r w:rsidR="009867C1">
        <w:instrText xml:space="preserve"> \* MERGEFORMAT </w:instrText>
      </w:r>
      <w:r w:rsidRPr="009867C1">
        <w:fldChar w:fldCharType="separate"/>
      </w:r>
      <w:r w:rsidR="000667DB" w:rsidRPr="009867C1">
        <w:t xml:space="preserve">Figure </w:t>
      </w:r>
      <w:r w:rsidR="000667DB">
        <w:rPr>
          <w:noProof/>
        </w:rPr>
        <w:t>2</w:t>
      </w:r>
      <w:r w:rsidR="000667DB">
        <w:rPr>
          <w:noProof/>
        </w:rPr>
        <w:noBreakHyphen/>
        <w:t>8</w:t>
      </w:r>
      <w:r w:rsidRPr="009867C1">
        <w:fldChar w:fldCharType="end"/>
      </w:r>
      <w:r w:rsidRPr="009867C1">
        <w:t>)</w:t>
      </w:r>
      <w:r w:rsidR="00342973">
        <w:t>. Ca:Al was U-shaped</w:t>
      </w:r>
      <w:r w:rsidRPr="009867C1">
        <w:t xml:space="preserve"> </w:t>
      </w:r>
      <w:r w:rsidR="00342973">
        <w:t>in forest floors as a function</w:t>
      </w:r>
      <w:r w:rsidRPr="009867C1">
        <w:t xml:space="preserve"> of</w:t>
      </w:r>
      <w:r w:rsidR="0028453E">
        <w:t xml:space="preserve"> salmon density</w:t>
      </w:r>
      <w:r w:rsidR="00342973">
        <w:t xml:space="preserve">, although this was highly sensitive to the two highest salmon-density sites. </w:t>
      </w:r>
      <w:r w:rsidRPr="009867C1">
        <w:t>Wilcoxon tests indicated that while variable, Ca:Al ratios were significantly higher below waterfalls than above (P &lt; 0.05).</w:t>
      </w:r>
    </w:p>
    <w:p w14:paraId="1DE8DCB9" w14:textId="2072E8CF" w:rsidR="00223F7A" w:rsidRPr="009867C1" w:rsidRDefault="0028453E" w:rsidP="00223F7A">
      <w:pPr>
        <w:ind w:firstLine="720"/>
      </w:pPr>
      <w:r>
        <w:t>C</w:t>
      </w:r>
      <w:r w:rsidR="00223F7A" w:rsidRPr="009867C1">
        <w:t>ompar</w:t>
      </w:r>
      <w:r>
        <w:t>ed</w:t>
      </w:r>
      <w:r w:rsidR="00223F7A" w:rsidRPr="009867C1">
        <w:t xml:space="preserve"> with regional values</w:t>
      </w:r>
      <w:r>
        <w:t>, the soils in this study</w:t>
      </w:r>
      <w:r w:rsidR="00223F7A" w:rsidRPr="009867C1">
        <w:t xml:space="preserve"> </w:t>
      </w:r>
      <w:r>
        <w:t>were</w:t>
      </w:r>
      <w:r w:rsidR="00223F7A" w:rsidRPr="009867C1">
        <w:t xml:space="preserve"> more acidic</w:t>
      </w:r>
      <w:r>
        <w:t xml:space="preserve"> and</w:t>
      </w:r>
      <w:r w:rsidR="00223F7A" w:rsidRPr="009867C1">
        <w:t xml:space="preserve"> </w:t>
      </w:r>
      <w:r>
        <w:t>had</w:t>
      </w:r>
      <w:r w:rsidR="00223F7A" w:rsidRPr="009867C1">
        <w:t xml:space="preserve"> higher cation exchange capacity, carbon</w:t>
      </w:r>
      <w:r>
        <w:t>,</w:t>
      </w:r>
      <w:r w:rsidR="00223F7A" w:rsidRPr="009867C1">
        <w:t xml:space="preserve"> and nitrogen contents (</w:t>
      </w:r>
      <w:r w:rsidR="00223F7A" w:rsidRPr="009867C1">
        <w:fldChar w:fldCharType="begin"/>
      </w:r>
      <w:r w:rsidR="00223F7A" w:rsidRPr="009867C1">
        <w:instrText xml:space="preserve"> REF _Ref73192803 \h </w:instrText>
      </w:r>
      <w:r w:rsidR="009867C1">
        <w:instrText xml:space="preserve"> \* MERGEFORMAT </w:instrText>
      </w:r>
      <w:r w:rsidR="00223F7A" w:rsidRPr="009867C1">
        <w:fldChar w:fldCharType="separate"/>
      </w:r>
      <w:r w:rsidR="000667DB" w:rsidRPr="009867C1">
        <w:t xml:space="preserve">Figure </w:t>
      </w:r>
      <w:r w:rsidR="000667DB">
        <w:rPr>
          <w:noProof/>
        </w:rPr>
        <w:t>2</w:t>
      </w:r>
      <w:r w:rsidR="000667DB">
        <w:rPr>
          <w:noProof/>
        </w:rPr>
        <w:noBreakHyphen/>
        <w:t>9</w:t>
      </w:r>
      <w:r w:rsidR="00223F7A" w:rsidRPr="009867C1">
        <w:fldChar w:fldCharType="end"/>
      </w:r>
      <w:r w:rsidR="00223F7A" w:rsidRPr="009867C1">
        <w:t>). C:N ratio</w:t>
      </w:r>
      <w:r>
        <w:t xml:space="preserve">s were greater than regional </w:t>
      </w:r>
      <w:r w:rsidR="00223F7A" w:rsidRPr="009867C1">
        <w:t>soils</w:t>
      </w:r>
      <w:r>
        <w:t>, reflecting th</w:t>
      </w:r>
      <w:r w:rsidR="00223F7A" w:rsidRPr="009867C1">
        <w:t xml:space="preserve">e </w:t>
      </w:r>
      <w:r>
        <w:t>F</w:t>
      </w:r>
      <w:r w:rsidR="00223F7A" w:rsidRPr="009867C1">
        <w:t>olisol</w:t>
      </w:r>
      <w:r>
        <w:t xml:space="preserve"> order found at these sites</w:t>
      </w:r>
      <w:r w:rsidR="00223F7A" w:rsidRPr="009867C1">
        <w:t xml:space="preserve"> </w:t>
      </w:r>
      <w:r w:rsidR="00223F7A" w:rsidRPr="009867C1">
        <w:fldChar w:fldCharType="begin"/>
      </w:r>
      <w:r w:rsidR="00AC0205">
        <w:instrText xml:space="preserve"> ADDIN ZOTERO_ITEM CSL_CITATION {"citationID":"4UfOeqty","properties":{"formattedCitation":"(C. A. Fox et al., 1987)","plainCitation":"(C. A. Fox et al., 1987)","noteIndex":0},"citationItems":[{"id":1294,"uris":["http://zotero.org/users/2189142/items/54BVQPN2"],"itemData":{"id":1294,"type":"article-journal","container-title":"Canadian journal of soil science","issue":"4","page":"765–778","source":"Google Scholar","title":"Classification, macromorphology and chemical characteristics of Folisols from British Columbia","volume":"67","author":[{"family":"Fox","given":"C. A."},{"family":"TARNOCAI","given":"C."},{"family":"TROWBRIDGE","given":"R."}],"issued":{"date-parts":[["1987"]]},"citation-key":"fox_1987"}}],"schema":"https://github.com/citation-style-language/schema/raw/master/csl-citation.json"} </w:instrText>
      </w:r>
      <w:r w:rsidR="00223F7A" w:rsidRPr="009867C1">
        <w:fldChar w:fldCharType="separate"/>
      </w:r>
      <w:r w:rsidR="0042141C" w:rsidRPr="009867C1">
        <w:t>(C. A. Fox et al., 1987)</w:t>
      </w:r>
      <w:r w:rsidR="00223F7A" w:rsidRPr="009867C1">
        <w:fldChar w:fldCharType="end"/>
      </w:r>
      <w:r w:rsidR="00223F7A" w:rsidRPr="009867C1">
        <w:t xml:space="preserve">.  </w:t>
      </w:r>
    </w:p>
    <w:p w14:paraId="09685610" w14:textId="77777777" w:rsidR="00223F7A" w:rsidRPr="009867C1" w:rsidRDefault="00223F7A" w:rsidP="00223F7A">
      <w:pPr>
        <w:ind w:firstLine="720"/>
      </w:pPr>
    </w:p>
    <w:p w14:paraId="442BE71A" w14:textId="77777777" w:rsidR="00223F7A" w:rsidRPr="009867C1" w:rsidRDefault="00223F7A" w:rsidP="00223F7A">
      <w:pPr>
        <w:pStyle w:val="Heading3"/>
        <w:rPr>
          <w:lang w:val="en-CA"/>
        </w:rPr>
      </w:pPr>
      <w:bookmarkStart w:id="59" w:name="_Toc99385428"/>
      <w:r w:rsidRPr="009867C1">
        <w:rPr>
          <w:lang w:val="en-CA"/>
        </w:rPr>
        <w:t>Discussion</w:t>
      </w:r>
      <w:bookmarkEnd w:id="59"/>
    </w:p>
    <w:p w14:paraId="634DB7EC" w14:textId="31CF451C" w:rsidR="00223F7A" w:rsidRPr="009867C1" w:rsidRDefault="00223F7A" w:rsidP="00223F7A">
      <w:pPr>
        <w:ind w:firstLine="720"/>
        <w:rPr>
          <w:lang w:val="en-CA"/>
        </w:rPr>
      </w:pPr>
      <w:r w:rsidRPr="009867C1">
        <w:rPr>
          <w:lang w:val="en-CA"/>
        </w:rPr>
        <w:t>The first goal of this study was to assess whether salmon inputs influence</w:t>
      </w:r>
      <w:r w:rsidR="00CF2C76">
        <w:rPr>
          <w:lang w:val="en-CA"/>
        </w:rPr>
        <w:t>d</w:t>
      </w:r>
      <w:r w:rsidRPr="009867C1">
        <w:rPr>
          <w:lang w:val="en-CA"/>
        </w:rPr>
        <w:t xml:space="preserve"> </w:t>
      </w:r>
      <w:r w:rsidR="00CF2C76">
        <w:rPr>
          <w:lang w:val="en-CA"/>
        </w:rPr>
        <w:t>s</w:t>
      </w:r>
      <w:r w:rsidRPr="009867C1">
        <w:rPr>
          <w:lang w:val="en-CA"/>
        </w:rPr>
        <w:t xml:space="preserve">oil chemistry. </w:t>
      </w:r>
      <w:r w:rsidR="00CF2C76">
        <w:rPr>
          <w:lang w:val="en-CA"/>
        </w:rPr>
        <w:t>I</w:t>
      </w:r>
      <w:r w:rsidRPr="009867C1">
        <w:rPr>
          <w:lang w:val="en-CA"/>
        </w:rPr>
        <w:t xml:space="preserve"> found that salmon inputs along a gradient of salmon density were significantly correlated to aggregate soil chemical profiles, </w:t>
      </w:r>
      <w:r w:rsidR="000527BB">
        <w:rPr>
          <w:lang w:val="en-CA"/>
        </w:rPr>
        <w:t>which</w:t>
      </w:r>
      <w:r w:rsidRPr="009867C1">
        <w:rPr>
          <w:lang w:val="en-CA"/>
        </w:rPr>
        <w:t xml:space="preserve"> is consistent with an important role for salmon inputs in shaping soil dynamics in these riparian sites. </w:t>
      </w:r>
    </w:p>
    <w:p w14:paraId="3795C3A8" w14:textId="69736501" w:rsidR="00223F7A" w:rsidRPr="009867C1" w:rsidRDefault="00223F7A" w:rsidP="00223F7A">
      <w:pPr>
        <w:rPr>
          <w:lang w:val="en-CA"/>
        </w:rPr>
      </w:pPr>
      <w:r w:rsidRPr="009867C1">
        <w:rPr>
          <w:lang w:val="en-CA"/>
        </w:rPr>
        <w:tab/>
      </w:r>
      <w:r w:rsidR="000527BB">
        <w:rPr>
          <w:lang w:val="en-CA"/>
        </w:rPr>
        <w:t>The</w:t>
      </w:r>
      <w:r w:rsidRPr="009867C1">
        <w:rPr>
          <w:lang w:val="en-CA"/>
        </w:rPr>
        <w:t xml:space="preserve"> second goal was to evaluate if these changes were consistent with higher soil fertility, as indicated by a suite of characters including increased nitrogenous compounds, higher pH, increased exchangeable cation concentrations, and lower aluminum concentrations. </w:t>
      </w:r>
      <w:r w:rsidR="000527BB">
        <w:rPr>
          <w:lang w:val="en-CA"/>
        </w:rPr>
        <w:t xml:space="preserve">The </w:t>
      </w:r>
      <w:r w:rsidRPr="009867C1">
        <w:rPr>
          <w:lang w:val="en-CA"/>
        </w:rPr>
        <w:t>prediction regarding increased nitrogen loading w</w:t>
      </w:r>
      <w:r w:rsidR="00A8353A">
        <w:rPr>
          <w:lang w:val="en-CA"/>
        </w:rPr>
        <w:t>as</w:t>
      </w:r>
      <w:r w:rsidRPr="009867C1">
        <w:rPr>
          <w:lang w:val="en-CA"/>
        </w:rPr>
        <w:t xml:space="preserve"> mostly confirmed, and </w:t>
      </w:r>
      <w:r w:rsidR="000527BB">
        <w:rPr>
          <w:lang w:val="en-CA"/>
        </w:rPr>
        <w:t xml:space="preserve">in particular </w:t>
      </w:r>
      <w:r w:rsidRPr="009867C1">
        <w:rPr>
          <w:lang w:val="en-CA"/>
        </w:rPr>
        <w:t xml:space="preserve">ammonium and nitrate </w:t>
      </w:r>
      <w:r w:rsidR="00A8353A">
        <w:rPr>
          <w:lang w:val="en-CA"/>
        </w:rPr>
        <w:t>increased</w:t>
      </w:r>
      <w:r w:rsidRPr="009867C1">
        <w:rPr>
          <w:lang w:val="en-CA"/>
        </w:rPr>
        <w:t xml:space="preserve"> </w:t>
      </w:r>
      <w:r w:rsidR="00DC0443">
        <w:rPr>
          <w:lang w:val="en-CA"/>
        </w:rPr>
        <w:t xml:space="preserve">both </w:t>
      </w:r>
      <w:r w:rsidRPr="009867C1">
        <w:rPr>
          <w:lang w:val="en-CA"/>
        </w:rPr>
        <w:t>with increas</w:t>
      </w:r>
      <w:r w:rsidR="00A8353A">
        <w:rPr>
          <w:lang w:val="en-CA"/>
        </w:rPr>
        <w:t>ing</w:t>
      </w:r>
      <w:r w:rsidRPr="009867C1">
        <w:rPr>
          <w:lang w:val="en-CA"/>
        </w:rPr>
        <w:t xml:space="preserve"> salmon </w:t>
      </w:r>
      <w:r w:rsidR="000527BB">
        <w:rPr>
          <w:lang w:val="en-CA"/>
        </w:rPr>
        <w:t>inputs</w:t>
      </w:r>
      <w:r w:rsidR="00DC0443">
        <w:rPr>
          <w:lang w:val="en-CA"/>
        </w:rPr>
        <w:t xml:space="preserve"> and was higher below waterfalls</w:t>
      </w:r>
      <w:r w:rsidR="000527BB">
        <w:rPr>
          <w:lang w:val="en-CA"/>
        </w:rPr>
        <w:t>.</w:t>
      </w:r>
      <w:r w:rsidRPr="009867C1">
        <w:rPr>
          <w:lang w:val="en-CA"/>
        </w:rPr>
        <w:t xml:space="preserve"> The</w:t>
      </w:r>
      <w:r w:rsidR="00DC0443">
        <w:rPr>
          <w:lang w:val="en-CA"/>
        </w:rPr>
        <w:t xml:space="preserve"> observed</w:t>
      </w:r>
      <w:r w:rsidRPr="009867C1">
        <w:rPr>
          <w:lang w:val="en-CA"/>
        </w:rPr>
        <w:t xml:space="preserve"> lack of response in total nitrogen to increased salmon inputs along regional gradients may be due to </w:t>
      </w:r>
      <w:r w:rsidR="000527BB">
        <w:rPr>
          <w:lang w:val="en-CA"/>
        </w:rPr>
        <w:t>total N</w:t>
      </w:r>
      <w:r w:rsidRPr="009867C1">
        <w:rPr>
          <w:lang w:val="en-CA"/>
        </w:rPr>
        <w:t xml:space="preserve"> including recalcitrant N,</w:t>
      </w:r>
      <w:r w:rsidR="00F84091">
        <w:rPr>
          <w:lang w:val="en-CA"/>
        </w:rPr>
        <w:t xml:space="preserve"> </w:t>
      </w:r>
      <w:bookmarkStart w:id="60" w:name="_Hlk99117844"/>
      <w:r w:rsidR="00F84091">
        <w:rPr>
          <w:lang w:val="en-CA"/>
        </w:rPr>
        <w:t>consisting of both difficult to access organic-N in needles and wood and mineral-stabilized nitrogen in the soil</w:t>
      </w:r>
      <w:bookmarkEnd w:id="60"/>
      <w:r w:rsidR="00F84091">
        <w:rPr>
          <w:lang w:val="en-CA"/>
        </w:rPr>
        <w:t>.</w:t>
      </w:r>
      <w:r w:rsidRPr="009867C1">
        <w:rPr>
          <w:lang w:val="en-CA"/>
        </w:rPr>
        <w:t xml:space="preserve"> </w:t>
      </w:r>
      <w:r w:rsidR="00F84091">
        <w:rPr>
          <w:lang w:val="en-CA"/>
        </w:rPr>
        <w:t>These are</w:t>
      </w:r>
      <w:r w:rsidRPr="009867C1">
        <w:rPr>
          <w:lang w:val="en-CA"/>
        </w:rPr>
        <w:t xml:space="preserve"> impacted by complex feedbacks between nitrogen availability and vegetation community composition </w:t>
      </w:r>
      <w:r w:rsidRPr="009867C1">
        <w:rPr>
          <w:lang w:val="en-CA"/>
        </w:rPr>
        <w:fldChar w:fldCharType="begin"/>
      </w:r>
      <w:r w:rsidR="00AC0205">
        <w:rPr>
          <w:lang w:val="en-CA"/>
        </w:rPr>
        <w:instrText xml:space="preserve"> ADDIN ZOTERO_ITEM CSL_CITATION {"citationID":"87J0rtCV","properties":{"formattedCitation":"(F. Gao et al., 2020; Marty et al., 2017)","plainCitation":"(F. Gao et al., 2020; Marty et al., 2017)","noteIndex":0},"citationItems":[{"id":9944,"uris":["http://zotero.org/users/2189142/items/XM69NGN7"],"itemData":{"id":9944,"type":"article-journal","abstract":"Numerous studies have addressed the effects of forest conversion on soil organic carbon (SOC) and total nitrogen (TN); however, knowledge of SOC and TN stocks and SOC stability after primary forest conversion to secondary forest is still lacking. Such an understanding is critical for the accurate estimation of the potential of forest soils to act as carbon sinks. To learn more about the changes in SOC and TN stocks and SOC stability after primary forest conversion, we used a strict paired-plots method and measured bulk-soil and aggregate-associated OC and TN as well as four SOC stability indices, i.e., heterotrophic respiration, alkyl/O-alkyl C ratio, aggregate-occluded OC, and mineral-associated OC, in paired primary and secondary forest plots in Liangshui National Nature Reserve, Heilongjiang Province, Northeast China. The SOC and TN stocks at the 0–15 cm depth significantly increased with the conversion of primary to secondary forest, by 17.11 Mg ha−1 and 2.91 Mg ha−1, respectively, which was mainly due to increases in soil aggregate (&gt;0.053 mm)-associated OC and TN concentrations. The primary forests dominated by conifer tree species had more low-quality plant OC in the organic layer (i.e., higher amounts of litter and forest floor and higher litter C/N ratio), while the secondary forests composed of broadleaf tree species with higher litter and fine root TN and lower C/N ratios accumulated more stable OC (as indicated by the reduced respiration per g of SOC and the greater proportion of aggregate-occluded OC) and TN in the mineral soil. We did not observe significant differences in the alkyl/O-alkyl C ratio or the proportion of mineral-associated OC (&lt;50 µm) between the two forest types, reflecting the insensitivity of some stability indicators to decadal-scale shifts in primary forest conversion. Tree species-specific differences in litter and fine root traits (i.e., C and N) might be the main driving factors affecting the accumulation and stability of SOC and TN. Thus, it is important to identify and select tree species that are beneficial for the sequestration of OC in mineral soil for forest management or afforestation from the perspective of ecosystem carbon sequestration.","container-title":"Forest Ecology and Management","DOI":"10.1016/j.foreco.2020.118013","ISSN":"0378-1127","journalAbbreviation":"Forest Ecology and Management","language":"en","page":"118013","source":"ScienceDirect","title":"Changes in soil organic carbon and total nitrogen as affected by primary forest conversion","volume":"463","author":[{"family":"Gao","given":"Fei"},{"family":"Cui","given":"Xiaoyang"},{"family":"Sang","given":"Ying"},{"family":"Song","given":"Jinfeng"}],"issued":{"date-parts":[["2020",5,1]]},"citation-key":"gao_2020"}},{"id":9940,"uris":["http://zotero.org/users/2189142/items/G5XX3BU4"],"itemData":{"id":9940,"type":"article-journal","abstract":"Forest soils contain large organic N pools which might react to global warming and eventually impact C sequestration in these ecosystems. Quantifying these N pools and understanding the factors controlling their size is therefore crucial. Here, we report on C:N ratio, N concentrations and pools in the forest floor (FF) and the mineral soil (MS) horizons of 21 forests of eastern Canada and on their relationships with 13 biophysical variables. The C:N ratio decline with soil depth at most sites. Total soil C:N ratio ranged from 9.8 to 24.9 and increased with mean annual precipitation (MAP) and decreased with the percentage of hardwoods (Phwd). Total soil N pools to the C-horizon ranged from 475 to 1261gNm−2, and on average, 82% of soil N was located in the MS. Nitrogen storage in the FF increased with MAP, the percentage of conifers (Pc) and altitude, whereas it decreased with mean annual air temperature (MAAT) and FF pH. These relationships mainly resulted from the impact of these variables on FF thickness. Nitrogen pool in the MS was strongly positively correlated with N-NO3 deposition. Together with mean annual soil temperature (MAST), N-NO3 deposition was also positively correlated with total soil N storage. The depth at which half of the mineral soil N pool was reached (D50) averaged 20cm and increased with altitude, Pc and MAP:PET while it decreased with MAAT. These results show that while MAP and N-NO3 deposition are major drivers of N pools in the FF and the MS respectively, the distribution of N within the MS was rather explained by MAAT and the vegetation type. These data also suggest that increasing temperature might increase N sequestration in eastern Canadian forest soils in the future.","container-title":"CATENA","DOI":"10.1016/j.catena.2017.01.014","ISSN":"0341-8162","journalAbbreviation":"CATENA","language":"en","page":"163-172","source":"ScienceDirect","title":"The relationships of soil total nitrogen concentrations, pools and C:N ratios with climate, vegetation types and nitrate deposition in temperate and boreal forests of eastern Canada","title-short":"The relationships of soil total nitrogen concentrations, pools and C","volume":"152","author":[{"family":"Marty","given":"C."},{"family":"Houle","given":"D."},{"family":"Gagnon","given":"C."},{"family":"Courchesne","given":"F."}],"issued":{"date-parts":[["2017",5,1]]},"citation-key":"marty_2017"}}],"schema":"https://github.com/citation-style-language/schema/raw/master/csl-citation.json"} </w:instrText>
      </w:r>
      <w:r w:rsidRPr="009867C1">
        <w:rPr>
          <w:lang w:val="en-CA"/>
        </w:rPr>
        <w:fldChar w:fldCharType="separate"/>
      </w:r>
      <w:r w:rsidR="0042141C" w:rsidRPr="009867C1">
        <w:t>(F. Gao et al., 2020; Marty et al., 2017)</w:t>
      </w:r>
      <w:r w:rsidRPr="009867C1">
        <w:rPr>
          <w:lang w:val="en-CA"/>
        </w:rPr>
        <w:fldChar w:fldCharType="end"/>
      </w:r>
      <w:r w:rsidRPr="009867C1">
        <w:rPr>
          <w:lang w:val="en-CA"/>
        </w:rPr>
        <w:t xml:space="preserve">, an interpretation supported by the significance of the shrub community in </w:t>
      </w:r>
      <w:r w:rsidR="00DC0443">
        <w:rPr>
          <w:lang w:val="en-CA"/>
        </w:rPr>
        <w:t>forest floors</w:t>
      </w:r>
      <w:r w:rsidRPr="009867C1">
        <w:rPr>
          <w:lang w:val="en-CA"/>
        </w:rPr>
        <w:t xml:space="preserve">. Given that salmon-derived nitrogen is primarily delivered in soluble ammonium and nitrate form </w:t>
      </w:r>
      <w:r w:rsidRPr="009867C1">
        <w:rPr>
          <w:lang w:val="en-CA"/>
        </w:rPr>
        <w:fldChar w:fldCharType="begin"/>
      </w:r>
      <w:r w:rsidR="00AC0205">
        <w:rPr>
          <w:lang w:val="en-CA"/>
        </w:rPr>
        <w:instrText xml:space="preserve"> ADDIN ZOTERO_ITEM CSL_CITATION {"citationID":"ZQ7sfFJO","properties":{"formattedCitation":"(Drake et al., 2005)","plainCitation":"(Drake et al., 2005)","noteIndex":0},"citationItems":[{"id":795,"uris":["http://zotero.org/users/2189142/items/RN834UDP"],"itemData":{"id":795,"type":"article-journal","container-title":"Northwest Science","issue":"1","page":"61–71","source":"Google Scholar","title":"Salmon decay and nutrient contributions to riparian forest soils","volume":"79","author":[{"family":"Drake","given":"Deanne C."},{"family":"Smith","given":"Jaron V."},{"family":"Naiman","given":"Robert J."}],"issued":{"date-parts":[["2005"]]},"citation-key":"drake_2005"}}],"schema":"https://github.com/citation-style-language/schema/raw/master/csl-citation.json"} </w:instrText>
      </w:r>
      <w:r w:rsidRPr="009867C1">
        <w:rPr>
          <w:lang w:val="en-CA"/>
        </w:rPr>
        <w:fldChar w:fldCharType="separate"/>
      </w:r>
      <w:r w:rsidR="0042141C" w:rsidRPr="009867C1">
        <w:t>(Drake et al., 2005)</w:t>
      </w:r>
      <w:r w:rsidRPr="009867C1">
        <w:rPr>
          <w:lang w:val="en-CA"/>
        </w:rPr>
        <w:fldChar w:fldCharType="end"/>
      </w:r>
      <w:r w:rsidRPr="009867C1">
        <w:rPr>
          <w:lang w:val="en-CA"/>
        </w:rPr>
        <w:t xml:space="preserve">, the stronger response in these chemicals is consistent with expectations from salmon inputs. The net increase in nitrogenous compounds found here supports previous findings along these streams which showed shifts in plant communities to nitrophyllic assemblages with increasing salmon density </w:t>
      </w:r>
      <w:r w:rsidRPr="009867C1">
        <w:rPr>
          <w:lang w:val="en-CA"/>
        </w:rPr>
        <w:fldChar w:fldCharType="begin"/>
      </w:r>
      <w:r w:rsidR="00AC0205">
        <w:rPr>
          <w:lang w:val="en-CA"/>
        </w:rPr>
        <w:instrText xml:space="preserve"> ADDIN ZOTERO_ITEM CSL_CITATION {"citationID":"eA1uueOQ","properties":{"formattedCitation":"(Hocking &amp; Reynolds, 2011)","plainCitation":"(Hocking &amp; Reynolds, 2011)","noteIndex":0},"citationItems":[{"id":550,"uris":["http://zotero.org/users/2189142/items/JR362H46"],"itemData":{"id":550,"type":"article-journal","abstract":"The study of natural gradients in nutrient subsidies between ecosystems allows for predictions of how changes in one system can affect biodiversity in another. We performed a large-scale empirical test of the role of Pacific salmon (Oncorhynchus spp.) in structuring riparian plant communities. A comparison of 50 watersheds in the remote Great Bear Rainforest of British Columbia’s central coast in Canada shows that salmon influence nutrient loading to plants, shifting plant communities toward nutrient-rich species, which in turn decreases plant diversity. These effects are mediated by interactions between salmon density and the physical characteristics of watersheds. Predicting how salmon affect terrestrial ecosystems is central to conservation plans that aim to better integrate ecosystem values into resource management.","container-title":"Science","DOI":"10.1126/science.1201079","ISSN":"0036-8075, 1095-9203","issue":"6024","journalAbbreviation":"Science","language":"en","note":"PMID: 21442794","page":"1609-1612","source":"www.sciencemag.org.ezproxy.library.ubc.ca","title":"Impacts of Salmon on Riparian Plant Diversity","volume":"331","author":[{"family":"Hocking","given":"Morgan D."},{"family":"Reynolds","given":"John D."}],"issued":{"date-parts":[["2011",3,25]]},"citation-key":"hocking_2011"}}],"schema":"https://github.com/citation-style-language/schema/raw/master/csl-citation.json"} </w:instrText>
      </w:r>
      <w:r w:rsidRPr="009867C1">
        <w:rPr>
          <w:lang w:val="en-CA"/>
        </w:rPr>
        <w:fldChar w:fldCharType="separate"/>
      </w:r>
      <w:r w:rsidR="0042141C" w:rsidRPr="009867C1">
        <w:t>(Hocking &amp; Reynolds, 2011)</w:t>
      </w:r>
      <w:r w:rsidRPr="009867C1">
        <w:rPr>
          <w:lang w:val="en-CA"/>
        </w:rPr>
        <w:fldChar w:fldCharType="end"/>
      </w:r>
      <w:r w:rsidRPr="009867C1">
        <w:rPr>
          <w:lang w:val="en-CA"/>
        </w:rPr>
        <w:t xml:space="preserve">. Assuming that nitrogen is a limiting nutrient in this system </w:t>
      </w:r>
      <w:r w:rsidRPr="009867C1">
        <w:rPr>
          <w:lang w:val="en-CA"/>
        </w:rPr>
        <w:fldChar w:fldCharType="begin"/>
      </w:r>
      <w:r w:rsidR="00AC0205">
        <w:rPr>
          <w:lang w:val="en-CA"/>
        </w:rPr>
        <w:instrText xml:space="preserve"> ADDIN ZOTERO_ITEM CSL_CITATION {"citationID":"pvGddh8J","properties":{"formattedCitation":"(LeBauer &amp; Treseder, 2008)","plainCitation":"(LeBauer &amp; Treseder, 2008)","noteIndex":0},"citationItems":[{"id":1626,"uris":["http://zotero.org/users/2189142/items/ZKW6XXHR"],"itemData":{"id":1626,"type":"article-journal","abstract":"Our meta-analysis of 126 nitrogen addition experiments evaluated nitrogen (N) limitation of net primary production (NPP) in terrestrial ecosystems. We tested the hypothesis that N limitation is widespread among biomes and influenced by geography and climate. We used the response ratio (R </w:instrText>
      </w:r>
      <w:r w:rsidR="00AC0205">
        <w:rPr>
          <w:rFonts w:ascii="Cambria Math" w:hAnsi="Cambria Math" w:cs="Cambria Math"/>
          <w:lang w:val="en-CA"/>
        </w:rPr>
        <w:instrText>≅</w:instrText>
      </w:r>
      <w:r w:rsidR="00AC0205">
        <w:rPr>
          <w:lang w:val="en-CA"/>
        </w:rPr>
        <w:instrText xml:space="preserve"> ANPPN/ANPPctrl) of aboveground plant growth in fertilized to control plots and found that most ecosystems are nitrogen limited with an average 29% growth response to nitrogen (i.e., R = 1.29). The response ratio was significant within temperate forests (R = 1.19), tropical forests (R = 1.60), temperate grasslands (R = 1.53), tropical grasslands (R = 1.26), wetlands (R = 1.16), and tundra (R = 1.35), but not deserts. Eight tropical forest studies had been conducted on very young volcanic soils in Hawaii, and this subgroup was strongly N limited (R = 2.13), which resulted in a negative correlation between forest R and latitude. The degree of N limitation in the remainder of the tropical forest studies (R = 1.20) was comparable to that of temperate forests, and when the young Hawaiian subgroup was excluded, forest R did not vary with latitude. Grassland response increased with latitude, but was independent of temperature and precipitation. These results suggest that the global N and C cycles interact strongly and that geography can mediate ecosystem response to N within certain biome types.","container-title":"Ecology","DOI":"10.1890/06-2057.1","ISSN":"1939-9170","issue":"2","language":"en","page":"371-379","source":"Wiley Online Library","title":"Nitrogen Limitation of Net Primary Productivity in Terrestrial Ecosystems Is Globally Distributed","volume":"89","author":[{"family":"LeBauer","given":"David S."},{"family":"Treseder","given":"Kathleen K."}],"issued":{"date-parts":[["2008"]]},"citation-key":"lebauer_2008"}}],"schema":"https://github.com/citation-style-language/schema/raw/master/csl-citation.json"} </w:instrText>
      </w:r>
      <w:r w:rsidRPr="009867C1">
        <w:rPr>
          <w:lang w:val="en-CA"/>
        </w:rPr>
        <w:fldChar w:fldCharType="separate"/>
      </w:r>
      <w:r w:rsidR="0042141C" w:rsidRPr="009867C1">
        <w:t>(LeBauer &amp; Treseder, 2008)</w:t>
      </w:r>
      <w:r w:rsidRPr="009867C1">
        <w:rPr>
          <w:lang w:val="en-CA"/>
        </w:rPr>
        <w:fldChar w:fldCharType="end"/>
      </w:r>
      <w:r w:rsidRPr="009867C1">
        <w:rPr>
          <w:lang w:val="en-CA"/>
        </w:rPr>
        <w:t xml:space="preserve">, these results provide partial support to </w:t>
      </w:r>
      <w:r w:rsidR="00A8204D">
        <w:rPr>
          <w:lang w:val="en-CA"/>
        </w:rPr>
        <w:t>the</w:t>
      </w:r>
      <w:r w:rsidRPr="009867C1">
        <w:rPr>
          <w:lang w:val="en-CA"/>
        </w:rPr>
        <w:t xml:space="preserve"> first expectation that there would be an increase in fertility along salmon gradients.</w:t>
      </w:r>
    </w:p>
    <w:p w14:paraId="077FE597" w14:textId="40AF90CE" w:rsidR="00223F7A" w:rsidRPr="009867C1" w:rsidRDefault="00223F7A" w:rsidP="00223F7A">
      <w:pPr>
        <w:ind w:firstLine="720"/>
        <w:rPr>
          <w:lang w:val="en-CA" w:eastAsia="ja-JP"/>
        </w:rPr>
      </w:pPr>
      <w:r w:rsidRPr="009867C1">
        <w:rPr>
          <w:lang w:val="en-CA"/>
        </w:rPr>
        <w:t xml:space="preserve">pH is perhaps the most important single soil character for determining soil fertility </w:t>
      </w:r>
      <w:r w:rsidRPr="009867C1">
        <w:rPr>
          <w:lang w:val="en-CA"/>
        </w:rPr>
        <w:fldChar w:fldCharType="begin"/>
      </w:r>
      <w:r w:rsidR="00AC0205">
        <w:rPr>
          <w:lang w:val="en-CA"/>
        </w:rPr>
        <w:instrText xml:space="preserve"> ADDIN ZOTERO_ITEM CSL_CITATION {"citationID":"mcCwUvsL","properties":{"formattedCitation":"(Bohn et al., 2001)","plainCitation":"(Bohn et al., 2001)","noteIndex":0},"citationItems":[{"id":115,"uris":["http://zotero.org/users/2189142/items/2SSB76MA"],"itemData":{"id":115,"type":"book","abstract":"Comprehensive, up-to-date coverage of the basics of soil chemistry Although only a meter in depth over the earth's surface, soil is key to sustaining life-affecting air and water quality, the growth of plants and crops, and the health of the entire planet. The complex interplay among organic and inorganic solids, air, water, microorganisms, and plant roots in soil is the subject of Soil Chemistry, a reference pivotal to understanding soil processes and problems. Thoroughly reorganized for ease of use, this updated Third Edition of Soil Chemistry summarizes the important research and fundamental knowledge in the field in a single, readily usable text, including:  Soil-ion interactions Biogeological cycles and pollution Water and soil solutions Oxidation and reduction Inorganic solid phase and organic matter in soil Weathering and soil development Cation retention (exchange) Anion and molecular retention Acid and salt-affected soils  New to the Third Edition is an enhanced emphasis on soil solution chemistry and expanded coverage of phosphate chemistry and the chemical principles of the aqueous phase. At the same time, the book has retained the clear examination of the fundamentals of the science of soil that has distinguished earlier editions. Complete with SI units and end-of-chapter study questions, Soil Chemistry is an excellent introductory resource for students studying this crucial topic.","edition":"2 edition","event-place":"New York","ISBN":"978-0-471-36339-2","language":"English","number-of-pages":"320","publisher":"Wiley","publisher-place":"New York","source":"Amazon","title":"Soil Chemistry, 3rd Edition","author":[{"family":"Bohn","given":"Hinrich L."},{"family":"Myer","given":"Rick A."},{"family":"O'Connor","given":"George A."}],"issued":{"date-parts":[["2001",5,30]]},"citation-key":"bohn_2001"}}],"schema":"https://github.com/citation-style-language/schema/raw/master/csl-citation.json"} </w:instrText>
      </w:r>
      <w:r w:rsidRPr="009867C1">
        <w:rPr>
          <w:lang w:val="en-CA"/>
        </w:rPr>
        <w:fldChar w:fldCharType="separate"/>
      </w:r>
      <w:r w:rsidR="0042141C" w:rsidRPr="009867C1">
        <w:t>(Bohn et al., 2001)</w:t>
      </w:r>
      <w:r w:rsidRPr="009867C1">
        <w:rPr>
          <w:lang w:val="en-CA"/>
        </w:rPr>
        <w:fldChar w:fldCharType="end"/>
      </w:r>
      <w:r w:rsidRPr="009867C1">
        <w:rPr>
          <w:lang w:val="en-CA"/>
        </w:rPr>
        <w:t xml:space="preserve">, and </w:t>
      </w:r>
      <w:r w:rsidR="00DC0443">
        <w:rPr>
          <w:lang w:val="en-CA"/>
        </w:rPr>
        <w:t xml:space="preserve">here </w:t>
      </w:r>
      <w:r w:rsidR="008B2578">
        <w:rPr>
          <w:lang w:val="en-CA"/>
        </w:rPr>
        <w:t>the goal was t</w:t>
      </w:r>
      <w:r w:rsidR="002F0F94">
        <w:rPr>
          <w:lang w:val="en-CA"/>
        </w:rPr>
        <w:t>o assess evidence for acidification resulting from high nitrogen load</w:t>
      </w:r>
      <w:r w:rsidR="008B2578">
        <w:rPr>
          <w:lang w:val="en-CA"/>
        </w:rPr>
        <w:t>ing</w:t>
      </w:r>
      <w:r w:rsidR="002F0F94">
        <w:rPr>
          <w:lang w:val="en-CA"/>
        </w:rPr>
        <w:t xml:space="preserve"> from salmon inputs. There was no</w:t>
      </w:r>
      <w:r w:rsidRPr="009867C1">
        <w:rPr>
          <w:lang w:val="en-CA" w:eastAsia="ja-JP"/>
        </w:rPr>
        <w:t xml:space="preserve"> observed change in pH with increased salmon inputs along regional density gradients</w:t>
      </w:r>
      <w:r w:rsidR="002F0F94">
        <w:rPr>
          <w:lang w:val="en-CA" w:eastAsia="ja-JP"/>
        </w:rPr>
        <w:t>,</w:t>
      </w:r>
      <w:r w:rsidRPr="009867C1">
        <w:rPr>
          <w:lang w:val="en-CA" w:eastAsia="ja-JP"/>
        </w:rPr>
        <w:t xml:space="preserve"> </w:t>
      </w:r>
      <w:r w:rsidR="004C3374">
        <w:rPr>
          <w:lang w:val="en-CA" w:eastAsia="ja-JP"/>
        </w:rPr>
        <w:t>mainly due to a few high values with high leverage at the high-salmon density sites Neekas and Clatse. Without these points there is a declining tendency in pH with increasing density, and</w:t>
      </w:r>
      <w:r w:rsidRPr="009867C1">
        <w:rPr>
          <w:lang w:val="en-CA" w:eastAsia="ja-JP"/>
        </w:rPr>
        <w:t xml:space="preserve"> lower pH </w:t>
      </w:r>
      <w:r w:rsidR="002F0F94">
        <w:rPr>
          <w:lang w:val="en-CA" w:eastAsia="ja-JP"/>
        </w:rPr>
        <w:t xml:space="preserve">was found </w:t>
      </w:r>
      <w:r w:rsidRPr="009867C1">
        <w:rPr>
          <w:lang w:val="en-CA" w:eastAsia="ja-JP"/>
        </w:rPr>
        <w:t>below waterfalls</w:t>
      </w:r>
      <w:r w:rsidR="002F0F94">
        <w:rPr>
          <w:lang w:val="en-CA" w:eastAsia="ja-JP"/>
        </w:rPr>
        <w:t xml:space="preserve"> in </w:t>
      </w:r>
      <w:r w:rsidR="004C3374">
        <w:rPr>
          <w:lang w:val="en-CA" w:eastAsia="ja-JP"/>
        </w:rPr>
        <w:t>both</w:t>
      </w:r>
      <w:r w:rsidR="002F0F94">
        <w:rPr>
          <w:lang w:val="en-CA" w:eastAsia="ja-JP"/>
        </w:rPr>
        <w:t xml:space="preserve"> soil layer</w:t>
      </w:r>
      <w:r w:rsidR="004C3374">
        <w:rPr>
          <w:lang w:val="en-CA" w:eastAsia="ja-JP"/>
        </w:rPr>
        <w:t>s</w:t>
      </w:r>
      <w:r w:rsidRPr="009867C1">
        <w:rPr>
          <w:lang w:val="en-CA" w:eastAsia="ja-JP"/>
        </w:rPr>
        <w:t xml:space="preserve"> (</w:t>
      </w:r>
      <w:r w:rsidRPr="009867C1">
        <w:rPr>
          <w:lang w:val="en-CA" w:eastAsia="ja-JP"/>
        </w:rPr>
        <w:fldChar w:fldCharType="begin"/>
      </w:r>
      <w:r w:rsidRPr="009867C1">
        <w:rPr>
          <w:lang w:val="en-CA" w:eastAsia="ja-JP"/>
        </w:rPr>
        <w:instrText xml:space="preserve"> REF _Ref37697423 \h </w:instrText>
      </w:r>
      <w:r w:rsidR="009867C1">
        <w:rPr>
          <w:lang w:val="en-CA" w:eastAsia="ja-JP"/>
        </w:rPr>
        <w:instrText xml:space="preserve"> \* MERGEFORMAT </w:instrText>
      </w:r>
      <w:r w:rsidRPr="009867C1">
        <w:rPr>
          <w:lang w:val="en-CA" w:eastAsia="ja-JP"/>
        </w:rPr>
      </w:r>
      <w:r w:rsidRPr="009867C1">
        <w:rPr>
          <w:lang w:val="en-CA" w:eastAsia="ja-JP"/>
        </w:rPr>
        <w:fldChar w:fldCharType="separate"/>
      </w:r>
      <w:r w:rsidR="000667DB" w:rsidRPr="009867C1">
        <w:t xml:space="preserve">Figure </w:t>
      </w:r>
      <w:r w:rsidR="000667DB">
        <w:rPr>
          <w:noProof/>
        </w:rPr>
        <w:t>2</w:t>
      </w:r>
      <w:r w:rsidR="000667DB">
        <w:rPr>
          <w:noProof/>
        </w:rPr>
        <w:noBreakHyphen/>
        <w:t>3</w:t>
      </w:r>
      <w:r w:rsidRPr="009867C1">
        <w:rPr>
          <w:lang w:val="en-CA" w:eastAsia="ja-JP"/>
        </w:rPr>
        <w:fldChar w:fldCharType="end"/>
      </w:r>
      <w:r w:rsidRPr="009867C1">
        <w:rPr>
          <w:lang w:val="en-CA" w:eastAsia="ja-JP"/>
        </w:rPr>
        <w:t>)</w:t>
      </w:r>
      <w:r w:rsidR="002F0F94">
        <w:rPr>
          <w:lang w:val="en-CA" w:eastAsia="ja-JP"/>
        </w:rPr>
        <w:t xml:space="preserve">. </w:t>
      </w:r>
      <w:r w:rsidRPr="009867C1">
        <w:rPr>
          <w:lang w:val="en-CA" w:eastAsia="ja-JP"/>
        </w:rPr>
        <w:t>Th</w:t>
      </w:r>
      <w:r w:rsidR="00152163">
        <w:rPr>
          <w:lang w:val="en-CA" w:eastAsia="ja-JP"/>
        </w:rPr>
        <w:t>ese data thus partially</w:t>
      </w:r>
      <w:r w:rsidRPr="009867C1">
        <w:rPr>
          <w:lang w:val="en-CA" w:eastAsia="ja-JP"/>
        </w:rPr>
        <w:t xml:space="preserve"> support </w:t>
      </w:r>
      <w:r w:rsidR="00A8204D">
        <w:rPr>
          <w:lang w:val="en-CA" w:eastAsia="ja-JP"/>
        </w:rPr>
        <w:t>the</w:t>
      </w:r>
      <w:r w:rsidR="002F0F94">
        <w:rPr>
          <w:lang w:val="en-CA" w:eastAsia="ja-JP"/>
        </w:rPr>
        <w:t xml:space="preserve"> </w:t>
      </w:r>
      <w:r w:rsidRPr="009867C1">
        <w:rPr>
          <w:lang w:val="en-CA" w:eastAsia="ja-JP"/>
        </w:rPr>
        <w:t xml:space="preserve">hypothesis of nitrogen-driven acidification occurring at these sites which, combined with </w:t>
      </w:r>
      <w:r w:rsidR="00152163">
        <w:rPr>
          <w:lang w:val="en-CA" w:eastAsia="ja-JP"/>
        </w:rPr>
        <w:t>the</w:t>
      </w:r>
      <w:r w:rsidRPr="009867C1">
        <w:rPr>
          <w:lang w:val="en-CA" w:eastAsia="ja-JP"/>
        </w:rPr>
        <w:t xml:space="preserve"> observation that relative to regional soils the pH of these soils was very low (</w:t>
      </w:r>
      <w:r w:rsidRPr="009867C1">
        <w:rPr>
          <w:lang w:val="en-CA" w:eastAsia="ja-JP"/>
        </w:rPr>
        <w:fldChar w:fldCharType="begin"/>
      </w:r>
      <w:r w:rsidRPr="009867C1">
        <w:rPr>
          <w:lang w:val="en-CA" w:eastAsia="ja-JP"/>
        </w:rPr>
        <w:instrText xml:space="preserve"> REF _Ref73192803 \h </w:instrText>
      </w:r>
      <w:r w:rsidR="009867C1">
        <w:rPr>
          <w:lang w:val="en-CA" w:eastAsia="ja-JP"/>
        </w:rPr>
        <w:instrText xml:space="preserve"> \* MERGEFORMAT </w:instrText>
      </w:r>
      <w:r w:rsidRPr="009867C1">
        <w:rPr>
          <w:lang w:val="en-CA" w:eastAsia="ja-JP"/>
        </w:rPr>
      </w:r>
      <w:r w:rsidRPr="009867C1">
        <w:rPr>
          <w:lang w:val="en-CA" w:eastAsia="ja-JP"/>
        </w:rPr>
        <w:fldChar w:fldCharType="separate"/>
      </w:r>
      <w:r w:rsidR="000667DB" w:rsidRPr="009867C1">
        <w:t xml:space="preserve">Figure </w:t>
      </w:r>
      <w:r w:rsidR="000667DB">
        <w:rPr>
          <w:noProof/>
        </w:rPr>
        <w:t>2</w:t>
      </w:r>
      <w:r w:rsidR="000667DB">
        <w:rPr>
          <w:noProof/>
        </w:rPr>
        <w:noBreakHyphen/>
        <w:t>9</w:t>
      </w:r>
      <w:r w:rsidRPr="009867C1">
        <w:rPr>
          <w:lang w:val="en-CA" w:eastAsia="ja-JP"/>
        </w:rPr>
        <w:fldChar w:fldCharType="end"/>
      </w:r>
      <w:r w:rsidRPr="009867C1">
        <w:rPr>
          <w:lang w:val="en-CA" w:eastAsia="ja-JP"/>
        </w:rPr>
        <w:t>), suggests that low pH is characteristic of these</w:t>
      </w:r>
      <w:r w:rsidR="008B2578">
        <w:rPr>
          <w:lang w:val="en-CA" w:eastAsia="ja-JP"/>
        </w:rPr>
        <w:t xml:space="preserve"> low-lying riparian</w:t>
      </w:r>
      <w:r w:rsidRPr="009867C1">
        <w:rPr>
          <w:lang w:val="en-CA" w:eastAsia="ja-JP"/>
        </w:rPr>
        <w:t xml:space="preserve"> sites </w:t>
      </w:r>
      <w:r w:rsidR="00152163">
        <w:rPr>
          <w:lang w:val="en-CA" w:eastAsia="ja-JP"/>
        </w:rPr>
        <w:t>and</w:t>
      </w:r>
      <w:r w:rsidRPr="009867C1">
        <w:rPr>
          <w:lang w:val="en-CA" w:eastAsia="ja-JP"/>
        </w:rPr>
        <w:t xml:space="preserve"> salmon inputs </w:t>
      </w:r>
      <w:r w:rsidR="00152163">
        <w:rPr>
          <w:lang w:val="en-CA" w:eastAsia="ja-JP"/>
        </w:rPr>
        <w:t>may be</w:t>
      </w:r>
      <w:r w:rsidRPr="009867C1">
        <w:rPr>
          <w:lang w:val="en-CA" w:eastAsia="ja-JP"/>
        </w:rPr>
        <w:t xml:space="preserve"> a primary driver.</w:t>
      </w:r>
    </w:p>
    <w:p w14:paraId="5097985D" w14:textId="5748B727" w:rsidR="00223F7A" w:rsidRPr="009867C1" w:rsidRDefault="00223F7A" w:rsidP="00223F7A">
      <w:pPr>
        <w:ind w:firstLine="720"/>
        <w:rPr>
          <w:lang w:val="en-CA"/>
        </w:rPr>
      </w:pPr>
      <w:r w:rsidRPr="009867C1">
        <w:rPr>
          <w:lang w:val="en-CA"/>
        </w:rPr>
        <w:t>Exchangeable phosphorus was higher below than above falls (</w:t>
      </w:r>
      <w:r w:rsidRPr="009867C1">
        <w:rPr>
          <w:lang w:val="en-CA"/>
        </w:rPr>
        <w:fldChar w:fldCharType="begin"/>
      </w:r>
      <w:r w:rsidRPr="009867C1">
        <w:rPr>
          <w:lang w:val="en-CA"/>
        </w:rPr>
        <w:instrText xml:space="preserve"> REF _Ref37697423 \h </w:instrText>
      </w:r>
      <w:r w:rsidR="009867C1">
        <w:rPr>
          <w:lang w:val="en-CA"/>
        </w:rPr>
        <w:instrText xml:space="preserve"> \* MERGEFORMAT </w:instrText>
      </w:r>
      <w:r w:rsidRPr="009867C1">
        <w:rPr>
          <w:lang w:val="en-CA"/>
        </w:rPr>
      </w:r>
      <w:r w:rsidRPr="009867C1">
        <w:rPr>
          <w:lang w:val="en-CA"/>
        </w:rPr>
        <w:fldChar w:fldCharType="separate"/>
      </w:r>
      <w:r w:rsidR="000667DB" w:rsidRPr="009867C1">
        <w:t xml:space="preserve">Figure </w:t>
      </w:r>
      <w:r w:rsidR="000667DB">
        <w:rPr>
          <w:noProof/>
        </w:rPr>
        <w:t>2</w:t>
      </w:r>
      <w:r w:rsidR="000667DB">
        <w:rPr>
          <w:noProof/>
        </w:rPr>
        <w:noBreakHyphen/>
        <w:t>3</w:t>
      </w:r>
      <w:r w:rsidRPr="009867C1">
        <w:rPr>
          <w:lang w:val="en-CA"/>
        </w:rPr>
        <w:fldChar w:fldCharType="end"/>
      </w:r>
      <w:r w:rsidRPr="009867C1">
        <w:rPr>
          <w:lang w:val="en-CA"/>
        </w:rPr>
        <w:t>)</w:t>
      </w:r>
      <w:r w:rsidR="008B2578">
        <w:rPr>
          <w:lang w:val="en-CA"/>
        </w:rPr>
        <w:t xml:space="preserve">, which matched its tendency to increase with salmon density. Given that </w:t>
      </w:r>
      <w:r w:rsidR="008B2578" w:rsidRPr="009867C1">
        <w:rPr>
          <w:lang w:val="en-CA"/>
        </w:rPr>
        <w:t xml:space="preserve">P is directly deposited in soils by salmon carcasses </w:t>
      </w:r>
      <w:r w:rsidR="008B2578" w:rsidRPr="009867C1">
        <w:rPr>
          <w:lang w:val="en-CA"/>
        </w:rPr>
        <w:fldChar w:fldCharType="begin"/>
      </w:r>
      <w:r w:rsidR="00AC0205">
        <w:rPr>
          <w:lang w:val="en-CA"/>
        </w:rPr>
        <w:instrText xml:space="preserve"> ADDIN ZOTERO_ITEM CSL_CITATION {"citationID":"si7MigvB","properties":{"formattedCitation":"(Drake et al., 2005)","plainCitation":"(Drake et al., 2005)","noteIndex":0},"citationItems":[{"id":795,"uris":["http://zotero.org/users/2189142/items/RN834UDP"],"itemData":{"id":795,"type":"article-journal","container-title":"Northwest Science","issue":"1","page":"61–71","source":"Google Scholar","title":"Salmon decay and nutrient contributions to riparian forest soils","volume":"79","author":[{"family":"Drake","given":"Deanne C."},{"family":"Smith","given":"Jaron V."},{"family":"Naiman","given":"Robert J."}],"issued":{"date-parts":[["2005"]]},"citation-key":"drake_2005"}}],"schema":"https://github.com/citation-style-language/schema/raw/master/csl-citation.json"} </w:instrText>
      </w:r>
      <w:r w:rsidR="008B2578" w:rsidRPr="009867C1">
        <w:rPr>
          <w:lang w:val="en-CA"/>
        </w:rPr>
        <w:fldChar w:fldCharType="separate"/>
      </w:r>
      <w:r w:rsidR="008B2578" w:rsidRPr="009867C1">
        <w:t>(Drake et al., 2005)</w:t>
      </w:r>
      <w:r w:rsidR="008B2578" w:rsidRPr="009867C1">
        <w:rPr>
          <w:lang w:val="en-CA"/>
        </w:rPr>
        <w:fldChar w:fldCharType="end"/>
      </w:r>
      <w:r w:rsidR="008B2578" w:rsidRPr="009867C1">
        <w:rPr>
          <w:lang w:val="en-CA"/>
        </w:rPr>
        <w:t xml:space="preserve"> and has been found associated with salmon inputs in previous studies </w:t>
      </w:r>
      <w:r w:rsidR="008B2578" w:rsidRPr="009867C1">
        <w:fldChar w:fldCharType="begin"/>
      </w:r>
      <w:r w:rsidR="00AC0205">
        <w:instrText xml:space="preserve"> ADDIN ZOTERO_ITEM CSL_CITATION {"citationID":"Dl6WBUuX","properties":{"formattedCitation":"(D\\uc0\\u8217{}Amore et al., 2020; Drake et al., 2005)","plainCitation":"(D’Amore et al., 2020; Drake et al., 2005)","noteIndex":0},"citationItems":[{"id":2083,"uris":["http://zotero.org/users/2189142/items/UL2T3I39"],"itemData":{"id":2083,"type":"article-journal","container-title":"Soil Science Society of America Journal","issue":"3","note":"publisher: Wiley Online Library","page":"877–887","source":"Google Scholar","title":"The nutrient legacy left by salmon tissue on riparian soils in Southeast Alaska","volume":"84","author":[{"family":"D'Amore","given":"David V."},{"family":"Chaloner","given":"Dominic T."},{"family":"Gerig","given":"Brandon S."},{"family":"Berkowitz","given":"Jacob F."},{"family":"Bridgham","given":"Scott D."}],"issued":{"date-parts":[["2020"]]},"citation-key":"damore_2020"}},{"id":795,"uris":["http://zotero.org/users/2189142/items/RN834UDP"],"itemData":{"id":795,"type":"article-journal","container-title":"Northwest Science","issue":"1","page":"61–71","source":"Google Scholar","title":"Salmon decay and nutrient contributions to riparian forest soils","volume":"79","author":[{"family":"Drake","given":"Deanne C."},{"family":"Smith","given":"Jaron V."},{"family":"Naiman","given":"Robert J."}],"issued":{"date-parts":[["2005"]]},"citation-key":"drake_2005"}}],"schema":"https://github.com/citation-style-language/schema/raw/master/csl-citation.json"} </w:instrText>
      </w:r>
      <w:r w:rsidR="008B2578" w:rsidRPr="009867C1">
        <w:fldChar w:fldCharType="separate"/>
      </w:r>
      <w:r w:rsidR="008B2578" w:rsidRPr="009867C1">
        <w:t>(D’Amore et al., 2020; Drake et al., 2005)</w:t>
      </w:r>
      <w:r w:rsidR="008B2578" w:rsidRPr="009867C1">
        <w:fldChar w:fldCharType="end"/>
      </w:r>
      <w:r w:rsidR="008B2578">
        <w:t>, this is likely due to direct P deposition</w:t>
      </w:r>
      <w:r w:rsidR="008B2578" w:rsidRPr="009867C1">
        <w:rPr>
          <w:lang w:val="en-CA"/>
        </w:rPr>
        <w:t>.</w:t>
      </w:r>
      <w:r w:rsidRPr="009867C1">
        <w:rPr>
          <w:lang w:val="en-CA"/>
        </w:rPr>
        <w:t xml:space="preserve"> </w:t>
      </w:r>
      <w:r w:rsidR="008B2578">
        <w:rPr>
          <w:lang w:val="en-CA"/>
        </w:rPr>
        <w:t xml:space="preserve">This finding is important because </w:t>
      </w:r>
      <w:r w:rsidRPr="009867C1">
        <w:rPr>
          <w:lang w:val="en-CA"/>
        </w:rPr>
        <w:t>phosphorus</w:t>
      </w:r>
      <w:r w:rsidR="008B2578">
        <w:rPr>
          <w:lang w:val="en-CA"/>
        </w:rPr>
        <w:t xml:space="preserve"> by mass</w:t>
      </w:r>
      <w:r w:rsidRPr="009867C1">
        <w:rPr>
          <w:lang w:val="en-CA"/>
        </w:rPr>
        <w:t xml:space="preserve"> is the second most important plant nutrient next to nitrogen </w:t>
      </w:r>
      <w:r w:rsidRPr="009867C1">
        <w:rPr>
          <w:lang w:val="en-CA"/>
        </w:rPr>
        <w:fldChar w:fldCharType="begin"/>
      </w:r>
      <w:r w:rsidR="00AC0205">
        <w:rPr>
          <w:lang w:val="en-CA"/>
        </w:rPr>
        <w:instrText xml:space="preserve"> ADDIN ZOTERO_ITEM CSL_CITATION {"citationID":"i1KZpLiL","properties":{"formattedCitation":"(Bohn et al., 2001)","plainCitation":"(Bohn et al., 2001)","noteIndex":0},"citationItems":[{"id":115,"uris":["http://zotero.org/users/2189142/items/2SSB76MA"],"itemData":{"id":115,"type":"book","abstract":"Comprehensive, up-to-date coverage of the basics of soil chemistry Although only a meter in depth over the earth's surface, soil is key to sustaining life-affecting air and water quality, the growth of plants and crops, and the health of the entire planet. The complex interplay among organic and inorganic solids, air, water, microorganisms, and plant roots in soil is the subject of Soil Chemistry, a reference pivotal to understanding soil processes and problems. Thoroughly reorganized for ease of use, this updated Third Edition of Soil Chemistry summarizes the important research and fundamental knowledge in the field in a single, readily usable text, including:  Soil-ion interactions Biogeological cycles and pollution Water and soil solutions Oxidation and reduction Inorganic solid phase and organic matter in soil Weathering and soil development Cation retention (exchange) Anion and molecular retention Acid and salt-affected soils  New to the Third Edition is an enhanced emphasis on soil solution chemistry and expanded coverage of phosphate chemistry and the chemical principles of the aqueous phase. At the same time, the book has retained the clear examination of the fundamentals of the science of soil that has distinguished earlier editions. Complete with SI units and end-of-chapter study questions, Soil Chemistry is an excellent introductory resource for students studying this crucial topic.","edition":"2 edition","event-place":"New York","ISBN":"978-0-471-36339-2","language":"English","number-of-pages":"320","publisher":"Wiley","publisher-place":"New York","source":"Amazon","title":"Soil Chemistry, 3rd Edition","author":[{"family":"Bohn","given":"Hinrich L."},{"family":"Myer","given":"Rick A."},{"family":"O'Connor","given":"George A."}],"issued":{"date-parts":[["2001",5,30]]},"citation-key":"bohn_2001"}}],"schema":"https://github.com/citation-style-language/schema/raw/master/csl-citation.json"} </w:instrText>
      </w:r>
      <w:r w:rsidRPr="009867C1">
        <w:rPr>
          <w:lang w:val="en-CA"/>
        </w:rPr>
        <w:fldChar w:fldCharType="separate"/>
      </w:r>
      <w:r w:rsidR="0042141C" w:rsidRPr="009867C1">
        <w:t>(Bohn et al., 2001)</w:t>
      </w:r>
      <w:r w:rsidRPr="009867C1">
        <w:rPr>
          <w:lang w:val="en-CA"/>
        </w:rPr>
        <w:fldChar w:fldCharType="end"/>
      </w:r>
      <w:r w:rsidRPr="009867C1">
        <w:rPr>
          <w:lang w:val="en-CA"/>
        </w:rPr>
        <w:t xml:space="preserve"> and is important in plant enzymatic, nucleic acid, and photosynthetic health </w:t>
      </w:r>
      <w:r w:rsidRPr="009867C1">
        <w:rPr>
          <w:lang w:val="en-CA"/>
        </w:rPr>
        <w:fldChar w:fldCharType="begin"/>
      </w:r>
      <w:r w:rsidR="00AC0205">
        <w:rPr>
          <w:lang w:val="en-CA"/>
        </w:rPr>
        <w:instrText xml:space="preserve"> ADDIN ZOTERO_ITEM CSL_CITATION {"citationID":"as84Ainh","properties":{"formattedCitation":"(Maathuis, 2009)","plainCitation":"(Maathuis, 2009)","noteIndex":0},"citationItems":[{"id":9933,"uris":["http://zotero.org/users/2189142/items/WEMB3EU3"],"itemData":{"id":9933,"type":"article-journal","abstract":"Plants require calcium, magnesium, nitrogen, phosphorous, potassium and sulfur in relatively large amounts (&gt;0.1% of dry mass) and each of these so-called macronutrients is essential for a plant to complete its life cycle. Normally, these minerals are taken up by plant roots from the soil solution in ionic form with the metals Ca2+, Mg2+ and K+ present as free cations, P and S as their oxyanions phosphate (PO43−) and sulfate (SO42−) and N as anionic nitrate (NO3−) or cation ammonium (NH4+). Recently, important progress has been made in identifying transport and regulatory mechanisms for macronutrients and the mechanisms of uptake and distribution. These and the main physiological roles of each nutrient will be discussed.","collection-title":"Physiology and Metabolism","container-title":"Current Opinion in Plant Biology","DOI":"10.1016/j.pbi.2009.04.003","ISSN":"1369-5266","issue":"3","journalAbbreviation":"Current Opinion in Plant Biology","language":"en","page":"250-258","source":"ScienceDirect","title":"Physiological functions of mineral macronutrients","volume":"12","author":[{"family":"Maathuis","given":"Frans JM"}],"issued":{"date-parts":[["2009",6,1]]},"citation-key":"maathuis_2009"}}],"schema":"https://github.com/citation-style-language/schema/raw/master/csl-citation.json"} </w:instrText>
      </w:r>
      <w:r w:rsidRPr="009867C1">
        <w:rPr>
          <w:lang w:val="en-CA"/>
        </w:rPr>
        <w:fldChar w:fldCharType="separate"/>
      </w:r>
      <w:r w:rsidR="0042141C" w:rsidRPr="009867C1">
        <w:t>(Maathuis, 2009)</w:t>
      </w:r>
      <w:r w:rsidRPr="009867C1">
        <w:rPr>
          <w:lang w:val="en-CA"/>
        </w:rPr>
        <w:fldChar w:fldCharType="end"/>
      </w:r>
      <w:r w:rsidRPr="009867C1">
        <w:rPr>
          <w:lang w:val="en-CA"/>
        </w:rPr>
        <w:t xml:space="preserve">. </w:t>
      </w:r>
      <w:r w:rsidR="008B2578">
        <w:rPr>
          <w:lang w:val="en-CA"/>
        </w:rPr>
        <w:t xml:space="preserve">This finding </w:t>
      </w:r>
      <w:r w:rsidRPr="009867C1">
        <w:rPr>
          <w:lang w:val="en-CA"/>
        </w:rPr>
        <w:t xml:space="preserve">supports </w:t>
      </w:r>
      <w:r w:rsidR="00A8204D">
        <w:rPr>
          <w:lang w:val="en-CA"/>
        </w:rPr>
        <w:t>the</w:t>
      </w:r>
      <w:r w:rsidRPr="009867C1">
        <w:rPr>
          <w:lang w:val="en-CA"/>
        </w:rPr>
        <w:t xml:space="preserve"> expectation that phosphorus would increase with salmon inputs and, to the degree that phosphorus limitation is important in these forests, increase site fertility. </w:t>
      </w:r>
      <w:r w:rsidR="008B2578">
        <w:rPr>
          <w:lang w:val="en-CA"/>
        </w:rPr>
        <w:t>E</w:t>
      </w:r>
      <w:r w:rsidRPr="009867C1">
        <w:rPr>
          <w:lang w:val="en-CA"/>
        </w:rPr>
        <w:t>xchangeable phosphorus in acidic soils is often deactivated via complexation with Al</w:t>
      </w:r>
      <w:r w:rsidRPr="009867C1">
        <w:rPr>
          <w:vertAlign w:val="superscript"/>
          <w:lang w:val="en-CA"/>
        </w:rPr>
        <w:t>3+</w:t>
      </w:r>
      <w:r w:rsidRPr="009867C1">
        <w:rPr>
          <w:lang w:val="en-CA"/>
        </w:rPr>
        <w:t xml:space="preserve">, and it has been suggested that organic-P amendments, such as those found in salmon carcasses, are particularly effective in increasing plant-available P in these environments </w:t>
      </w:r>
      <w:r w:rsidRPr="009867C1">
        <w:rPr>
          <w:lang w:val="en-CA"/>
        </w:rPr>
        <w:fldChar w:fldCharType="begin"/>
      </w:r>
      <w:r w:rsidR="00AC0205">
        <w:rPr>
          <w:lang w:val="en-CA"/>
        </w:rPr>
        <w:instrText xml:space="preserve"> ADDIN ZOTERO_ITEM CSL_CITATION {"citationID":"fdbSObVQ","properties":{"formattedCitation":"(Y. Chen et al., 2018)","plainCitation":"(Y. Chen et al., 2018)","noteIndex":0},"citationItems":[{"id":118,"uris":["http://zotero.org/users/2189142/items/4NLF59B9"],"itemData":{"id":118,"type":"article-journal","abstract":"An exhaustive meta-analysis of 132 long-term (≥ 10 years) studies worldwide was carried out to determine the effects of the use of organic amendments (OA) and OA + inorganic fertiliser (IF) on soil nutrient fertility. The responses of (1) crop yield [over the whole duration of the period (yieldm) and at the end of the experiment (yieldf)], (2) soil organic carbon (OC), (3) size of microbial biomass, and (4) Olsen phosphorus (P) to OA and OA + IF compared with IF only (standard control) and no fertilisation (nil control) were investigated. The overall effect of OA alone on yield was significant when compared with the nil control, but not when compared with the standard control. Only when OA and IF were added to soils that met specific conditions (low initial fertility, sandy texture, near-neutral pH values, under tropical climate) they rendered a significantly greater yieldf than the corresponding standard controls. The continuous application of manure caused greater relative and absolute gains in soil OC than straw + IF but did not produce significant greater yields while causing a considerable increase in Olsen P over time. The use of OA and OA + IF increased the resilience of agronomic systems over that of IF alone, as inferred from the smaller coefficient of variation of crop yield over time. We conclude that while the use of OA along with IF provides some additional benefits on yields as compared with IF application alone (especially under the above-mentioned conditions), the selection of the OA type and application rate should be carefully considered in order to maximise the nutrient use efficiency and minimise any undesirable effects to the environment.","container-title":"Nutrient Cycling in Agroecosystems","DOI":"10.1007/s10705-017-9903-5","ISSN":"1573-0867","issue":"2","journalAbbreviation":"Nutr Cycl Agroecosyst","language":"en","page":"103-125","source":"Springer Link","title":"The long-term role of organic amendments in building soil nutrient fertility: a meta-analysis and review","title-short":"The long-term role of organic amendments in building soil nutrient fertility","volume":"111","author":[{"family":"Chen","given":"Yongshan"},{"family":"Camps-Arbestain","given":"Marta"},{"family":"Shen","given":"Qinhua"},{"family":"Singh","given":"Balwant"},{"family":"Cayuela","given":"Maria Luz"}],"issued":{"date-parts":[["2018",7,1]]},"citation-key":"chen_2018"}}],"schema":"https://github.com/citation-style-language/schema/raw/master/csl-citation.json"} </w:instrText>
      </w:r>
      <w:r w:rsidRPr="009867C1">
        <w:rPr>
          <w:lang w:val="en-CA"/>
        </w:rPr>
        <w:fldChar w:fldCharType="separate"/>
      </w:r>
      <w:r w:rsidR="0042141C" w:rsidRPr="009867C1">
        <w:t>(Y. Chen et al., 2018)</w:t>
      </w:r>
      <w:r w:rsidRPr="009867C1">
        <w:rPr>
          <w:lang w:val="en-CA"/>
        </w:rPr>
        <w:fldChar w:fldCharType="end"/>
      </w:r>
      <w:r w:rsidRPr="009867C1">
        <w:rPr>
          <w:lang w:val="en-CA"/>
        </w:rPr>
        <w:t xml:space="preserve">. </w:t>
      </w:r>
      <w:r w:rsidR="008B2578">
        <w:rPr>
          <w:lang w:val="en-CA"/>
        </w:rPr>
        <w:t xml:space="preserve">Because of this, </w:t>
      </w:r>
      <w:r w:rsidR="008B2578" w:rsidRPr="009867C1">
        <w:t>organic</w:t>
      </w:r>
      <w:r w:rsidRPr="009867C1">
        <w:t xml:space="preserve"> P is likely the dominant form of phosphorus in these soils, and </w:t>
      </w:r>
      <w:r w:rsidR="008B2578">
        <w:t xml:space="preserve">organic-P </w:t>
      </w:r>
      <w:r w:rsidRPr="009867C1">
        <w:t xml:space="preserve">has been suggested as the driver of tree fertility </w:t>
      </w:r>
      <w:r w:rsidRPr="009867C1">
        <w:fldChar w:fldCharType="begin"/>
      </w:r>
      <w:r w:rsidR="00AC0205">
        <w:instrText xml:space="preserve"> ADDIN ZOTERO_ITEM CSL_CITATION {"citationID":"CdKlLUWB","properties":{"formattedCitation":"(S. F. Collins et al., 2015; Kranabetter et al., 2020)","plainCitation":"(S. F. Collins et al., 2015; Kranabetter et al., 2020)","noteIndex":0},"citationItems":[{"id":1179,"uris":["http://zotero.org/users/2189142/items/EIS3QH73"],"itemData":{"id":1179,"type":"article-journal","container-title":"Environmental management","issue":"3","page":"571–586","source":"Google Scholar","title":"A critical assessment of the ecological assumptions underpinning compensatory mitigation of salmon-derived nutrients","volume":"56","author":[{"family":"Collins","given":"Scott F."},{"family":"Marcarelli","given":"Amy M."},{"family":"Baxter","given":"Colden V."},{"family":"Wipfli","given":"Mark S."}],"issued":{"date-parts":[["2015"]]},"citation-key":"collins_2015"}},{"id":1578,"uris":["http://zotero.org/users/2189142/items/X5ABVPGZ"],"itemData":{"id":1578,"type":"article-journal","title":"Contrasting conifer species productivity in relation to soil carbon, nitrogen and phosphorus stoichiometry of British Columbia perhumid rainforests","author":[{"family":"Kranabetter","given":"J M"},{"family":"Sholinder","given":"Ariana"},{"family":"deMontigny","given":"Louise"}],"issued":{"date-parts":[["2020"]]},"citation-key":"kranabetter_2020"}}],"schema":"https://github.com/citation-style-language/schema/raw/master/csl-citation.json"} </w:instrText>
      </w:r>
      <w:r w:rsidRPr="009867C1">
        <w:fldChar w:fldCharType="separate"/>
      </w:r>
      <w:r w:rsidR="0042141C" w:rsidRPr="009867C1">
        <w:t>(S. F. Collins et al., 2015; Kranabetter et al., 2020)</w:t>
      </w:r>
      <w:r w:rsidRPr="009867C1">
        <w:fldChar w:fldCharType="end"/>
      </w:r>
      <w:r w:rsidRPr="009867C1">
        <w:t xml:space="preserve">. </w:t>
      </w:r>
      <w:r w:rsidRPr="009867C1">
        <w:rPr>
          <w:lang w:val="en-CA"/>
        </w:rPr>
        <w:t>This</w:t>
      </w:r>
      <w:r w:rsidRPr="009867C1">
        <w:t xml:space="preserve"> study however did not measure total or organic P, only exchangeable P, and hence we cannot assess the importance of organic-P fractions; not measuring organic P may be missing an important dynamic in these soils and should be addressed in future studies. Despite this limitation, the increase in </w:t>
      </w:r>
      <w:r w:rsidR="000D1B72">
        <w:t>exchangeable</w:t>
      </w:r>
      <w:r w:rsidRPr="009867C1">
        <w:t>-P shown here is consistent with a promotion of soil fertility</w:t>
      </w:r>
      <w:r w:rsidR="000D1B72">
        <w:t>.</w:t>
      </w:r>
      <w:r w:rsidRPr="009867C1">
        <w:t xml:space="preserve"> </w:t>
      </w:r>
    </w:p>
    <w:p w14:paraId="62BCFEB3" w14:textId="066D45DD" w:rsidR="00223F7A" w:rsidRPr="009867C1" w:rsidRDefault="000D1B72" w:rsidP="00223F7A">
      <w:pPr>
        <w:ind w:firstLine="720"/>
        <w:rPr>
          <w:lang w:val="en-CA"/>
        </w:rPr>
      </w:pPr>
      <w:r>
        <w:rPr>
          <w:lang w:val="en-CA"/>
        </w:rPr>
        <w:t>Total</w:t>
      </w:r>
      <w:r w:rsidR="00223F7A" w:rsidRPr="009867C1">
        <w:rPr>
          <w:lang w:val="en-CA"/>
        </w:rPr>
        <w:t xml:space="preserve"> C and loss-on-ignition (LOI) </w:t>
      </w:r>
      <w:r>
        <w:rPr>
          <w:lang w:val="en-CA"/>
        </w:rPr>
        <w:t xml:space="preserve">were unaffected by </w:t>
      </w:r>
      <w:r w:rsidR="00223F7A" w:rsidRPr="009867C1">
        <w:rPr>
          <w:lang w:val="en-CA"/>
        </w:rPr>
        <w:t>salmon inputs along regional gradients (</w:t>
      </w:r>
      <w:r w:rsidR="00223F7A" w:rsidRPr="009867C1">
        <w:rPr>
          <w:lang w:val="en-CA"/>
        </w:rPr>
        <w:fldChar w:fldCharType="begin"/>
      </w:r>
      <w:r w:rsidR="00223F7A" w:rsidRPr="009867C1">
        <w:rPr>
          <w:lang w:val="en-CA"/>
        </w:rPr>
        <w:instrText xml:space="preserve"> REF _Ref37697423 \h </w:instrText>
      </w:r>
      <w:r w:rsidR="009867C1">
        <w:rPr>
          <w:lang w:val="en-CA"/>
        </w:rPr>
        <w:instrText xml:space="preserve"> \* MERGEFORMAT </w:instrText>
      </w:r>
      <w:r w:rsidR="00223F7A" w:rsidRPr="009867C1">
        <w:rPr>
          <w:lang w:val="en-CA"/>
        </w:rPr>
      </w:r>
      <w:r w:rsidR="00223F7A" w:rsidRPr="009867C1">
        <w:rPr>
          <w:lang w:val="en-CA"/>
        </w:rPr>
        <w:fldChar w:fldCharType="separate"/>
      </w:r>
      <w:r w:rsidR="000667DB" w:rsidRPr="009867C1">
        <w:t xml:space="preserve">Figure </w:t>
      </w:r>
      <w:r w:rsidR="000667DB">
        <w:rPr>
          <w:noProof/>
        </w:rPr>
        <w:t>2</w:t>
      </w:r>
      <w:r w:rsidR="000667DB">
        <w:rPr>
          <w:noProof/>
        </w:rPr>
        <w:noBreakHyphen/>
        <w:t>3</w:t>
      </w:r>
      <w:r w:rsidR="00223F7A" w:rsidRPr="009867C1">
        <w:rPr>
          <w:lang w:val="en-CA"/>
        </w:rPr>
        <w:fldChar w:fldCharType="end"/>
      </w:r>
      <w:r w:rsidR="00223F7A" w:rsidRPr="009867C1">
        <w:rPr>
          <w:lang w:val="en-CA"/>
        </w:rPr>
        <w:t xml:space="preserve">), but </w:t>
      </w:r>
      <w:r>
        <w:rPr>
          <w:lang w:val="en-CA"/>
        </w:rPr>
        <w:t xml:space="preserve">there was a tendency for </w:t>
      </w:r>
      <w:r w:rsidR="00223F7A" w:rsidRPr="009867C1">
        <w:rPr>
          <w:lang w:val="en-CA"/>
        </w:rPr>
        <w:t xml:space="preserve">soil C </w:t>
      </w:r>
      <w:r>
        <w:rPr>
          <w:lang w:val="en-CA"/>
        </w:rPr>
        <w:t>to be h</w:t>
      </w:r>
      <w:r w:rsidR="00223F7A" w:rsidRPr="009867C1">
        <w:rPr>
          <w:lang w:val="en-CA"/>
        </w:rPr>
        <w:t>igher below</w:t>
      </w:r>
      <w:r>
        <w:rPr>
          <w:lang w:val="en-CA"/>
        </w:rPr>
        <w:t xml:space="preserve"> water</w:t>
      </w:r>
      <w:r w:rsidR="00223F7A" w:rsidRPr="009867C1">
        <w:rPr>
          <w:lang w:val="en-CA"/>
        </w:rPr>
        <w:t>falls</w:t>
      </w:r>
      <w:r>
        <w:rPr>
          <w:lang w:val="en-CA"/>
        </w:rPr>
        <w:t xml:space="preserve"> in</w:t>
      </w:r>
      <w:r w:rsidR="00223F7A" w:rsidRPr="009867C1">
        <w:rPr>
          <w:lang w:val="en-CA"/>
        </w:rPr>
        <w:t xml:space="preserve"> organic</w:t>
      </w:r>
      <w:r>
        <w:rPr>
          <w:lang w:val="en-CA"/>
        </w:rPr>
        <w:t xml:space="preserve">-layer </w:t>
      </w:r>
      <w:r w:rsidR="00223F7A" w:rsidRPr="009867C1">
        <w:rPr>
          <w:lang w:val="en-CA"/>
        </w:rPr>
        <w:t xml:space="preserve">soils. </w:t>
      </w:r>
      <w:r>
        <w:rPr>
          <w:lang w:val="en-CA"/>
        </w:rPr>
        <w:t>T</w:t>
      </w:r>
      <w:r w:rsidR="00223F7A" w:rsidRPr="009867C1">
        <w:rPr>
          <w:lang w:val="en-CA"/>
        </w:rPr>
        <w:t>his</w:t>
      </w:r>
      <w:r>
        <w:rPr>
          <w:lang w:val="en-CA"/>
        </w:rPr>
        <w:t xml:space="preserve"> likely</w:t>
      </w:r>
      <w:r w:rsidR="00223F7A" w:rsidRPr="009867C1">
        <w:rPr>
          <w:lang w:val="en-CA"/>
        </w:rPr>
        <w:t xml:space="preserve"> reflects topological, edaphic, and hydrological factors </w:t>
      </w:r>
      <w:r>
        <w:rPr>
          <w:lang w:val="en-CA"/>
        </w:rPr>
        <w:t xml:space="preserve">rather than salmon inputs, </w:t>
      </w:r>
      <w:r w:rsidR="00223F7A" w:rsidRPr="009867C1">
        <w:rPr>
          <w:lang w:val="en-CA"/>
        </w:rPr>
        <w:t>as the flatter and wetter below-falls sites would accumulate soil carbon faster than above falls. However, the total amounts of soil carbon found here w</w:t>
      </w:r>
      <w:r w:rsidR="00C52B50">
        <w:rPr>
          <w:lang w:val="en-CA"/>
        </w:rPr>
        <w:t>ere</w:t>
      </w:r>
      <w:r w:rsidR="00223F7A" w:rsidRPr="009867C1">
        <w:rPr>
          <w:lang w:val="en-CA"/>
        </w:rPr>
        <w:t xml:space="preserve"> extremely high relative to regional soils (~600 Mg C/ha; </w:t>
      </w:r>
      <w:r w:rsidR="00223F7A" w:rsidRPr="009867C1">
        <w:rPr>
          <w:lang w:val="en-CA"/>
        </w:rPr>
        <w:fldChar w:fldCharType="begin"/>
      </w:r>
      <w:r w:rsidR="00223F7A" w:rsidRPr="009867C1">
        <w:rPr>
          <w:lang w:val="en-CA"/>
        </w:rPr>
        <w:instrText xml:space="preserve"> REF _Ref73192803 \h </w:instrText>
      </w:r>
      <w:r w:rsidR="009867C1">
        <w:rPr>
          <w:lang w:val="en-CA"/>
        </w:rPr>
        <w:instrText xml:space="preserve"> \* MERGEFORMAT </w:instrText>
      </w:r>
      <w:r w:rsidR="00223F7A" w:rsidRPr="009867C1">
        <w:rPr>
          <w:lang w:val="en-CA"/>
        </w:rPr>
      </w:r>
      <w:r w:rsidR="00223F7A" w:rsidRPr="009867C1">
        <w:rPr>
          <w:lang w:val="en-CA"/>
        </w:rPr>
        <w:fldChar w:fldCharType="separate"/>
      </w:r>
      <w:r w:rsidR="000667DB" w:rsidRPr="009867C1">
        <w:t xml:space="preserve">Figure </w:t>
      </w:r>
      <w:r w:rsidR="000667DB">
        <w:rPr>
          <w:noProof/>
        </w:rPr>
        <w:t>2</w:t>
      </w:r>
      <w:r w:rsidR="000667DB">
        <w:rPr>
          <w:noProof/>
        </w:rPr>
        <w:noBreakHyphen/>
        <w:t>9</w:t>
      </w:r>
      <w:r w:rsidR="00223F7A" w:rsidRPr="009867C1">
        <w:rPr>
          <w:lang w:val="en-CA"/>
        </w:rPr>
        <w:fldChar w:fldCharType="end"/>
      </w:r>
      <w:r w:rsidR="00223F7A" w:rsidRPr="009867C1">
        <w:rPr>
          <w:lang w:val="en-CA"/>
        </w:rPr>
        <w:t xml:space="preserve">) and emphasizes the importance of these coastal rainforests as high-priority carbon sinks </w:t>
      </w:r>
      <w:r w:rsidR="00223F7A" w:rsidRPr="009867C1">
        <w:rPr>
          <w:lang w:val="en-CA"/>
        </w:rPr>
        <w:fldChar w:fldCharType="begin"/>
      </w:r>
      <w:r w:rsidR="00AC0205">
        <w:rPr>
          <w:lang w:val="en-CA"/>
        </w:rPr>
        <w:instrText xml:space="preserve"> ADDIN ZOTERO_ITEM CSL_CITATION {"citationID":"nHPYvzOv","properties":{"formattedCitation":"(Buotte et al., 2020; Post et al., 1985)","plainCitation":"(Buotte et al., 2020; Post et al., 1985)","noteIndex":0},"citationItems":[{"id":177,"uris":["http://zotero.org/users/2189142/items/33XGMGXK"],"itemData":{"id":177,"type":"article-journal","abstract":"Forest carbon sequestration via forest preservation can be a viable climate change mitigation strategy. Here, we identify forests in the western conterminous United States with high potential carbon sequestration and low vulnerability to future drought and fire, as simulated using the Community Land Model and two high carbon emission scenario (RCP 8.5) climate models. High-productivity, low-vulnerability forests have the potential to sequester up to 5,450 Tg CO2 equivalent (1,485 Tg C) by 2099, which is up to 20% of the global mitigation potential previously identified for all temperate and boreal forests, or up to 6 yr of current regional fossil fuel emissions. Additionally, these forests currently have high above- and belowground carbon density, high tree species richness, and a high proportion of critical habitat for endangered vertebrate species, indicating a strong potential to support biodiversity into the future and promote ecosystem resilience to climate change. We stress that some forest lands have low carbon sequestration potential but high biodiversity, underscoring the need to consider multiple criteria when designing a land preservation portfolio. Our work demonstrates how process models and ecological criteria can be used to prioritize landscape preservation for mitigating greenhouse gas emissions and preserving biodiversity in a rapidly changing climate.","container-title":"Ecological Applications","DOI":"10.1002/eap.2039","ISSN":"1939-5582","issue":"2","language":"en","note":"_eprint: https://onlinelibrary.wiley.com/doi/pdf/10.1002/eap.2039","page":"e02039","source":"Wiley Online Library","title":"Carbon sequestration and biodiversity co-benefits of preserving forests in the western United States","volume":"30","author":[{"family":"Buotte","given":"Polly C."},{"family":"Law","given":"Beverly E."},{"family":"Ripple","given":"William J."},{"family":"Berner","given":"Logan T."}],"issued":{"date-parts":[["2020"]]},"citation-key":"buotte_2020"}},{"id":239,"uris":["http://zotero.org/users/2189142/items/LWWM5473"],"itemData":{"id":239,"type":"article-journal","abstract":"The amount of nitrogen stored in soil is related to climate through biotic processes associated with productivity of vegetation and decomposition of organic matter. Other factors, particularly rainfall input, dry deposition input, nitrogen fixation and losses of inorganic nitrogen due to leaching contribute to the variability of nitrogen storage. Here we report that soil nitrogen storage ranges from 0.2 kg m−3 in warm deserts to 2 kg m−3 in rain tundra, with a peak of 1.6 kg m−3 in subtropical wet forests. Soil carbon storage shows a similar pattern. The global nitrogen pool in the surface metre of soil comprises an estimated 9.5 × 1013 kg. Each soil profile examined was classified according to the Holdridge life zone1 in which it was found. Soil carbon/nitrogen ratios range from &lt;10 in tropical deserts to &gt;20 in cool, wet forests or rain forests. We determined C/N ratios of 15–20 in cool life zones and 10–15 in warm life zones. These results indicate that: (1) relatively large amounts of soil nitrogen in wet tropical regions are associated with recalcitrant humic materials in an advanced state of decay, with low C/N ratios; (2) the seasonal climate contrast in temperate regions, combined with variable litter quality due to the mix of coniferous and deciduous species, results in moderate carbon and nitrogen storage in soil and variable C/N ratios; and (3) slow decomposition in wet tundra regions results in high carbon and nitrogen storage, with high C/N ratios.","container-title":"Nature","DOI":"10.1038/317613a0","ISSN":"1476-4687","issue":"6038","language":"En","page":"613","source":"www-nature-com.ezproxy.library.ubc.ca","title":"Global patterns of soil nitrogen storage","volume":"317","author":[{"family":"Post","given":"Wilfred M."},{"family":"Pastor","given":"John"},{"family":"Zinke","given":"Paul J."},{"family":"Stangenberger","given":"Alan G."}],"issued":{"date-parts":[["1985",10]]},"citation-key":"post_1985"}}],"schema":"https://github.com/citation-style-language/schema/raw/master/csl-citation.json"} </w:instrText>
      </w:r>
      <w:r w:rsidR="00223F7A" w:rsidRPr="009867C1">
        <w:rPr>
          <w:lang w:val="en-CA"/>
        </w:rPr>
        <w:fldChar w:fldCharType="separate"/>
      </w:r>
      <w:r w:rsidR="0042141C" w:rsidRPr="009867C1">
        <w:t>(Buotte et al., 2020; Post et al., 1985)</w:t>
      </w:r>
      <w:r w:rsidR="00223F7A" w:rsidRPr="009867C1">
        <w:rPr>
          <w:lang w:val="en-CA"/>
        </w:rPr>
        <w:fldChar w:fldCharType="end"/>
      </w:r>
      <w:r w:rsidR="00223F7A" w:rsidRPr="009867C1">
        <w:rPr>
          <w:lang w:val="en-CA"/>
        </w:rPr>
        <w:t>. Regardless of any effects due to salmon inputs, there is ample organic matter in the soil and inputs are unlikely to qualitatively change soil chemistry.</w:t>
      </w:r>
    </w:p>
    <w:p w14:paraId="07840DD8" w14:textId="72203202" w:rsidR="00223F7A" w:rsidRPr="009867C1" w:rsidRDefault="00223F7A" w:rsidP="00223F7A">
      <w:pPr>
        <w:ind w:firstLine="720"/>
        <w:rPr>
          <w:lang w:val="en-CA"/>
        </w:rPr>
      </w:pPr>
      <w:r w:rsidRPr="009867C1">
        <w:rPr>
          <w:lang w:val="en-CA"/>
        </w:rPr>
        <w:t xml:space="preserve">Sulfur is another essential macronutrient for plant function, and is necessary for protein synthesis and important in the production of phytochelators which detoxify metals and metalloids </w:t>
      </w:r>
      <w:r w:rsidRPr="009867C1">
        <w:rPr>
          <w:lang w:val="en-CA"/>
        </w:rPr>
        <w:fldChar w:fldCharType="begin"/>
      </w:r>
      <w:r w:rsidR="00AC0205">
        <w:rPr>
          <w:lang w:val="en-CA"/>
        </w:rPr>
        <w:instrText xml:space="preserve"> ADDIN ZOTERO_ITEM CSL_CITATION {"citationID":"3yEegV0f","properties":{"formattedCitation":"(Maathuis, 2009)","plainCitation":"(Maathuis, 2009)","noteIndex":0},"citationItems":[{"id":9933,"uris":["http://zotero.org/users/2189142/items/WEMB3EU3"],"itemData":{"id":9933,"type":"article-journal","abstract":"Plants require calcium, magnesium, nitrogen, phosphorous, potassium and sulfur in relatively large amounts (&gt;0.1% of dry mass) and each of these so-called macronutrients is essential for a plant to complete its life cycle. Normally, these minerals are taken up by plant roots from the soil solution in ionic form with the metals Ca2+, Mg2+ and K+ present as free cations, P and S as their oxyanions phosphate (PO43−) and sulfate (SO42−) and N as anionic nitrate (NO3−) or cation ammonium (NH4+). Recently, important progress has been made in identifying transport and regulatory mechanisms for macronutrients and the mechanisms of uptake and distribution. These and the main physiological roles of each nutrient will be discussed.","collection-title":"Physiology and Metabolism","container-title":"Current Opinion in Plant Biology","DOI":"10.1016/j.pbi.2009.04.003","ISSN":"1369-5266","issue":"3","journalAbbreviation":"Current Opinion in Plant Biology","language":"en","page":"250-258","source":"ScienceDirect","title":"Physiological functions of mineral macronutrients","volume":"12","author":[{"family":"Maathuis","given":"Frans JM"}],"issued":{"date-parts":[["2009",6,1]]},"citation-key":"maathuis_2009"}}],"schema":"https://github.com/citation-style-language/schema/raw/master/csl-citation.json"} </w:instrText>
      </w:r>
      <w:r w:rsidRPr="009867C1">
        <w:rPr>
          <w:lang w:val="en-CA"/>
        </w:rPr>
        <w:fldChar w:fldCharType="separate"/>
      </w:r>
      <w:r w:rsidR="0042141C" w:rsidRPr="009867C1">
        <w:t>(Maathuis, 2009)</w:t>
      </w:r>
      <w:r w:rsidRPr="009867C1">
        <w:rPr>
          <w:lang w:val="en-CA"/>
        </w:rPr>
        <w:fldChar w:fldCharType="end"/>
      </w:r>
      <w:r w:rsidR="000D1B72">
        <w:rPr>
          <w:lang w:val="en-CA"/>
        </w:rPr>
        <w:t xml:space="preserve"> which are </w:t>
      </w:r>
      <w:r w:rsidRPr="009867C1">
        <w:rPr>
          <w:lang w:val="en-CA"/>
        </w:rPr>
        <w:t xml:space="preserve">important in buffering plant function in acidic soil </w:t>
      </w:r>
      <w:r w:rsidRPr="009867C1">
        <w:rPr>
          <w:lang w:val="en-CA"/>
        </w:rPr>
        <w:fldChar w:fldCharType="begin"/>
      </w:r>
      <w:r w:rsidR="00AC0205">
        <w:rPr>
          <w:lang w:val="en-CA"/>
        </w:rPr>
        <w:instrText xml:space="preserve"> ADDIN ZOTERO_ITEM CSL_CITATION {"citationID":"DvIkIWVu","properties":{"formattedCitation":"(X. Q. Zhao et al., 2014, p. 201)","plainCitation":"(X. Q. Zhao et al., 2014, p. 201)","noteIndex":0},"citationItems":[{"id":2020,"uris":["http://zotero.org/users/2189142/items/V28CWQU7"],"itemData":{"id":2020,"type":"article-journal","abstract":"Soil acidification is an increasing problem in agricultural production and ecological stability worldwide. An understanding of the mechanisms by which plants adapt to acidic soils would help address this problem. Poor plant growth in acidic soils results from a variety of factors, including proton toxicity; deficiencies in nitrogen, phosphorus, calcium, magnesium; and toxicities of various metals (aluminum (Al), manganese, iron). Aluminum toxicity is generally the primary limitation for plant growth in acidic soils. Although much research has focused on Al toxicity in recent decades, it is rarely the only limiting factor in acidic soils. The occurrence of Al toxicity depends on many other factors that coexist with Al in acidic soils. The interactions between Al and such factors are important determinants of Al toxicity to plants under field conditions. In this review, therefore, instead of focusing only on mechanisms of Al tolerance, we examine the effects of the interactions between Al and other limiting factors on plant adaptation to acidic soils. We summarize research on the interactions between Al and nitrogen, phosphorus, pH, and iron. Accordingly, three strategies are proposed to improve plant growth in acidic soils: a combined application of lime and nutrients, depending on the types of soils and plants; development of plant varieties tolerant to multiple stresses; and inoculation of plants with certain beneficial microbes. This review emphasizes the ability of plants to coadapt to multiple stresses in acidic soils.","container-title":"Soil Science","DOI":"10.1097/SS.0000000000000086","ISSN":"0038-075X","issue":"10-11","language":"en-US","page":"503–513","source":"journals-lww-com.ezproxy.library.ubc.ca","title":"Coadaptation of Plants to Multiple Stresses in Acidic Soils","volume":"179","author":[{"family":"Zhao","given":"Xue Qiang"},{"family":"Chen","given":"Rong Fu"},{"family":"Shen","given":"Ren Fang"}],"issued":{"date-parts":[["2014",11]]},"citation-key":"zhao_2014"},"locator":"201"}],"schema":"https://github.com/citation-style-language/schema/raw/master/csl-citation.json"} </w:instrText>
      </w:r>
      <w:r w:rsidRPr="009867C1">
        <w:rPr>
          <w:lang w:val="en-CA"/>
        </w:rPr>
        <w:fldChar w:fldCharType="separate"/>
      </w:r>
      <w:r w:rsidR="0042141C" w:rsidRPr="009867C1">
        <w:t>(X. Q. Zhao et al., 2014, p. 201)</w:t>
      </w:r>
      <w:r w:rsidRPr="009867C1">
        <w:rPr>
          <w:lang w:val="en-CA"/>
        </w:rPr>
        <w:fldChar w:fldCharType="end"/>
      </w:r>
      <w:r w:rsidRPr="009867C1">
        <w:rPr>
          <w:lang w:val="en-CA"/>
        </w:rPr>
        <w:t xml:space="preserve">. </w:t>
      </w:r>
      <w:r w:rsidR="000D1B72">
        <w:rPr>
          <w:lang w:val="en-CA"/>
        </w:rPr>
        <w:t xml:space="preserve">Here there was no change in exchangeable sulfur, but total sulfur was higher below waterfalls relative to above </w:t>
      </w:r>
      <w:r w:rsidRPr="009867C1">
        <w:rPr>
          <w:lang w:val="en-CA"/>
        </w:rPr>
        <w:t>(</w:t>
      </w:r>
      <w:r w:rsidRPr="009867C1">
        <w:rPr>
          <w:lang w:val="en-CA"/>
        </w:rPr>
        <w:fldChar w:fldCharType="begin"/>
      </w:r>
      <w:r w:rsidRPr="009867C1">
        <w:rPr>
          <w:lang w:val="en-CA"/>
        </w:rPr>
        <w:instrText xml:space="preserve"> REF _Ref37697423 \h </w:instrText>
      </w:r>
      <w:r w:rsidR="009867C1">
        <w:rPr>
          <w:lang w:val="en-CA"/>
        </w:rPr>
        <w:instrText xml:space="preserve"> \* MERGEFORMAT </w:instrText>
      </w:r>
      <w:r w:rsidRPr="009867C1">
        <w:rPr>
          <w:lang w:val="en-CA"/>
        </w:rPr>
      </w:r>
      <w:r w:rsidRPr="009867C1">
        <w:rPr>
          <w:lang w:val="en-CA"/>
        </w:rPr>
        <w:fldChar w:fldCharType="separate"/>
      </w:r>
      <w:r w:rsidR="000667DB" w:rsidRPr="009867C1">
        <w:t xml:space="preserve">Figure </w:t>
      </w:r>
      <w:r w:rsidR="000667DB">
        <w:rPr>
          <w:noProof/>
        </w:rPr>
        <w:t>2</w:t>
      </w:r>
      <w:r w:rsidR="000667DB">
        <w:rPr>
          <w:noProof/>
        </w:rPr>
        <w:noBreakHyphen/>
        <w:t>3</w:t>
      </w:r>
      <w:r w:rsidRPr="009867C1">
        <w:rPr>
          <w:lang w:val="en-CA"/>
        </w:rPr>
        <w:fldChar w:fldCharType="end"/>
      </w:r>
      <w:r w:rsidRPr="009867C1">
        <w:rPr>
          <w:lang w:val="en-CA"/>
        </w:rPr>
        <w:t>).</w:t>
      </w:r>
      <w:r w:rsidR="000D1B72">
        <w:rPr>
          <w:lang w:val="en-CA"/>
        </w:rPr>
        <w:t xml:space="preserve"> S</w:t>
      </w:r>
      <w:r w:rsidR="000D1B72" w:rsidRPr="009867C1">
        <w:rPr>
          <w:lang w:val="en-CA"/>
        </w:rPr>
        <w:t xml:space="preserve">ulfur </w:t>
      </w:r>
      <w:r w:rsidR="000D1B72">
        <w:rPr>
          <w:lang w:val="en-CA"/>
        </w:rPr>
        <w:t>is</w:t>
      </w:r>
      <w:r w:rsidR="000D1B72" w:rsidRPr="009867C1">
        <w:rPr>
          <w:lang w:val="en-CA"/>
        </w:rPr>
        <w:t xml:space="preserve"> directly deposited by salmon carcasses </w:t>
      </w:r>
      <w:r w:rsidR="000D1B72" w:rsidRPr="009867C1">
        <w:rPr>
          <w:lang w:val="en-CA"/>
        </w:rPr>
        <w:fldChar w:fldCharType="begin"/>
      </w:r>
      <w:r w:rsidR="00AC0205">
        <w:rPr>
          <w:lang w:val="en-CA"/>
        </w:rPr>
        <w:instrText xml:space="preserve"> ADDIN ZOTERO_ITEM CSL_CITATION {"citationID":"vBuYJkHy","properties":{"formattedCitation":"(Drake et al., 2005)","plainCitation":"(Drake et al., 2005)","noteIndex":0},"citationItems":[{"id":795,"uris":["http://zotero.org/users/2189142/items/RN834UDP"],"itemData":{"id":795,"type":"article-journal","container-title":"Northwest Science","issue":"1","page":"61–71","source":"Google Scholar","title":"Salmon decay and nutrient contributions to riparian forest soils","volume":"79","author":[{"family":"Drake","given":"Deanne C."},{"family":"Smith","given":"Jaron V."},{"family":"Naiman","given":"Robert J."}],"issued":{"date-parts":[["2005"]]},"citation-key":"drake_2005"}}],"schema":"https://github.com/citation-style-language/schema/raw/master/csl-citation.json"} </w:instrText>
      </w:r>
      <w:r w:rsidR="000D1B72" w:rsidRPr="009867C1">
        <w:rPr>
          <w:lang w:val="en-CA"/>
        </w:rPr>
        <w:fldChar w:fldCharType="separate"/>
      </w:r>
      <w:r w:rsidR="000D1B72" w:rsidRPr="009867C1">
        <w:t>(Drake et al., 2005)</w:t>
      </w:r>
      <w:r w:rsidR="000D1B72" w:rsidRPr="009867C1">
        <w:rPr>
          <w:lang w:val="en-CA"/>
        </w:rPr>
        <w:fldChar w:fldCharType="end"/>
      </w:r>
      <w:r w:rsidR="000D1B72">
        <w:rPr>
          <w:lang w:val="en-CA"/>
        </w:rPr>
        <w:t>, and while this finding</w:t>
      </w:r>
      <w:r w:rsidRPr="009867C1">
        <w:rPr>
          <w:lang w:val="en-CA"/>
        </w:rPr>
        <w:t xml:space="preserve"> suggests</w:t>
      </w:r>
      <w:r w:rsidR="000D1B72">
        <w:rPr>
          <w:lang w:val="en-CA"/>
        </w:rPr>
        <w:t xml:space="preserve"> a</w:t>
      </w:r>
      <w:r w:rsidRPr="009867C1">
        <w:rPr>
          <w:lang w:val="en-CA"/>
        </w:rPr>
        <w:t xml:space="preserve"> </w:t>
      </w:r>
      <w:r w:rsidR="000D1B72">
        <w:rPr>
          <w:lang w:val="en-CA"/>
        </w:rPr>
        <w:t xml:space="preserve">possible </w:t>
      </w:r>
      <w:r w:rsidRPr="009867C1">
        <w:rPr>
          <w:lang w:val="en-CA"/>
        </w:rPr>
        <w:t xml:space="preserve">importance </w:t>
      </w:r>
      <w:r w:rsidR="000D1B72">
        <w:rPr>
          <w:lang w:val="en-CA"/>
        </w:rPr>
        <w:t>of</w:t>
      </w:r>
      <w:r w:rsidRPr="009867C1">
        <w:rPr>
          <w:lang w:val="en-CA"/>
        </w:rPr>
        <w:t xml:space="preserve"> salmon inputs in driving soil sulfur concentrations at these sites</w:t>
      </w:r>
      <w:r w:rsidR="000D1B72">
        <w:rPr>
          <w:lang w:val="en-CA"/>
        </w:rPr>
        <w:t xml:space="preserve"> it may be confounded with topological factors. Given that s</w:t>
      </w:r>
      <w:r w:rsidRPr="009867C1">
        <w:rPr>
          <w:lang w:val="en-CA"/>
        </w:rPr>
        <w:t xml:space="preserve">ulfate is the stable oxidation state and reservoir of exchangeable S in aerobic soils, and both retention and plant availability of sulfate anions is generally high in acidic soil environments </w:t>
      </w:r>
      <w:r w:rsidRPr="009867C1">
        <w:rPr>
          <w:lang w:val="en-CA"/>
        </w:rPr>
        <w:fldChar w:fldCharType="begin"/>
      </w:r>
      <w:r w:rsidR="00AC0205">
        <w:rPr>
          <w:lang w:val="en-CA"/>
        </w:rPr>
        <w:instrText xml:space="preserve"> ADDIN ZOTERO_ITEM CSL_CITATION {"citationID":"LeFWZNN8","properties":{"formattedCitation":"(Bohn et al., 2001)","plainCitation":"(Bohn et al., 2001)","noteIndex":0},"citationItems":[{"id":115,"uris":["http://zotero.org/users/2189142/items/2SSB76MA"],"itemData":{"id":115,"type":"book","abstract":"Comprehensive, up-to-date coverage of the basics of soil chemistry Although only a meter in depth over the earth's surface, soil is key to sustaining life-affecting air and water quality, the growth of plants and crops, and the health of the entire planet. The complex interplay among organic and inorganic solids, air, water, microorganisms, and plant roots in soil is the subject of Soil Chemistry, a reference pivotal to understanding soil processes and problems. Thoroughly reorganized for ease of use, this updated Third Edition of Soil Chemistry summarizes the important research and fundamental knowledge in the field in a single, readily usable text, including:  Soil-ion interactions Biogeological cycles and pollution Water and soil solutions Oxidation and reduction Inorganic solid phase and organic matter in soil Weathering and soil development Cation retention (exchange) Anion and molecular retention Acid and salt-affected soils  New to the Third Edition is an enhanced emphasis on soil solution chemistry and expanded coverage of phosphate chemistry and the chemical principles of the aqueous phase. At the same time, the book has retained the clear examination of the fundamentals of the science of soil that has distinguished earlier editions. Complete with SI units and end-of-chapter study questions, Soil Chemistry is an excellent introductory resource for students studying this crucial topic.","edition":"2 edition","event-place":"New York","ISBN":"978-0-471-36339-2","language":"English","number-of-pages":"320","publisher":"Wiley","publisher-place":"New York","source":"Amazon","title":"Soil Chemistry, 3rd Edition","author":[{"family":"Bohn","given":"Hinrich L."},{"family":"Myer","given":"Rick A."},{"family":"O'Connor","given":"George A."}],"issued":{"date-parts":[["2001",5,30]]},"citation-key":"bohn_2001"}}],"schema":"https://github.com/citation-style-language/schema/raw/master/csl-citation.json"} </w:instrText>
      </w:r>
      <w:r w:rsidRPr="009867C1">
        <w:rPr>
          <w:lang w:val="en-CA"/>
        </w:rPr>
        <w:fldChar w:fldCharType="separate"/>
      </w:r>
      <w:r w:rsidR="0042141C" w:rsidRPr="009867C1">
        <w:t>(Bohn et al., 2001)</w:t>
      </w:r>
      <w:r w:rsidRPr="009867C1">
        <w:rPr>
          <w:lang w:val="en-CA"/>
        </w:rPr>
        <w:fldChar w:fldCharType="end"/>
      </w:r>
      <w:r w:rsidRPr="009867C1">
        <w:rPr>
          <w:lang w:val="en-CA"/>
        </w:rPr>
        <w:t xml:space="preserve">, </w:t>
      </w:r>
      <w:r w:rsidR="000D1B72">
        <w:rPr>
          <w:lang w:val="en-CA"/>
        </w:rPr>
        <w:t xml:space="preserve">I believe </w:t>
      </w:r>
      <w:r w:rsidRPr="009867C1">
        <w:rPr>
          <w:lang w:val="en-CA"/>
        </w:rPr>
        <w:t xml:space="preserve">sulfur deficiency </w:t>
      </w:r>
      <w:r w:rsidR="000D1B72">
        <w:rPr>
          <w:lang w:val="en-CA"/>
        </w:rPr>
        <w:t>to be</w:t>
      </w:r>
      <w:r w:rsidRPr="009867C1">
        <w:rPr>
          <w:lang w:val="en-CA"/>
        </w:rPr>
        <w:t xml:space="preserve"> unlikely at these sites.</w:t>
      </w:r>
    </w:p>
    <w:p w14:paraId="7013D1C3" w14:textId="4D21D122" w:rsidR="00223F7A" w:rsidRPr="009867C1" w:rsidRDefault="00083AED" w:rsidP="00223F7A">
      <w:pPr>
        <w:ind w:firstLine="720"/>
      </w:pPr>
      <w:r>
        <w:rPr>
          <w:lang w:val="en-CA"/>
        </w:rPr>
        <w:t>C</w:t>
      </w:r>
      <w:r w:rsidR="00223F7A" w:rsidRPr="009867C1">
        <w:rPr>
          <w:lang w:val="en-CA"/>
        </w:rPr>
        <w:t xml:space="preserve">ation exchange capacity (CEC) </w:t>
      </w:r>
      <w:r>
        <w:rPr>
          <w:lang w:val="en-CA"/>
        </w:rPr>
        <w:t>was unaffected by salmon</w:t>
      </w:r>
      <w:r w:rsidR="00A753C0">
        <w:rPr>
          <w:lang w:val="en-CA"/>
        </w:rPr>
        <w:t xml:space="preserve"> inputs</w:t>
      </w:r>
      <w:r>
        <w:rPr>
          <w:lang w:val="en-CA"/>
        </w:rPr>
        <w:t xml:space="preserve"> in either analysis, </w:t>
      </w:r>
      <w:r w:rsidR="00A8204D">
        <w:rPr>
          <w:lang w:val="en-CA"/>
        </w:rPr>
        <w:t>but</w:t>
      </w:r>
      <w:r w:rsidR="00A753C0">
        <w:rPr>
          <w:lang w:val="en-CA"/>
        </w:rPr>
        <w:t xml:space="preserve"> calcium was also </w:t>
      </w:r>
      <w:r w:rsidR="00A8204D">
        <w:rPr>
          <w:lang w:val="en-CA"/>
        </w:rPr>
        <w:t>positively</w:t>
      </w:r>
      <w:r w:rsidR="00A753C0">
        <w:rPr>
          <w:lang w:val="en-CA"/>
        </w:rPr>
        <w:t xml:space="preserve"> associated with salmon inputs. </w:t>
      </w:r>
      <w:r w:rsidR="00223F7A" w:rsidRPr="009867C1">
        <w:rPr>
          <w:lang w:val="en-CA"/>
        </w:rPr>
        <w:t xml:space="preserve">Calcium is important in maintaining plant structural integrity and cellular messaging, and </w:t>
      </w:r>
      <w:r w:rsidR="00223F7A" w:rsidRPr="009867C1">
        <w:t xml:space="preserve">has been suggested to be a limiting nutrient in coastal systems </w:t>
      </w:r>
      <w:r w:rsidR="00223F7A" w:rsidRPr="009867C1">
        <w:fldChar w:fldCharType="begin"/>
      </w:r>
      <w:r w:rsidR="00AC0205">
        <w:instrText xml:space="preserve"> ADDIN ZOTERO_ITEM CSL_CITATION {"citationID":"9qrmdZiX","properties":{"formattedCitation":"(Trant et al., 2016)","plainCitation":"(Trant et al., 2016)","noteIndex":0},"citationItems":[{"id":346,"uris":["http://zotero.org/users/2189142/items/S76RND9H"],"itemData":{"id":346,"type":"article-journal","abstract":"Human occupation is usually associated with degraded landscapes but 13,000 years of repeated occupation by British Columbia’s coastal First Nations has had the opposite effect, enhancing temperate rainforest productivity. This is particularly the case over the last 6,000 years when intensified intertidal shellfish usage resulted in the accumulation of substantial shell middens. We show that soils at habitation sites are higher in calcium and phosphorous. Both of these are limiting factors in coastal temperate rainforests. Western redcedar (Thuja plicata) trees growing on the middens were found to be taller, have higher wood calcium, greater radial growth and exhibit less top die-back. Coastal British Columbia is the first known example of long-term intertidal resource use enhancing forest productivity and we expect this pattern to occur at archaeological sites along coastlines globally.","container-title":"Nature Communications","DOI":"10.1038/ncomms12491","journalAbbreviation":"Nat Commun","language":"en","page":"12491","source":"www.nature.com.ezproxy.library.ubc.ca","title":"Intertidal resource use over millennia enhances forest productivity","volume":"7","author":[{"family":"Trant","given":"Andrew J."},{"family":"Nijland","given":"Wiebe"},{"family":"Hoffman","given":"Kira M."},{"family":"Mathews","given":"Darcy L."},{"family":"McLaren","given":"Duncan"},{"family":"Nelson","given":"Trisalyn A."},{"family":"Starzomski","given":"Brian M."}],"issued":{"date-parts":[["2016",8,30]]},"citation-key":"trant_2016"}}],"schema":"https://github.com/citation-style-language/schema/raw/master/csl-citation.json"} </w:instrText>
      </w:r>
      <w:r w:rsidR="00223F7A" w:rsidRPr="009867C1">
        <w:fldChar w:fldCharType="separate"/>
      </w:r>
      <w:r w:rsidR="0042141C" w:rsidRPr="009867C1">
        <w:t>(Trant et al., 2016)</w:t>
      </w:r>
      <w:r w:rsidR="00223F7A" w:rsidRPr="009867C1">
        <w:fldChar w:fldCharType="end"/>
      </w:r>
      <w:r w:rsidR="00223F7A" w:rsidRPr="009867C1">
        <w:t>, in particular for western redcedar and associated plants. Ca</w:t>
      </w:r>
      <w:r w:rsidR="00223F7A" w:rsidRPr="009867C1">
        <w:rPr>
          <w:vertAlign w:val="superscript"/>
        </w:rPr>
        <w:t>2+</w:t>
      </w:r>
      <w:r w:rsidR="00223F7A" w:rsidRPr="009867C1">
        <w:t xml:space="preserve"> is intimately associated with N cycling </w:t>
      </w:r>
      <w:r w:rsidR="00223F7A" w:rsidRPr="009867C1">
        <w:fldChar w:fldCharType="begin"/>
      </w:r>
      <w:r w:rsidR="00AC0205">
        <w:instrText xml:space="preserve"> ADDIN ZOTERO_ITEM CSL_CITATION {"citationID":"3hXhPSXl","properties":{"formattedCitation":"(Hynicka et al., 2016; Perakis et al., 2006)","plainCitation":"(Hynicka et al., 2016; Perakis et al., 2006)","noteIndex":0},"citationItems":[{"id":1697,"uris":["http://zotero.org/users/2189142/items/Q253DCJH"],"itemData":{"id":1697,"type":"article-journal","container-title":"Global change biology","issue":"12","page":"4067–4079","source":"Google Scholar","title":"Nitrogen enrichment regulates calcium sources in forests","volume":"22","author":[{"family":"Hynicka","given":"Justin D."},{"family":"Pett-Ridge","given":"Julie C."},{"family":"Perakis","given":"Steven S."}],"issued":{"date-parts":[["2016"]]},"citation-key":"hynicka_2016"}},{"id":1318,"uris":["http://zotero.org/users/2189142/items/3CDK9I3R"],"itemData":{"id":1318,"type":"article-journal","container-title":"Ecosystems","issue":"1","page":"63–74","source":"Google Scholar","title":"Coupled nitrogen and calcium cycles in forests of the Oregon Coast Range","volume":"9","author":[{"family":"Perakis","given":"Steven S."},{"family":"Maguire","given":"Douglas A."},{"family":"Bullen","given":"Thomas D."},{"family":"Cromack","given":"Kermit"},{"family":"Waring","given":"Richard H."},{"family":"Boyle","given":"James R."}],"issued":{"date-parts":[["2006"]]},"citation-key":"perakis_2006"}}],"schema":"https://github.com/citation-style-language/schema/raw/master/csl-citation.json"} </w:instrText>
      </w:r>
      <w:r w:rsidR="00223F7A" w:rsidRPr="009867C1">
        <w:fldChar w:fldCharType="separate"/>
      </w:r>
      <w:r w:rsidR="0042141C" w:rsidRPr="009867C1">
        <w:t>(Hynicka et al., 2016; Perakis et al., 2006)</w:t>
      </w:r>
      <w:r w:rsidR="00223F7A" w:rsidRPr="009867C1">
        <w:fldChar w:fldCharType="end"/>
      </w:r>
      <w:r w:rsidR="00223F7A" w:rsidRPr="009867C1">
        <w:t xml:space="preserve"> </w:t>
      </w:r>
      <w:r w:rsidR="00A8204D">
        <w:t>and</w:t>
      </w:r>
      <w:r w:rsidR="00223F7A" w:rsidRPr="009867C1">
        <w:t xml:space="preserve"> generally shows an inverse relationship with NO</w:t>
      </w:r>
      <w:r w:rsidR="00223F7A" w:rsidRPr="009867C1">
        <w:rPr>
          <w:vertAlign w:val="subscript"/>
        </w:rPr>
        <w:t>3</w:t>
      </w:r>
      <w:r w:rsidR="00223F7A" w:rsidRPr="009867C1">
        <w:rPr>
          <w:vertAlign w:val="superscript"/>
        </w:rPr>
        <w:t>-</w:t>
      </w:r>
      <w:r w:rsidR="00223F7A" w:rsidRPr="009867C1">
        <w:t xml:space="preserve"> addition, with co-leaching of NO</w:t>
      </w:r>
      <w:r w:rsidR="00223F7A" w:rsidRPr="009867C1">
        <w:rPr>
          <w:vertAlign w:val="subscript"/>
        </w:rPr>
        <w:t>3</w:t>
      </w:r>
      <w:r w:rsidR="00223F7A" w:rsidRPr="009867C1">
        <w:rPr>
          <w:vertAlign w:val="superscript"/>
        </w:rPr>
        <w:t>-</w:t>
      </w:r>
      <w:r w:rsidR="00223F7A" w:rsidRPr="009867C1">
        <w:t xml:space="preserve"> anions and Ca</w:t>
      </w:r>
      <w:r w:rsidR="00223F7A" w:rsidRPr="009867C1">
        <w:rPr>
          <w:vertAlign w:val="superscript"/>
        </w:rPr>
        <w:t>2+</w:t>
      </w:r>
      <w:r w:rsidR="00223F7A" w:rsidRPr="009867C1">
        <w:t xml:space="preserve"> cations the most commonly suggested mechanism </w:t>
      </w:r>
      <w:r w:rsidR="00223F7A" w:rsidRPr="009867C1">
        <w:fldChar w:fldCharType="begin"/>
      </w:r>
      <w:r w:rsidR="00AC0205">
        <w:instrText xml:space="preserve"> ADDIN ZOTERO_ITEM CSL_CITATION {"citationID":"tuRkH7GT","properties":{"formattedCitation":"(Bohn et al., 2001)","plainCitation":"(Bohn et al., 2001)","noteIndex":0},"citationItems":[{"id":115,"uris":["http://zotero.org/users/2189142/items/2SSB76MA"],"itemData":{"id":115,"type":"book","abstract":"Comprehensive, up-to-date coverage of the basics of soil chemistry Although only a meter in depth over the earth's surface, soil is key to sustaining life-affecting air and water quality, the growth of plants and crops, and the health of the entire planet. The complex interplay among organic and inorganic solids, air, water, microorganisms, and plant roots in soil is the subject of Soil Chemistry, a reference pivotal to understanding soil processes and problems. Thoroughly reorganized for ease of use, this updated Third Edition of Soil Chemistry summarizes the important research and fundamental knowledge in the field in a single, readily usable text, including:  Soil-ion interactions Biogeological cycles and pollution Water and soil solutions Oxidation and reduction Inorganic solid phase and organic matter in soil Weathering and soil development Cation retention (exchange) Anion and molecular retention Acid and salt-affected soils  New to the Third Edition is an enhanced emphasis on soil solution chemistry and expanded coverage of phosphate chemistry and the chemical principles of the aqueous phase. At the same time, the book has retained the clear examination of the fundamentals of the science of soil that has distinguished earlier editions. Complete with SI units and end-of-chapter study questions, Soil Chemistry is an excellent introductory resource for students studying this crucial topic.","edition":"2 edition","event-place":"New York","ISBN":"978-0-471-36339-2","language":"English","number-of-pages":"320","publisher":"Wiley","publisher-place":"New York","source":"Amazon","title":"Soil Chemistry, 3rd Edition","author":[{"family":"Bohn","given":"Hinrich L."},{"family":"Myer","given":"Rick A."},{"family":"O'Connor","given":"George A."}],"issued":{"date-parts":[["2001",5,30]]},"citation-key":"bohn_2001"}}],"schema":"https://github.com/citation-style-language/schema/raw/master/csl-citation.json"} </w:instrText>
      </w:r>
      <w:r w:rsidR="00223F7A" w:rsidRPr="009867C1">
        <w:fldChar w:fldCharType="separate"/>
      </w:r>
      <w:r w:rsidR="0042141C" w:rsidRPr="009867C1">
        <w:t>(Bohn et al., 2001)</w:t>
      </w:r>
      <w:r w:rsidR="00223F7A" w:rsidRPr="009867C1">
        <w:fldChar w:fldCharType="end"/>
      </w:r>
      <w:r w:rsidR="00223F7A" w:rsidRPr="009867C1">
        <w:t xml:space="preserve">. The </w:t>
      </w:r>
      <w:r w:rsidR="00A8204D">
        <w:t>positive</w:t>
      </w:r>
      <w:r w:rsidR="00A753C0">
        <w:t xml:space="preserve"> relationship</w:t>
      </w:r>
      <w:r w:rsidR="00223F7A" w:rsidRPr="009867C1">
        <w:t xml:space="preserve"> shown here suggests </w:t>
      </w:r>
      <w:r w:rsidR="00A753C0">
        <w:t xml:space="preserve">either there is no </w:t>
      </w:r>
      <w:r w:rsidR="00A8204D">
        <w:t xml:space="preserve">loss as a result of </w:t>
      </w:r>
      <w:r w:rsidR="00A753C0">
        <w:t xml:space="preserve">salmon inputs, or </w:t>
      </w:r>
      <w:r w:rsidR="00223F7A" w:rsidRPr="009867C1">
        <w:t>that any potential leaching as a result of excess nitrate addition is compensated by direct Ca deposition from salmon carcass bones and cartilage.</w:t>
      </w:r>
    </w:p>
    <w:p w14:paraId="43630BD1" w14:textId="4162D04E" w:rsidR="00223F7A" w:rsidRPr="009867C1" w:rsidRDefault="00223F7A" w:rsidP="00223F7A">
      <w:pPr>
        <w:ind w:firstLine="720"/>
        <w:rPr>
          <w:lang w:val="en-CA"/>
        </w:rPr>
      </w:pPr>
      <w:r w:rsidRPr="009867C1">
        <w:t xml:space="preserve">Salmon carcasses also deposit magnesium and potassium </w:t>
      </w:r>
      <w:r w:rsidRPr="009867C1">
        <w:rPr>
          <w:lang w:val="en-CA"/>
        </w:rPr>
        <w:t>(Mg</w:t>
      </w:r>
      <w:r w:rsidRPr="009867C1">
        <w:rPr>
          <w:vertAlign w:val="superscript"/>
          <w:lang w:val="en-CA"/>
        </w:rPr>
        <w:t>+</w:t>
      </w:r>
      <w:r w:rsidRPr="009867C1">
        <w:rPr>
          <w:lang w:val="en-CA"/>
        </w:rPr>
        <w:t>, K</w:t>
      </w:r>
      <w:r w:rsidRPr="009867C1">
        <w:rPr>
          <w:vertAlign w:val="superscript"/>
          <w:lang w:val="en-CA"/>
        </w:rPr>
        <w:t>+</w:t>
      </w:r>
      <w:r w:rsidRPr="009867C1">
        <w:rPr>
          <w:lang w:val="en-CA"/>
        </w:rPr>
        <w:t>)</w:t>
      </w:r>
      <w:r w:rsidRPr="009867C1">
        <w:t xml:space="preserve">, but do so in lower concentrations than calcium. </w:t>
      </w:r>
      <w:r w:rsidRPr="009867C1">
        <w:rPr>
          <w:lang w:val="en-CA"/>
        </w:rPr>
        <w:t xml:space="preserve">Magnesium has a central role in the chlorophyll molecule, and is also important as a enzymatic cofactor in both transcription and translation </w:t>
      </w:r>
      <w:r w:rsidRPr="009867C1">
        <w:rPr>
          <w:lang w:val="en-CA"/>
        </w:rPr>
        <w:fldChar w:fldCharType="begin"/>
      </w:r>
      <w:r w:rsidR="00AC0205">
        <w:rPr>
          <w:lang w:val="en-CA"/>
        </w:rPr>
        <w:instrText xml:space="preserve"> ADDIN ZOTERO_ITEM CSL_CITATION {"citationID":"yTqUGx1s","properties":{"formattedCitation":"(Maathuis, 2009)","plainCitation":"(Maathuis, 2009)","noteIndex":0},"citationItems":[{"id":9933,"uris":["http://zotero.org/users/2189142/items/WEMB3EU3"],"itemData":{"id":9933,"type":"article-journal","abstract":"Plants require calcium, magnesium, nitrogen, phosphorous, potassium and sulfur in relatively large amounts (&gt;0.1% of dry mass) and each of these so-called macronutrients is essential for a plant to complete its life cycle. Normally, these minerals are taken up by plant roots from the soil solution in ionic form with the metals Ca2+, Mg2+ and K+ present as free cations, P and S as their oxyanions phosphate (PO43−) and sulfate (SO42−) and N as anionic nitrate (NO3−) or cation ammonium (NH4+). Recently, important progress has been made in identifying transport and regulatory mechanisms for macronutrients and the mechanisms of uptake and distribution. These and the main physiological roles of each nutrient will be discussed.","collection-title":"Physiology and Metabolism","container-title":"Current Opinion in Plant Biology","DOI":"10.1016/j.pbi.2009.04.003","ISSN":"1369-5266","issue":"3","journalAbbreviation":"Current Opinion in Plant Biology","language":"en","page":"250-258","source":"ScienceDirect","title":"Physiological functions of mineral macronutrients","volume":"12","author":[{"family":"Maathuis","given":"Frans JM"}],"issued":{"date-parts":[["2009",6,1]]},"citation-key":"maathuis_2009"}}],"schema":"https://github.com/citation-style-language/schema/raw/master/csl-citation.json"} </w:instrText>
      </w:r>
      <w:r w:rsidRPr="009867C1">
        <w:rPr>
          <w:lang w:val="en-CA"/>
        </w:rPr>
        <w:fldChar w:fldCharType="separate"/>
      </w:r>
      <w:r w:rsidR="0042141C" w:rsidRPr="009867C1">
        <w:t>(Maathuis, 2009)</w:t>
      </w:r>
      <w:r w:rsidRPr="009867C1">
        <w:rPr>
          <w:lang w:val="en-CA"/>
        </w:rPr>
        <w:fldChar w:fldCharType="end"/>
      </w:r>
      <w:r w:rsidRPr="009867C1">
        <w:rPr>
          <w:lang w:val="en-CA"/>
        </w:rPr>
        <w:t>. Magnesium declined with salmon inputs along regional gradients, but showed the opposite tendency in organic soils below waterfalls, where it was higher below falls than above (</w:t>
      </w:r>
      <w:r w:rsidRPr="009867C1">
        <w:rPr>
          <w:lang w:val="en-CA"/>
        </w:rPr>
        <w:fldChar w:fldCharType="begin"/>
      </w:r>
      <w:r w:rsidRPr="009867C1">
        <w:rPr>
          <w:lang w:val="en-CA"/>
        </w:rPr>
        <w:instrText xml:space="preserve"> REF _Ref37698445 \h </w:instrText>
      </w:r>
      <w:r w:rsidR="009867C1">
        <w:rPr>
          <w:lang w:val="en-CA"/>
        </w:rPr>
        <w:instrText xml:space="preserve"> \* MERGEFORMAT </w:instrText>
      </w:r>
      <w:r w:rsidRPr="009867C1">
        <w:rPr>
          <w:lang w:val="en-CA"/>
        </w:rPr>
      </w:r>
      <w:r w:rsidRPr="009867C1">
        <w:rPr>
          <w:lang w:val="en-CA"/>
        </w:rPr>
        <w:fldChar w:fldCharType="separate"/>
      </w:r>
      <w:r w:rsidR="000667DB" w:rsidRPr="009867C1">
        <w:t xml:space="preserve">Figure </w:t>
      </w:r>
      <w:r w:rsidR="000667DB">
        <w:rPr>
          <w:noProof/>
        </w:rPr>
        <w:t>2</w:t>
      </w:r>
      <w:r w:rsidR="000667DB">
        <w:rPr>
          <w:noProof/>
        </w:rPr>
        <w:noBreakHyphen/>
        <w:t>4</w:t>
      </w:r>
      <w:r w:rsidRPr="009867C1">
        <w:rPr>
          <w:lang w:val="en-CA"/>
        </w:rPr>
        <w:fldChar w:fldCharType="end"/>
      </w:r>
      <w:r w:rsidRPr="009867C1">
        <w:rPr>
          <w:lang w:val="en-CA"/>
        </w:rPr>
        <w:t xml:space="preserve">). Potassium, meanwhile, is important in maintaining plant turgor pressure, cellular signalling, and the activation of numerous enzymes </w:t>
      </w:r>
      <w:r w:rsidRPr="009867C1">
        <w:rPr>
          <w:lang w:val="en-CA"/>
        </w:rPr>
        <w:fldChar w:fldCharType="begin"/>
      </w:r>
      <w:r w:rsidR="00AC0205">
        <w:rPr>
          <w:lang w:val="en-CA"/>
        </w:rPr>
        <w:instrText xml:space="preserve"> ADDIN ZOTERO_ITEM CSL_CITATION {"citationID":"s29djZ1b","properties":{"formattedCitation":"(Maathuis, 2009)","plainCitation":"(Maathuis, 2009)","noteIndex":0},"citationItems":[{"id":9933,"uris":["http://zotero.org/users/2189142/items/WEMB3EU3"],"itemData":{"id":9933,"type":"article-journal","abstract":"Plants require calcium, magnesium, nitrogen, phosphorous, potassium and sulfur in relatively large amounts (&gt;0.1% of dry mass) and each of these so-called macronutrients is essential for a plant to complete its life cycle. Normally, these minerals are taken up by plant roots from the soil solution in ionic form with the metals Ca2+, Mg2+ and K+ present as free cations, P and S as their oxyanions phosphate (PO43−) and sulfate (SO42−) and N as anionic nitrate (NO3−) or cation ammonium (NH4+). Recently, important progress has been made in identifying transport and regulatory mechanisms for macronutrients and the mechanisms of uptake and distribution. These and the main physiological roles of each nutrient will be discussed.","collection-title":"Physiology and Metabolism","container-title":"Current Opinion in Plant Biology","DOI":"10.1016/j.pbi.2009.04.003","ISSN":"1369-5266","issue":"3","journalAbbreviation":"Current Opinion in Plant Biology","language":"en","page":"250-258","source":"ScienceDirect","title":"Physiological functions of mineral macronutrients","volume":"12","author":[{"family":"Maathuis","given":"Frans JM"}],"issued":{"date-parts":[["2009",6,1]]},"citation-key":"maathuis_2009"}}],"schema":"https://github.com/citation-style-language/schema/raw/master/csl-citation.json"} </w:instrText>
      </w:r>
      <w:r w:rsidRPr="009867C1">
        <w:rPr>
          <w:lang w:val="en-CA"/>
        </w:rPr>
        <w:fldChar w:fldCharType="separate"/>
      </w:r>
      <w:r w:rsidR="0042141C" w:rsidRPr="009867C1">
        <w:t>(Maathuis, 2009)</w:t>
      </w:r>
      <w:r w:rsidRPr="009867C1">
        <w:rPr>
          <w:lang w:val="en-CA"/>
        </w:rPr>
        <w:fldChar w:fldCharType="end"/>
      </w:r>
      <w:r w:rsidRPr="009867C1">
        <w:rPr>
          <w:lang w:val="en-CA"/>
        </w:rPr>
        <w:t xml:space="preserve">, and is considered the third most important macronutrient in plants </w:t>
      </w:r>
      <w:r w:rsidRPr="009867C1">
        <w:rPr>
          <w:lang w:val="en-CA"/>
        </w:rPr>
        <w:fldChar w:fldCharType="begin"/>
      </w:r>
      <w:r w:rsidR="00AC0205">
        <w:rPr>
          <w:lang w:val="en-CA"/>
        </w:rPr>
        <w:instrText xml:space="preserve"> ADDIN ZOTERO_ITEM CSL_CITATION {"citationID":"FcNiBGuA","properties":{"formattedCitation":"(Pandey et al., 2020)","plainCitation":"(Pandey et al., 2020)","noteIndex":0},"citationItems":[{"id":32,"uris":["http://zotero.org/users/2189142/items/FKBTGZXZ"],"itemData":{"id":32,"type":"chapter","abstract":"Potassium (K) is seventh abundant element on earth and considered as third most significant macronutrient after nitrogen and phosphorus for plants. K plays an important role in metabolism, activation of enzyme, osmoregulation, balancing of charge and preventing unnecessary water loss, and regulating the stomatal movement in plants. The deficiency of K results in poor growth and development which intensely related to crop yield and resistance to disease. In soils, the fixation of K is comparatively fast; however, its release is a slow process. Many potassium solubilizing microbes (KSMs), such as fungi, bacteria and some arbuscular mycorrhizal (AM) fungi assist in mobilization of K from soil/mineral to plants. Microbes secrete various organic acids, which release K from the minerals and make it bioavailable to the plants. Fixation of K in soil, its uptake by the plant and leaching reduce the availability of K content in the soils. Application of microbial inoculants improve the growth and yield by converting the K in available form. KSMs work as biofertilizer in agriculture; improve the productivity, nutrient availability and reduce the use of agrochemicals in an economic, eco-friendly and sustainable manner. Future studies should focus on isolation and inoculation of indigenous K solubilizers to the plants from different environmental conditions such as cold, drought, nutrient-deficient soils, etc., to improve the availability of K for plants.","collection-title":"Sustainable Development and Biodiversity","container-title":"Plant Microbiomes for Sustainable Agriculture","event-place":"Cham","ISBN":"978-3-030-38453-1","language":"en","note":"DOI: 10.1007/978-3-030-38453-1_9","page":"263-286","publisher":"Springer International Publishing","publisher-place":"Cham","source":"Springer Link","title":"Potassium Solubilizing Microbes: Diversity, Ecological Significances and Biotechnological Applications","title-short":"Potassium Solubilizing Microbes","URL":"https://doi.org/10.1007/978-3-030-38453-1_9","author":[{"family":"Pandey","given":"Dheeraj"},{"family":"Kehri","given":"Harbans Kaur"},{"family":"Zoomi","given":"Ifra"},{"family":"Singh","given":"Uma"},{"family":"Chaudhri","given":"Kanhaiya L."},{"family":"Akhtar","given":"Ovaid"}],"editor":[{"family":"Yadav","given":"Ajar Nath"},{"family":"Singh","given":"Joginder"},{"family":"Rastegari","given":"Ali Asghar"},{"family":"Yadav","given":"Neelam"}],"accessed":{"date-parts":[["2021",1,28]]},"issued":{"date-parts":[["2020"]]},"citation-key":"pandey_2020"}}],"schema":"https://github.com/citation-style-language/schema/raw/master/csl-citation.json"} </w:instrText>
      </w:r>
      <w:r w:rsidRPr="009867C1">
        <w:rPr>
          <w:lang w:val="en-CA"/>
        </w:rPr>
        <w:fldChar w:fldCharType="separate"/>
      </w:r>
      <w:r w:rsidR="0042141C" w:rsidRPr="009867C1">
        <w:t>(Pandey et al., 2020)</w:t>
      </w:r>
      <w:r w:rsidRPr="009867C1">
        <w:rPr>
          <w:lang w:val="en-CA"/>
        </w:rPr>
        <w:fldChar w:fldCharType="end"/>
      </w:r>
      <w:r w:rsidRPr="009867C1">
        <w:rPr>
          <w:lang w:val="en-CA"/>
        </w:rPr>
        <w:t xml:space="preserve">. Potassium followed a similar pattern to magnesium, and had a decreasing trend with salmon inputs along regional gradients. Sodium, the final exchangeable cation we examined, followed a similar pattern to magnesium and potassium and decreased with salmon inputs along our gradient, but similar to magnesium was higher below </w:t>
      </w:r>
      <w:r w:rsidR="00A753C0">
        <w:rPr>
          <w:lang w:val="en-CA"/>
        </w:rPr>
        <w:t>water</w:t>
      </w:r>
      <w:r w:rsidRPr="009867C1">
        <w:rPr>
          <w:lang w:val="en-CA"/>
        </w:rPr>
        <w:t>falls than above</w:t>
      </w:r>
      <w:r w:rsidR="00A753C0">
        <w:rPr>
          <w:lang w:val="en-CA"/>
        </w:rPr>
        <w:t xml:space="preserve"> waterfalls</w:t>
      </w:r>
      <w:r w:rsidRPr="009867C1">
        <w:rPr>
          <w:lang w:val="en-CA"/>
        </w:rPr>
        <w:t xml:space="preserve"> in forest floor soil. </w:t>
      </w:r>
      <w:r w:rsidR="00A753C0">
        <w:rPr>
          <w:lang w:val="en-CA"/>
        </w:rPr>
        <w:t>Since few of these relationships were significant, these data suggest minimal effect of salmon inputs on exchangeable cations. Considered together, however, Mg</w:t>
      </w:r>
      <w:r w:rsidR="00A753C0" w:rsidRPr="00A753C0">
        <w:rPr>
          <w:vertAlign w:val="superscript"/>
          <w:lang w:val="en-CA"/>
        </w:rPr>
        <w:t>2+</w:t>
      </w:r>
      <w:r w:rsidR="00A753C0">
        <w:rPr>
          <w:lang w:val="en-CA"/>
        </w:rPr>
        <w:t>, K</w:t>
      </w:r>
      <w:r w:rsidR="00A753C0" w:rsidRPr="00A753C0">
        <w:rPr>
          <w:vertAlign w:val="superscript"/>
          <w:lang w:val="en-CA"/>
        </w:rPr>
        <w:t>+</w:t>
      </w:r>
      <w:r w:rsidR="00A753C0">
        <w:rPr>
          <w:lang w:val="en-CA"/>
        </w:rPr>
        <w:t>, and Na</w:t>
      </w:r>
      <w:r w:rsidR="00A753C0" w:rsidRPr="00A753C0">
        <w:rPr>
          <w:vertAlign w:val="superscript"/>
          <w:lang w:val="en-CA"/>
        </w:rPr>
        <w:t>2+</w:t>
      </w:r>
      <w:r w:rsidR="00A753C0">
        <w:rPr>
          <w:lang w:val="en-CA"/>
        </w:rPr>
        <w:t xml:space="preserve"> had decreasing tendencies along the salmon density gradient, while Ca</w:t>
      </w:r>
      <w:r w:rsidR="00A753C0" w:rsidRPr="00A753C0">
        <w:rPr>
          <w:vertAlign w:val="superscript"/>
          <w:lang w:val="en-CA"/>
        </w:rPr>
        <w:t>2+</w:t>
      </w:r>
      <w:r w:rsidR="00A753C0">
        <w:rPr>
          <w:lang w:val="en-CA"/>
        </w:rPr>
        <w:t xml:space="preserve"> increased; g</w:t>
      </w:r>
      <w:r w:rsidRPr="009867C1">
        <w:rPr>
          <w:lang w:val="en-CA"/>
        </w:rPr>
        <w:t xml:space="preserve">iven full consideration, </w:t>
      </w:r>
      <w:r w:rsidR="00A753C0">
        <w:rPr>
          <w:lang w:val="en-CA"/>
        </w:rPr>
        <w:t>there may be evidence for</w:t>
      </w:r>
      <w:r w:rsidRPr="009867C1">
        <w:rPr>
          <w:lang w:val="en-CA"/>
        </w:rPr>
        <w:t xml:space="preserve"> the idea of nitrogen-assisted cation leaching in these soils, with the caveat that calcium is either not being leached or is being replaced by carcass deposition or another process at similar or higher rates. </w:t>
      </w:r>
      <w:r w:rsidR="004D3FA6">
        <w:rPr>
          <w:lang w:val="en-CA"/>
        </w:rPr>
        <w:t>If it is occurring, m</w:t>
      </w:r>
      <w:r w:rsidRPr="009867C1">
        <w:rPr>
          <w:lang w:val="en-CA"/>
        </w:rPr>
        <w:t xml:space="preserve">ediation of cation leaching due to nitrogen-mediated acidification by calcium inputs suggests particular importance in these systems for large old-growth cedar trees, which act as calcium pumps and recycle calcium from deeper soil layers </w:t>
      </w:r>
      <w:r w:rsidRPr="009867C1">
        <w:rPr>
          <w:lang w:val="en-CA"/>
        </w:rPr>
        <w:fldChar w:fldCharType="begin"/>
      </w:r>
      <w:r w:rsidR="00AC0205">
        <w:rPr>
          <w:lang w:val="en-CA"/>
        </w:rPr>
        <w:instrText xml:space="preserve"> ADDIN ZOTERO_ITEM CSL_CITATION {"citationID":"SnhqkgrT","properties":{"formattedCitation":"(D\\uc0\\u8217{}Amore et al., 2009)","plainCitation":"(D’Amore et al., 2009)","noteIndex":0},"citationItems":[{"id":9972,"uris":["http://zotero.org/users/2189142/items/WSX9NVXN"],"itemData":{"id":9972,"type":"article-journal","abstract":"Yellow-cedar (Chamaecyparis nootkatensis (D. Don) Spach) and western redcedar (Thuja plicata Donn), two valuable tree species of Pacific Northwest forests, are competitive in low productivity forests on wet, nearly saturated soils with low nitrogen (N) availability and turnover. We propose a mechanism where cedar trees survive in marginal conditions through exploiting a coupled Ca–NO3− nutrient cycle where trees assimilate N as nitrate (NO3−), but must accumulate a counter-ion to NO3− such as calcium (Ca+2) to control their internal cell pH and provide electrochemical balance. The availability of NO3− in cedar forests is favored by increased microbial activity and shifts in microbial community composition that is conducive to N mineralization and nitrification at higher pH. Cedars influence the soils under their canopy by enriching the forest floor with calcium compounds leading to increases in pH. Cedars are also prone to precocious dehardening in the spring when N is released from freeze–thaw events in the soils and conditions appear to favor nitrifying microbial communities. Cedars must concentrate fine-root biomass near the soil surface to access Ca and NO3−, but this beneficial physiological adaptation also creates a vulnerability to periodic root freezing injury that is leading to the decline and mortality of at least one of them—yellow-cedar.","collection-title":"Forest Soil Science: Celebrating 50 Years of Research on Properties, Processes and Management of Forest Soils Forest Soil Science: Celebrating 50 Years of Research on Properties, Processes and Management of Forest Soils Forest Soil Science: Celebrating 50 Years of Research on Properties, Processes and Management of Forest Soils Forest Soil Science: Celebrating 50 Years of Research on Properties, Processes and Management of Forest Soils","container-title":"Forest Ecology and Management","DOI":"10.1016/j.foreco.2009.03.006","ISSN":"0378-1127","issue":"10","journalAbbreviation":"Forest Ecology and Management","language":"en","page":"2261-2268","source":"ScienceDirect","title":"Adaptation to exploit nitrate in surface soils predisposes yellow-cedar to climate-induced decline while enhancing the survival of western redcedar: A new hypothesis","title-short":"Adaptation to exploit nitrate in surface soils predisposes yellow-cedar to climate-induced decline while enhancing the survival of western redcedar","volume":"258","author":[{"family":"D’Amore","given":"David V."},{"family":"Hennon","given":"Paul E."},{"family":"Schaberg","given":"Paul G."},{"family":"Hawley","given":"Gary J."}],"issued":{"date-parts":[["2009",10,30]]},"citation-key":"damore_2009"}}],"schema":"https://github.com/citation-style-language/schema/raw/master/csl-citation.json"} </w:instrText>
      </w:r>
      <w:r w:rsidRPr="009867C1">
        <w:rPr>
          <w:lang w:val="en-CA"/>
        </w:rPr>
        <w:fldChar w:fldCharType="separate"/>
      </w:r>
      <w:r w:rsidR="0042141C" w:rsidRPr="009867C1">
        <w:t>(D’Amore et al., 2009)</w:t>
      </w:r>
      <w:r w:rsidRPr="009867C1">
        <w:rPr>
          <w:lang w:val="en-CA"/>
        </w:rPr>
        <w:fldChar w:fldCharType="end"/>
      </w:r>
      <w:r w:rsidRPr="009867C1">
        <w:rPr>
          <w:lang w:val="en-CA"/>
        </w:rPr>
        <w:t xml:space="preserve">, as well as </w:t>
      </w:r>
      <w:r w:rsidR="00A753C0">
        <w:rPr>
          <w:lang w:val="en-CA"/>
        </w:rPr>
        <w:t xml:space="preserve">reflecting the importance of </w:t>
      </w:r>
      <w:r w:rsidRPr="009867C1">
        <w:rPr>
          <w:lang w:val="en-CA"/>
        </w:rPr>
        <w:t xml:space="preserve">anthropological soil amendments from shellfish harvesting </w:t>
      </w:r>
      <w:r w:rsidRPr="009867C1">
        <w:rPr>
          <w:lang w:val="en-CA"/>
        </w:rPr>
        <w:fldChar w:fldCharType="begin"/>
      </w:r>
      <w:r w:rsidR="00AC0205">
        <w:rPr>
          <w:lang w:val="en-CA"/>
        </w:rPr>
        <w:instrText xml:space="preserve"> ADDIN ZOTERO_ITEM CSL_CITATION {"citationID":"mF9oufAM","properties":{"formattedCitation":"(Cox et al., 2020; Trant et al., 2016)","plainCitation":"(Cox et al., 2020; Trant et al., 2016)","noteIndex":0},"citationItems":[{"id":2170,"uris":["http://zotero.org/users/2189142/items/IRXJ9ALU"],"itemData":{"id":2170,"type":"article-journal","abstract":"Spatial subsidies are associated with pronounced ecosystem responses, as nutrients cross ecological boundaries and cascade through food webs. While the importance of subsidies is known, the role of shellfish, specifically molluscs, as a marine subsidy has not been formally described. Focusing primarily on the Pacific coast of North America, we identify vectors that transport shellfish-derived nutrients into coastal terrestrial environments, including birds, mammals, and over 13 000 yr of marine resource use by people. Evidence from recipient ecosystems suggests shellfish drastically influence soil chemistry, forest productivity and the diversity of primary producers at the regional and landscape level. Responses in higher trophic levels have not yet been investigated, but given documented responses in lower trophic levels, this may be due to a lack of examination. To determine if the processes we describe within the northeast Pacific are pertinent to coastal environments worldwide, we also explore shellfish subsidies globally, with a specific focus on temperate and tropical islands. As shellfish are not as spatially or temporally constrained as other subsidies, our examination suggests our findings are applicable to many other geographical regions along the marine–terrestrial interface.","container-title":"Ecography","DOI":"https://doi.org/10.1111/ecog.04476","ISSN":"1600-0587","issue":"5","language":"en","note":"_eprint: https://onlinelibrary.wiley.com/doi/pdf/10.1111/ecog.04476","page":"668-681","source":"Wiley Online Library","title":"Shellfish subsidies along the Pacific coast of North America","volume":"43","author":[{"family":"Cox","given":"Kieran D."},{"family":"Davies","given":"Hailey L."},{"family":"Davidson","given":"Katie H."},{"family":"Gerwing","given":"Travis G."},{"family":"Dudas","given":"Sarah E."},{"family":"Juanes","given":"Francis"}],"issued":{"date-parts":[["2020"]]},"citation-key":"cox_2020a"}},{"id":346,"uris":["http://zotero.org/users/2189142/items/S76RND9H"],"itemData":{"id":346,"type":"article-journal","abstract":"Human occupation is usually associated with degraded landscapes but 13,000 years of repeated occupation by British Columbia’s coastal First Nations has had the opposite effect, enhancing temperate rainforest productivity. This is particularly the case over the last 6,000 years when intensified intertidal shellfish usage resulted in the accumulation of substantial shell middens. We show that soils at habitation sites are higher in calcium and phosphorous. Both of these are limiting factors in coastal temperate rainforests. Western redcedar (Thuja plicata) trees growing on the middens were found to be taller, have higher wood calcium, greater radial growth and exhibit less top die-back. Coastal British Columbia is the first known example of long-term intertidal resource use enhancing forest productivity and we expect this pattern to occur at archaeological sites along coastlines globally.","container-title":"Nature Communications","DOI":"10.1038/ncomms12491","journalAbbreviation":"Nat Commun","language":"en","page":"12491","source":"www.nature.com.ezproxy.library.ubc.ca","title":"Intertidal resource use over millennia enhances forest productivity","volume":"7","author":[{"family":"Trant","given":"Andrew J."},{"family":"Nijland","given":"Wiebe"},{"family":"Hoffman","given":"Kira M."},{"family":"Mathews","given":"Darcy L."},{"family":"McLaren","given":"Duncan"},{"family":"Nelson","given":"Trisalyn A."},{"family":"Starzomski","given":"Brian M."}],"issued":{"date-parts":[["2016",8,30]]},"citation-key":"trant_2016"}}],"schema":"https://github.com/citation-style-language/schema/raw/master/csl-citation.json"} </w:instrText>
      </w:r>
      <w:r w:rsidRPr="009867C1">
        <w:rPr>
          <w:lang w:val="en-CA"/>
        </w:rPr>
        <w:fldChar w:fldCharType="separate"/>
      </w:r>
      <w:r w:rsidR="0042141C" w:rsidRPr="009867C1">
        <w:t>(Cox et al., 2020; Trant et al., 2016)</w:t>
      </w:r>
      <w:r w:rsidRPr="009867C1">
        <w:rPr>
          <w:lang w:val="en-CA"/>
        </w:rPr>
        <w:fldChar w:fldCharType="end"/>
      </w:r>
      <w:r w:rsidRPr="009867C1">
        <w:rPr>
          <w:lang w:val="en-CA"/>
        </w:rPr>
        <w:t xml:space="preserve">.  </w:t>
      </w:r>
    </w:p>
    <w:p w14:paraId="49C93302" w14:textId="06189828" w:rsidR="00223F7A" w:rsidRPr="009867C1" w:rsidRDefault="00223F7A" w:rsidP="00223F7A">
      <w:pPr>
        <w:ind w:firstLine="720"/>
        <w:rPr>
          <w:lang w:val="en-CA"/>
        </w:rPr>
      </w:pPr>
      <w:r w:rsidRPr="009867C1">
        <w:rPr>
          <w:lang w:val="en-CA"/>
        </w:rPr>
        <w:t xml:space="preserve">Soluble aluminum </w:t>
      </w:r>
      <w:r w:rsidR="00C925E2">
        <w:rPr>
          <w:lang w:val="en-CA"/>
        </w:rPr>
        <w:t xml:space="preserve">and both iron measurements had no significant responses to </w:t>
      </w:r>
      <w:r w:rsidRPr="009867C1">
        <w:rPr>
          <w:lang w:val="en-CA"/>
        </w:rPr>
        <w:t xml:space="preserve">changes in salmon </w:t>
      </w:r>
      <w:r w:rsidR="00C925E2">
        <w:rPr>
          <w:lang w:val="en-CA"/>
        </w:rPr>
        <w:t xml:space="preserve">inputs </w:t>
      </w:r>
      <w:r w:rsidRPr="009867C1">
        <w:rPr>
          <w:lang w:val="en-CA"/>
        </w:rPr>
        <w:t>(</w:t>
      </w:r>
      <w:r w:rsidRPr="009867C1">
        <w:rPr>
          <w:lang w:val="en-CA"/>
        </w:rPr>
        <w:fldChar w:fldCharType="begin"/>
      </w:r>
      <w:r w:rsidRPr="009867C1">
        <w:rPr>
          <w:lang w:val="en-CA"/>
        </w:rPr>
        <w:instrText xml:space="preserve"> REF _Ref37603054 \h </w:instrText>
      </w:r>
      <w:r w:rsidR="009867C1">
        <w:rPr>
          <w:lang w:val="en-CA"/>
        </w:rPr>
        <w:instrText xml:space="preserve"> \* MERGEFORMAT </w:instrText>
      </w:r>
      <w:r w:rsidRPr="009867C1">
        <w:rPr>
          <w:lang w:val="en-CA"/>
        </w:rPr>
      </w:r>
      <w:r w:rsidRPr="009867C1">
        <w:rPr>
          <w:lang w:val="en-CA"/>
        </w:rPr>
        <w:fldChar w:fldCharType="separate"/>
      </w:r>
      <w:r w:rsidR="000667DB" w:rsidRPr="009867C1">
        <w:t xml:space="preserve">Figure </w:t>
      </w:r>
      <w:r w:rsidR="000667DB">
        <w:rPr>
          <w:noProof/>
        </w:rPr>
        <w:t>2</w:t>
      </w:r>
      <w:r w:rsidR="000667DB">
        <w:rPr>
          <w:noProof/>
        </w:rPr>
        <w:noBreakHyphen/>
        <w:t>5</w:t>
      </w:r>
      <w:r w:rsidRPr="009867C1">
        <w:rPr>
          <w:lang w:val="en-CA"/>
        </w:rPr>
        <w:fldChar w:fldCharType="end"/>
      </w:r>
      <w:r w:rsidRPr="009867C1">
        <w:rPr>
          <w:lang w:val="en-CA"/>
        </w:rPr>
        <w:t>)</w:t>
      </w:r>
      <w:r w:rsidR="00C925E2">
        <w:rPr>
          <w:lang w:val="en-CA"/>
        </w:rPr>
        <w:t>, but all tended to be lower below falls</w:t>
      </w:r>
      <w:r w:rsidRPr="009867C1">
        <w:rPr>
          <w:lang w:val="en-CA"/>
        </w:rPr>
        <w:t>.</w:t>
      </w:r>
      <w:r w:rsidR="00C925E2">
        <w:rPr>
          <w:lang w:val="en-CA"/>
        </w:rPr>
        <w:t xml:space="preserve"> This rejects the idea that high nitrogen loads would lead to higher levels of aluminum toxicity, and supports the idea that salmon inputs improve fertility at these sites. </w:t>
      </w:r>
    </w:p>
    <w:p w14:paraId="46B6A4A6" w14:textId="74FDC146" w:rsidR="00223F7A" w:rsidRPr="009867C1" w:rsidRDefault="00223F7A" w:rsidP="00223F7A">
      <w:pPr>
        <w:ind w:firstLine="720"/>
        <w:rPr>
          <w:lang w:val="en-CA"/>
        </w:rPr>
      </w:pPr>
      <w:r w:rsidRPr="009867C1">
        <w:rPr>
          <w:lang w:val="en-CA"/>
        </w:rPr>
        <w:t xml:space="preserve">Zinc, </w:t>
      </w:r>
      <w:r w:rsidR="00A155F3">
        <w:rPr>
          <w:lang w:val="en-CA"/>
        </w:rPr>
        <w:t>m</w:t>
      </w:r>
      <w:r w:rsidRPr="009867C1">
        <w:rPr>
          <w:lang w:val="en-CA"/>
        </w:rPr>
        <w:t>anganese</w:t>
      </w:r>
      <w:r w:rsidR="00A155F3">
        <w:rPr>
          <w:lang w:val="en-CA"/>
        </w:rPr>
        <w:t>, and boron</w:t>
      </w:r>
      <w:r w:rsidRPr="009867C1">
        <w:rPr>
          <w:lang w:val="en-CA"/>
        </w:rPr>
        <w:t xml:space="preserve"> also </w:t>
      </w:r>
      <w:r w:rsidR="00A155F3">
        <w:rPr>
          <w:lang w:val="en-CA"/>
        </w:rPr>
        <w:t xml:space="preserve">showed no responses to salmon inputs, but </w:t>
      </w:r>
      <w:r w:rsidRPr="009867C1">
        <w:rPr>
          <w:lang w:val="en-CA"/>
        </w:rPr>
        <w:t xml:space="preserve">copper showed significant increases with salmon inputs in organic soils. </w:t>
      </w:r>
      <w:r w:rsidR="00A155F3">
        <w:rPr>
          <w:lang w:val="en-CA"/>
        </w:rPr>
        <w:t>Given the lack of predictions regarding copper, the lack of difference between waterfall sites, and the large number of comparisons in this study, I int</w:t>
      </w:r>
      <w:r w:rsidRPr="009867C1">
        <w:rPr>
          <w:lang w:val="en-CA"/>
        </w:rPr>
        <w:t>erpret th</w:t>
      </w:r>
      <w:r w:rsidR="00A155F3">
        <w:rPr>
          <w:lang w:val="en-CA"/>
        </w:rPr>
        <w:t xml:space="preserve">is finding </w:t>
      </w:r>
      <w:r w:rsidR="0083555D">
        <w:rPr>
          <w:lang w:val="en-CA"/>
        </w:rPr>
        <w:t xml:space="preserve">with suspicion </w:t>
      </w:r>
      <w:r w:rsidR="00A155F3">
        <w:rPr>
          <w:lang w:val="en-CA"/>
        </w:rPr>
        <w:t>and</w:t>
      </w:r>
      <w:r w:rsidR="0083555D">
        <w:rPr>
          <w:lang w:val="en-CA"/>
        </w:rPr>
        <w:t xml:space="preserve"> believe that there are </w:t>
      </w:r>
      <w:r w:rsidRPr="009867C1">
        <w:rPr>
          <w:lang w:val="en-CA"/>
        </w:rPr>
        <w:t xml:space="preserve">limited impacts of salmon inputs on </w:t>
      </w:r>
      <w:r w:rsidR="0083555D">
        <w:rPr>
          <w:lang w:val="en-CA"/>
        </w:rPr>
        <w:t xml:space="preserve">the </w:t>
      </w:r>
      <w:r w:rsidRPr="009867C1">
        <w:rPr>
          <w:lang w:val="en-CA"/>
        </w:rPr>
        <w:t>metal concentrations at these sites</w:t>
      </w:r>
      <w:r w:rsidR="00A155F3">
        <w:rPr>
          <w:lang w:val="en-CA"/>
        </w:rPr>
        <w:t>.</w:t>
      </w:r>
      <w:r w:rsidRPr="009867C1">
        <w:rPr>
          <w:lang w:val="en-CA"/>
        </w:rPr>
        <w:t xml:space="preserve"> </w:t>
      </w:r>
    </w:p>
    <w:p w14:paraId="67D754BC" w14:textId="72FD69C8" w:rsidR="00223F7A" w:rsidRPr="009867C1" w:rsidRDefault="00A523E0" w:rsidP="00223F7A">
      <w:pPr>
        <w:ind w:firstLine="720"/>
        <w:rPr>
          <w:lang w:val="en-CA"/>
        </w:rPr>
      </w:pPr>
      <w:r>
        <w:rPr>
          <w:lang w:val="en-CA"/>
        </w:rPr>
        <w:t>C</w:t>
      </w:r>
      <w:r w:rsidR="00223F7A" w:rsidRPr="009867C1">
        <w:rPr>
          <w:lang w:val="en-CA"/>
        </w:rPr>
        <w:t xml:space="preserve">ontrary to expectations, </w:t>
      </w:r>
      <w:r>
        <w:rPr>
          <w:lang w:val="en-CA"/>
        </w:rPr>
        <w:t>I</w:t>
      </w:r>
      <w:r w:rsidR="00223F7A" w:rsidRPr="009867C1">
        <w:rPr>
          <w:lang w:val="en-CA"/>
        </w:rPr>
        <w:t xml:space="preserve"> found </w:t>
      </w:r>
      <w:r>
        <w:rPr>
          <w:lang w:val="en-CA"/>
        </w:rPr>
        <w:t>no</w:t>
      </w:r>
      <w:r w:rsidR="00223F7A" w:rsidRPr="009867C1">
        <w:rPr>
          <w:lang w:val="en-CA"/>
        </w:rPr>
        <w:t xml:space="preserve"> evidence for changes in ergosterol, </w:t>
      </w:r>
      <w:r>
        <w:rPr>
          <w:lang w:val="en-CA"/>
        </w:rPr>
        <w:t>a</w:t>
      </w:r>
      <w:r w:rsidR="00223F7A" w:rsidRPr="009867C1">
        <w:rPr>
          <w:lang w:val="en-CA"/>
        </w:rPr>
        <w:t xml:space="preserve"> proxy for fungal biomass, over the salmon density gradient or between above and below waterfall sites. Ergosterol is a membrane lipid found exclusively in fungal cells, and is the most common sterol in many fungal lineages </w:t>
      </w:r>
      <w:r w:rsidR="00223F7A" w:rsidRPr="009867C1">
        <w:rPr>
          <w:lang w:val="en-CA"/>
        </w:rPr>
        <w:fldChar w:fldCharType="begin"/>
      </w:r>
      <w:r w:rsidR="00AC0205">
        <w:rPr>
          <w:lang w:val="en-CA"/>
        </w:rPr>
        <w:instrText xml:space="preserve"> ADDIN ZOTERO_ITEM CSL_CITATION {"citationID":"C4lZsOyb","properties":{"formattedCitation":"(Wallander et al., 2013)","plainCitation":"(Wallander et al., 2013)","noteIndex":0},"citationItems":[{"id":511,"uris":["http://zotero.org/users/2189142/items/JXFVG2B4"],"itemData":{"id":511,"type":"article-journal","abstract":"Mycorrhizal fungi constitute a considerable sink for carbon in most ecosystems. This carbon is used for building extensive mycelial networks in the soil as well as for metabolic activity related to nutrient uptake. A number of methods have been developed recently to quantify production, standing biomass and turnover of extramatrical mycorrhizal mycelia (EMM) in the field. These methods include minirhizotrons, in-growth mesh bags and cores, and indirect measurements of EMM based on classification of ectomycorrhizal fungi into exploration types. Here we review the state of the art of this methodology and discuss how it can be developed and applied most effectively in the field. Furthermore, we also discuss different ways to quantify fungal biomass based on biomarkers such as chitin, ergosterol and PLFAs, as well as molecular methods, such as qPCR. The evidence thus far indicates that mycorrhizal fungi are key components of microbial biomass in many ecosystems. We highlight the need to extend the application of current methods to focus on a greater range of habitats and mycorrhizal types enabling incorporation of mycorrhizal fungal biomass and turnover into biogeochemical cycling models.","container-title":"Soil Biology and Biochemistry","DOI":"10.1016/j.soilbio.2012.08.027","ISSN":"0038-0717","journalAbbreviation":"Soil Biology and Biochemistry","page":"1034-1047","source":"ScienceDirect","title":"Evaluation of methods to estimate production, biomass and turnover of ectomycorrhizal mycelium in forests soils – A review","volume":"57","author":[{"family":"Wallander","given":"H."},{"family":"Ekblad","given":"A."},{"family":"Godbold","given":"D. L."},{"family":"Johnson","given":"D."},{"family":"Bahr","given":"A."},{"family":"Baldrian","given":"P."},{"family":"Björk","given":"R. G."},{"family":"Kieliszewska-Rokicka","given":"B."},{"family":"Kjøller","given":"R."},{"family":"Kraigher","given":"H."},{"family":"Plassard","given":"C."},{"family":"Rudawska","given":"M."}],"issued":{"date-parts":[["2013",2]]},"citation-key":"wallander_2013"}}],"schema":"https://github.com/citation-style-language/schema/raw/master/csl-citation.json"} </w:instrText>
      </w:r>
      <w:r w:rsidR="00223F7A" w:rsidRPr="009867C1">
        <w:rPr>
          <w:lang w:val="en-CA"/>
        </w:rPr>
        <w:fldChar w:fldCharType="separate"/>
      </w:r>
      <w:r w:rsidR="0042141C" w:rsidRPr="009867C1">
        <w:t>(Wallander et al., 2013)</w:t>
      </w:r>
      <w:r w:rsidR="00223F7A" w:rsidRPr="009867C1">
        <w:rPr>
          <w:lang w:val="en-CA"/>
        </w:rPr>
        <w:fldChar w:fldCharType="end"/>
      </w:r>
      <w:r w:rsidR="00223F7A" w:rsidRPr="009867C1">
        <w:rPr>
          <w:lang w:val="en-CA"/>
        </w:rPr>
        <w:t xml:space="preserve">. It has been commonly used for quantification of ectomycorrhizal biomass, but may be of questionable use in quantifying ericoid fungi </w:t>
      </w:r>
      <w:r w:rsidR="00223F7A" w:rsidRPr="009867C1">
        <w:rPr>
          <w:lang w:val="en-CA"/>
        </w:rPr>
        <w:fldChar w:fldCharType="begin"/>
      </w:r>
      <w:r w:rsidR="00AC0205">
        <w:rPr>
          <w:lang w:val="en-CA"/>
        </w:rPr>
        <w:instrText xml:space="preserve"> ADDIN ZOTERO_ITEM CSL_CITATION {"citationID":"3FPZE6TJ","properties":{"formattedCitation":"(Olsrud et al., 2007)","plainCitation":"(Olsrud et al., 2007)","noteIndex":0},"citationItems":[{"id":2589,"uris":["http://zotero.org/users/2189142/items/YADNFLUI"],"itemData":{"id":2589,"type":"article-journal","abstract":"The relationship between ergosterol content in ericaceous hair roots and ericoid mycorrhizal (ErM) colonization versus dark septate endophytic (DSE) hyphal colonization was examined in a dwarf shrub-dominated subarctic mire in Northern Sweden. Ergosterol content in hair roots did not correlate with ErM colonization in corresponding root samples. However, a significant positive relationship was found between hair root DSE hyphal colonization and ergosterol content. This is the first study to demonstrate that ergosterol cannot be used as a colonization indicator for ErM in hair roots growing under natural conditions. It also suggests the possibility of using ergosterol as an estimate of DSE hyphal colonization in ericaceous dwarf shrubs. This study has implications for the interpretation of results in field studies where ergosterol was used as a sole proxy for ErM colonization.","container-title":"Soil Biology and Biochemistry","DOI":"10.1016/j.soilbio.2006.11.018","ISSN":"0038-0717","issue":"5","journalAbbreviation":"Soil Biology and Biochemistry","language":"en","page":"1218-1221","source":"ScienceDirect","title":"Ergosterol content in ericaceous hair roots correlates with dark septate endophytes but not with ericoid mycorrhizal colonization","volume":"39","author":[{"family":"Olsrud","given":"Maria"},{"family":"Michelsen","given":"Anders"},{"family":"Wallander","given":"Håkan"}],"issued":{"date-parts":[["2007",5,1]]},"citation-key":"olsrud_2007"}}],"schema":"https://github.com/citation-style-language/schema/raw/master/csl-citation.json"} </w:instrText>
      </w:r>
      <w:r w:rsidR="00223F7A" w:rsidRPr="009867C1">
        <w:rPr>
          <w:lang w:val="en-CA"/>
        </w:rPr>
        <w:fldChar w:fldCharType="separate"/>
      </w:r>
      <w:r w:rsidR="0042141C" w:rsidRPr="009867C1">
        <w:t>(Olsrud et al., 2007)</w:t>
      </w:r>
      <w:r w:rsidR="00223F7A" w:rsidRPr="009867C1">
        <w:rPr>
          <w:lang w:val="en-CA"/>
        </w:rPr>
        <w:fldChar w:fldCharType="end"/>
      </w:r>
      <w:r w:rsidR="00223F7A" w:rsidRPr="009867C1">
        <w:rPr>
          <w:lang w:val="en-CA"/>
        </w:rPr>
        <w:t>, which are one of the dominant fungal guilds at these sites (</w:t>
      </w:r>
      <w:r w:rsidR="0060282B" w:rsidRPr="0060282B">
        <w:rPr>
          <w:lang w:val="en-CA"/>
        </w:rPr>
        <w:t>C</w:t>
      </w:r>
      <w:r w:rsidR="00223F7A" w:rsidRPr="0060282B">
        <w:rPr>
          <w:lang w:val="en-CA"/>
        </w:rPr>
        <w:t>hapter 4</w:t>
      </w:r>
      <w:r w:rsidR="00223F7A" w:rsidRPr="009867C1">
        <w:rPr>
          <w:lang w:val="en-CA"/>
        </w:rPr>
        <w:t xml:space="preserve">). Given these data, </w:t>
      </w:r>
      <w:r>
        <w:rPr>
          <w:lang w:val="en-CA"/>
        </w:rPr>
        <w:t>I</w:t>
      </w:r>
      <w:r w:rsidR="00223F7A" w:rsidRPr="009867C1">
        <w:rPr>
          <w:lang w:val="en-CA"/>
        </w:rPr>
        <w:t xml:space="preserve"> interpret this as not supporting</w:t>
      </w:r>
      <w:r>
        <w:rPr>
          <w:lang w:val="en-CA"/>
        </w:rPr>
        <w:t xml:space="preserve"> the</w:t>
      </w:r>
      <w:r w:rsidR="00223F7A" w:rsidRPr="009867C1">
        <w:rPr>
          <w:lang w:val="en-CA"/>
        </w:rPr>
        <w:t xml:space="preserve"> prediction that soils would shift to a more bacterial-dominated state at higher salmon inputs, and </w:t>
      </w:r>
      <w:r>
        <w:rPr>
          <w:lang w:val="en-CA"/>
        </w:rPr>
        <w:t>conclude</w:t>
      </w:r>
      <w:r w:rsidR="00223F7A" w:rsidRPr="009867C1">
        <w:rPr>
          <w:lang w:val="en-CA"/>
        </w:rPr>
        <w:t xml:space="preserve"> instead </w:t>
      </w:r>
      <w:r>
        <w:rPr>
          <w:lang w:val="en-CA"/>
        </w:rPr>
        <w:t xml:space="preserve">that </w:t>
      </w:r>
      <w:r w:rsidR="00223F7A" w:rsidRPr="009867C1">
        <w:rPr>
          <w:lang w:val="en-CA"/>
        </w:rPr>
        <w:t xml:space="preserve">fungal biomass remains relatively unchanged by salmon deposition.  </w:t>
      </w:r>
    </w:p>
    <w:p w14:paraId="4ADAA7BB" w14:textId="6EED6B1C" w:rsidR="00223F7A" w:rsidRPr="009867C1" w:rsidRDefault="00223F7A" w:rsidP="00223F7A">
      <w:pPr>
        <w:ind w:firstLine="720"/>
      </w:pPr>
      <w:r w:rsidRPr="009867C1">
        <w:rPr>
          <w:lang w:val="en-CA"/>
        </w:rPr>
        <w:t xml:space="preserve">Recent years have seen a </w:t>
      </w:r>
      <w:r w:rsidRPr="009867C1">
        <w:rPr>
          <w:lang w:val="en-CA" w:eastAsia="ja-JP"/>
        </w:rPr>
        <w:t xml:space="preserve">revision in </w:t>
      </w:r>
      <w:r w:rsidR="006A6101">
        <w:rPr>
          <w:lang w:val="en-CA" w:eastAsia="ja-JP"/>
        </w:rPr>
        <w:t>the</w:t>
      </w:r>
      <w:r w:rsidRPr="009867C1">
        <w:rPr>
          <w:lang w:val="en-CA" w:eastAsia="ja-JP"/>
        </w:rPr>
        <w:t xml:space="preserve"> understanding of CEC, metal, and nitrogen dynamics in acidic soils </w:t>
      </w:r>
      <w:r w:rsidRPr="009867C1">
        <w:rPr>
          <w:lang w:val="en-CA" w:eastAsia="ja-JP"/>
        </w:rPr>
        <w:fldChar w:fldCharType="begin"/>
      </w:r>
      <w:r w:rsidR="00AC0205">
        <w:rPr>
          <w:lang w:val="en-CA" w:eastAsia="ja-JP"/>
        </w:rPr>
        <w:instrText xml:space="preserve"> ADDIN ZOTERO_ITEM CSL_CITATION {"citationID":"BoM0cpSq","properties":{"formattedCitation":"(Ross et al., 2008; X. Q. Zhao et al., 2014; X. Q. Zhao &amp; Shen, 2018)","plainCitation":"(Ross et al., 2008; X. Q. Zhao et al., 2014; X. Q. Zhao &amp; Shen, 2018)","noteIndex":0},"citationItems":[{"id":1564,"uris":["http://zotero.org/users/2189142/items/SBZ9IB5C"],"itemData":{"id":1564,"type":"article-journal","abstract":"The long-term sustainability of forest soils may be affected by the retention of exchangeable nutrient cations such as Ca2+ and the availability of potentially toxic cations such as Al3+. Many of our current concepts of cation exchange and base cation saturation are largely unchanged since the beginnings of soil chemistry over a century ago. Many of the same methods are still in use even though they were developed in a period when exchangeable aluminium (Al) and variable charge were not generally recognized. These concepts and methods are not easily applicable to acid, highly organic forest soils. The source of charge in these soils is primarily derived from organic matter (OM) but the retention of cations, especially Al species, cannot be described by simple exchange phenomena. In this review, we trace the development of modern cation exchange definitions and procedures, and focus on how these are challenged by recent research on the behaviour of acid forest soils. Although the effective cation exchange capacity (CECe) in an individual forest soil sample can be easily shown to vary with the addition of strong base or acid, it is difficult to find a pH effect in a population of different acid forest soil samples. In the very acidic pH range below ca 4.5, soils will generally have smaller concentrations of adsorbed Al3+. This can be ascribed to a reduced availability of weatherable Al-containing minerals and a large amount of weak, organic acidity. Base cation saturation calculations in this pH range do not provide a useful metric and, in fact, pH is modelled better if Al3+ is considered to be a base cation. Measurement of exchangeable Al3+ with a neutral salt represents an ill-defined but repeatable portion of organically complexed Al, affected by the pH of the extractant. Cation exchange in these soils can be modelled if assumptions are made as to the proportion of individual cations that are non-specifically bound by soil OM. Future research should recognize these challenges and focus on redefining our concepts of cation retention in these important soils.","container-title":"European Journal of Soil Science","DOI":"10.1111/j.1365-2389.2008.01069.x","ISSN":"1365-2389","issue":"6","language":"en","note":"_eprint: https://onlinelibrary.wiley.com/doi/pdf/10.1111/j.1365-2389.2008.01069.x","page":"1141-1159","source":"Wiley Online Library","title":"Cation exchange in forest soils: the need for a new perspective","title-short":"Cation exchange in forest soils","volume":"59","author":[{"family":"Ross","given":"D. S."},{"family":"Matschonat","given":"G."},{"family":"Skyllberg","given":"U."}],"issued":{"date-parts":[["2008"]]},"citation-key":"ross_2008"}},{"id":2643,"uris":["http://zotero.org/users/2189142/items/YLHJ4HFT"],"itemData":{"id":2643,"type":"article-journal","abstract":"Aluminum (Al) is the most abundant metal in the Earth’s crust and is not an essential element for plant growth. In contrast, nitrogen (N) is the most important mineral element for plant growth, but this non-metal is often present at low levels in soils, and plants are often N deficient. Aluminum toxicity is dominant in acid soils, and so plants growing in acid soils have to overcome both Al toxicity and N limitation. Because of low N-use efficiency, large amounts of N fertilizers are applied to crop fields to achieve high yields, leading to soil acidification and potential Al toxicity. Aluminum lowers plant N uptake and N-use efficiency because Al inhibits root growth. Although numerous studies have investigated the interactions between Al and N, a complete review of these studies was lacking. This review describes: 1) the link between plant Al tolerance and ammonium/nitrate (NH4+/NO3-) preference; 2) the effects of NH4+/NO3- and pH on Al toxicity; 3) the effects of Al on soil N transformations; and 4) the effects of Al on NH4+/NO3- uptake and assimilation by plants. Acid soils are characterized chemically by a relatively high ratio of NH4+ to NO3- and high concentrations of toxic Al. Aluminum-tolerant plants generally prefer NH4+ as an N source, while Al-sensitive plants prefer NO3-. Compared with NO3-, NH4+ increases the solubilization of toxic Al into soil solutions, but NH4+ generally alleviates Al phytotoxicity under solution culture because the protons from NH4+ compete with Al3+ for adsorption sites on the root surface. Plant NO3- uptake and nitrate reductase activity are both inhibited by Al, while plant NH4+ uptake is inhibited to a smaller degree than NO3-. Together, the results of numerous studies indicate that there is a synergistic interaction between plant Al tolerance and NH4+ nutrition. This has important implications for the adaptation of plants to acid soils that are dominated chemically by toxic Al as well as NH4+. Finally, we discuss how this knowledge can be used to increase plant Al tolerance and N-use efficiency in acid soils.","container-title":"Frontiers in Plant Science","DOI":"10.3389/fpls.2018.00807","ISSN":"1664-462X","journalAbbreviation":"Front. Plant Sci.","language":"English","note":"publisher: Frontiers","source":"Frontiers","title":"Aluminum–Nitrogen Interactions in the Soil–Plant System","URL":"https://www.frontiersin.org/articles/10.3389/fpls.2018.00807/full","volume":"9","author":[{"family":"Zhao","given":"Xue Qiang"},{"family":"Shen","given":"Ren F."}],"accessed":{"date-parts":[["2020",3,26]]},"issued":{"date-parts":[["2018"]]},"citation-key":"zhao_2018"}},{"id":2020,"uris":["http://zotero.org/users/2189142/items/V28CWQU7"],"itemData":{"id":2020,"type":"article-journal","abstract":"Soil acidification is an increasing problem in agricultural production and ecological stability worldwide. An understanding of the mechanisms by which plants adapt to acidic soils would help address this problem. Poor plant growth in acidic soils results from a variety of factors, including proton toxicity; deficiencies in nitrogen, phosphorus, calcium, magnesium; and toxicities of various metals (aluminum (Al), manganese, iron). Aluminum toxicity is generally the primary limitation for plant growth in acidic soils. Although much research has focused on Al toxicity in recent decades, it is rarely the only limiting factor in acidic soils. The occurrence of Al toxicity depends on many other factors that coexist with Al in acidic soils. The interactions between Al and such factors are important determinants of Al toxicity to plants under field conditions. In this review, therefore, instead of focusing only on mechanisms of Al tolerance, we examine the effects of the interactions between Al and other limiting factors on plant adaptation to acidic soils. We summarize research on the interactions between Al and nitrogen, phosphorus, pH, and iron. Accordingly, three strategies are proposed to improve plant growth in acidic soils: a combined application of lime and nutrients, depending on the types of soils and plants; development of plant varieties tolerant to multiple stresses; and inoculation of plants with certain beneficial microbes. This review emphasizes the ability of plants to coadapt to multiple stresses in acidic soils.","container-title":"Soil Science","DOI":"10.1097/SS.0000000000000086","ISSN":"0038-075X","issue":"10-11","language":"en-US","page":"503–513","source":"journals-lww-com.ezproxy.library.ubc.ca","title":"Coadaptation of Plants to Multiple Stresses in Acidic Soils","volume":"179","author":[{"family":"Zhao","given":"Xue Qiang"},{"family":"Chen","given":"Rong Fu"},{"family":"Shen","given":"Ren Fang"}],"issued":{"date-parts":[["2014",11]]},"citation-key":"zhao_2014"}}],"schema":"https://github.com/citation-style-language/schema/raw/master/csl-citation.json"} </w:instrText>
      </w:r>
      <w:r w:rsidRPr="009867C1">
        <w:rPr>
          <w:lang w:val="en-CA" w:eastAsia="ja-JP"/>
        </w:rPr>
        <w:fldChar w:fldCharType="separate"/>
      </w:r>
      <w:r w:rsidR="0042141C" w:rsidRPr="009867C1">
        <w:t>(Ross et al., 2008; X. Q. Zhao et al., 2014; X. Q. Zhao &amp; Shen, 2018)</w:t>
      </w:r>
      <w:r w:rsidRPr="009867C1">
        <w:rPr>
          <w:lang w:val="en-CA" w:eastAsia="ja-JP"/>
        </w:rPr>
        <w:fldChar w:fldCharType="end"/>
      </w:r>
      <w:r w:rsidRPr="009867C1">
        <w:rPr>
          <w:lang w:val="en-CA" w:eastAsia="ja-JP"/>
        </w:rPr>
        <w:t xml:space="preserve">. The emerging model of acidic soil chemistry is one </w:t>
      </w:r>
      <w:r w:rsidRPr="009867C1">
        <w:t xml:space="preserve">dominated by organic acids and humic materials </w:t>
      </w:r>
      <w:r w:rsidRPr="009867C1">
        <w:fldChar w:fldCharType="begin"/>
      </w:r>
      <w:r w:rsidR="00AC0205">
        <w:instrText xml:space="preserve"> ADDIN ZOTERO_ITEM CSL_CITATION {"citationID":"FcJGEXrY","properties":{"formattedCitation":"(Jiang et al., 2018)","plainCitation":"(Jiang et al., 2018)","noteIndex":0},"citationItems":[{"id":1983,"uris":["http://zotero.org/users/2189142/items/V96663ZM"],"itemData":{"id":1983,"type":"article-journal","abstract":"Elevated anthropogenic acid deposition has accelerated forest soil acidification in southern China. However, the observed responses to increased acid inputs are quite variable among different forest soils, and the reasons remain unclear. To study the causes for the different responses, soil columns taken from a young pine forest (PF) and an old evergreen broadleaved forest (BF) were applied three levels of acid addition treatments for 60 days. We found that the PF soils were quite acid-sensitive, and the high acid treatment significantly decreased soil pH at 0–20 cm soil layer while significantly increased exchangeable H+ at both 0–20 and 20–40 cm soil layers. Both the low and high acid treatments significantly increased exchangeable Na+ at 0–20 cm soil layer and Ca2+ and Mg2+ at 20–40 cm soil layer. Furthermore, the high acid treatment also significantly increased leaching losses of H+, Ca2+, Mg2+ and Al3+. In contrast, the BF soils were able to buffer both the low and high acid treatments without significantly decreasing soil pH and increasing major exchangeable cations including Al3+ and their leaching losses. The significant differences in soil organic matter content were found to be responsible for these different responses, as a result of significantly positive correlation between cation exchange capacity (CEC) and organic carbon in both forest soils. The BF soils had higher organic matter than the PF soils, therefore a greater CEC for consuming H+ and a stronger capacity for binding cations. Our results explained why the PF soil pH decreased from 4.3 to 3.8, while the BF soil pH did not change significantly over the last 16 years, and highlighted the important roles of soil organic matter in acid buffering and retaining of major cations, especially for Al3+ in the very acidic forest soils in southern China.","container-title":"Chemical Geology","DOI":"10.1016/j.chemgeo.2018.10.009","ISSN":"0009-2541","journalAbbreviation":"Chemical Geology","language":"en","page":"86-94","source":"ScienceDirect","title":"Soil organic matter is important for acid buffering and reducing aluminum leaching from acidic forest soils","volume":"501","author":[{"family":"Jiang","given":"Jun"},{"family":"Wang","given":"Ying-Ping"},{"family":"Yu","given":"Mengxiao"},{"family":"Cao","given":"Nannan"},{"family":"Yan","given":"Junhua"}],"issued":{"date-parts":[["2018",11,30]]},"citation-key":"jiang_2018"}}],"schema":"https://github.com/citation-style-language/schema/raw/master/csl-citation.json"} </w:instrText>
      </w:r>
      <w:r w:rsidRPr="009867C1">
        <w:fldChar w:fldCharType="separate"/>
      </w:r>
      <w:r w:rsidR="0042141C" w:rsidRPr="009867C1">
        <w:t>(Jiang et al., 2018)</w:t>
      </w:r>
      <w:r w:rsidRPr="009867C1">
        <w:fldChar w:fldCharType="end"/>
      </w:r>
      <w:r w:rsidRPr="009867C1">
        <w:t xml:space="preserve">, and which is thus intimately tied to fungal and root exudates, plant litter, and microbial interactions </w:t>
      </w:r>
      <w:r w:rsidRPr="009867C1">
        <w:fldChar w:fldCharType="begin"/>
      </w:r>
      <w:r w:rsidR="00AC0205">
        <w:instrText xml:space="preserve"> ADDIN ZOTERO_ITEM CSL_CITATION {"citationID":"2kxHZbYu","properties":{"formattedCitation":"(Ross et al., 2008)","plainCitation":"(Ross et al., 2008)","noteIndex":0},"citationItems":[{"id":1564,"uris":["http://zotero.org/users/2189142/items/SBZ9IB5C"],"itemData":{"id":1564,"type":"article-journal","abstract":"The long-term sustainability of forest soils may be affected by the retention of exchangeable nutrient cations such as Ca2+ and the availability of potentially toxic cations such as Al3+. Many of our current concepts of cation exchange and base cation saturation are largely unchanged since the beginnings of soil chemistry over a century ago. Many of the same methods are still in use even though they were developed in a period when exchangeable aluminium (Al) and variable charge were not generally recognized. These concepts and methods are not easily applicable to acid, highly organic forest soils. The source of charge in these soils is primarily derived from organic matter (OM) but the retention of cations, especially Al species, cannot be described by simple exchange phenomena. In this review, we trace the development of modern cation exchange definitions and procedures, and focus on how these are challenged by recent research on the behaviour of acid forest soils. Although the effective cation exchange capacity (CECe) in an individual forest soil sample can be easily shown to vary with the addition of strong base or acid, it is difficult to find a pH effect in a population of different acid forest soil samples. In the very acidic pH range below ca 4.5, soils will generally have smaller concentrations of adsorbed Al3+. This can be ascribed to a reduced availability of weatherable Al-containing minerals and a large amount of weak, organic acidity. Base cation saturation calculations in this pH range do not provide a useful metric and, in fact, pH is modelled better if Al3+ is considered to be a base cation. Measurement of exchangeable Al3+ with a neutral salt represents an ill-defined but repeatable portion of organically complexed Al, affected by the pH of the extractant. Cation exchange in these soils can be modelled if assumptions are made as to the proportion of individual cations that are non-specifically bound by soil OM. Future research should recognize these challenges and focus on redefining our concepts of cation retention in these important soils.","container-title":"European Journal of Soil Science","DOI":"10.1111/j.1365-2389.2008.01069.x","ISSN":"1365-2389","issue":"6","language":"en","note":"_eprint: https://onlinelibrary.wiley.com/doi/pdf/10.1111/j.1365-2389.2008.01069.x","page":"1141-1159","source":"Wiley Online Library","title":"Cation exchange in forest soils: the need for a new perspective","title-short":"Cation exchange in forest soils","volume":"59","author":[{"family":"Ross","given":"D. S."},{"family":"Matschonat","given":"G."},{"family":"Skyllberg","given":"U."}],"issued":{"date-parts":[["2008"]]},"citation-key":"ross_2008"}}],"schema":"https://github.com/citation-style-language/schema/raw/master/csl-citation.json"} </w:instrText>
      </w:r>
      <w:r w:rsidRPr="009867C1">
        <w:fldChar w:fldCharType="separate"/>
      </w:r>
      <w:r w:rsidR="0042141C" w:rsidRPr="009867C1">
        <w:t>(Ross et al., 2008)</w:t>
      </w:r>
      <w:r w:rsidRPr="009867C1">
        <w:fldChar w:fldCharType="end"/>
      </w:r>
      <w:r w:rsidRPr="009867C1">
        <w:t xml:space="preserve">. Given the </w:t>
      </w:r>
      <w:r w:rsidR="00153F06">
        <w:t xml:space="preserve">light </w:t>
      </w:r>
      <w:r w:rsidRPr="009867C1">
        <w:t xml:space="preserve">soil colour, its lignic origin </w:t>
      </w:r>
      <w:r w:rsidRPr="009867C1">
        <w:fldChar w:fldCharType="begin"/>
      </w:r>
      <w:r w:rsidR="00AC0205">
        <w:instrText xml:space="preserve"> ADDIN ZOTERO_ITEM CSL_CITATION {"citationID":"vZ6x7d1Y","properties":{"formattedCitation":"(Ogner &amp; Schnitzer, 1971)","plainCitation":"(Ogner &amp; Schnitzer, 1971)","noteIndex":0},"citationItems":[{"id":1692,"uris":["http://zotero.org/users/2189142/items/U2SN72MK"],"itemData":{"id":1692,"type":"article-journal","container-title":"Canadian Journal of Chemistry","DOI":"10.1139/v71-175","ISSN":"0008-4042, 1480-3291","issue":"7","journalAbbreviation":"Can. J. Chem.","language":"en","page":"1053-1063","source":"DOI.org (Crossref)","title":"Chemistry of Fulvic Acid, a Soil Humic Fraction, and its Relation to Lignin","volume":"49","author":[{"family":"Ogner","given":"G."},{"family":"Schnitzer","given":"M."}],"issued":{"date-parts":[["1971",4]]},"citation-key":"ogner_1971"}}],"schema":"https://github.com/citation-style-language/schema/raw/master/csl-citation.json"} </w:instrText>
      </w:r>
      <w:r w:rsidRPr="009867C1">
        <w:fldChar w:fldCharType="separate"/>
      </w:r>
      <w:r w:rsidR="0042141C" w:rsidRPr="009867C1">
        <w:t>(Ogner &amp; Schnitzer, 1971)</w:t>
      </w:r>
      <w:r w:rsidRPr="009867C1">
        <w:fldChar w:fldCharType="end"/>
      </w:r>
      <w:r w:rsidRPr="009867C1">
        <w:t xml:space="preserve">, and abundance of </w:t>
      </w:r>
      <w:r w:rsidRPr="009867C1">
        <w:rPr>
          <w:i/>
        </w:rPr>
        <w:t xml:space="preserve">Vaccinium </w:t>
      </w:r>
      <w:r w:rsidRPr="002E2D56">
        <w:rPr>
          <w:iCs/>
        </w:rPr>
        <w:t>sp</w:t>
      </w:r>
      <w:r w:rsidR="002E2D56">
        <w:rPr>
          <w:iCs/>
        </w:rPr>
        <w:t>p</w:t>
      </w:r>
      <w:r w:rsidRPr="002E2D56">
        <w:rPr>
          <w:iCs/>
        </w:rPr>
        <w:t>.</w:t>
      </w:r>
      <w:r w:rsidRPr="009867C1">
        <w:t xml:space="preserve"> </w:t>
      </w:r>
      <w:r w:rsidRPr="009867C1">
        <w:fldChar w:fldCharType="begin"/>
      </w:r>
      <w:r w:rsidR="00AC0205">
        <w:instrText xml:space="preserve"> ADDIN ZOTERO_ITEM CSL_CITATION {"citationID":"iPf7bxGl","properties":{"formattedCitation":"(Ciarkowska &amp; Miech\\uc0\\u243{}wka, 2019)","plainCitation":"(Ciarkowska &amp; Miechówka, 2019)","noteIndex":0},"citationItems":[{"id":2061,"uris":["http://zotero.org/users/2189142/items/RVEZ67AM"],"itemData":{"id":2061,"type":"article-journal","abstract":"Acidic forest soils with two dominant understories, bilberry (Vaccinium myrtillus L.) or alpine lady fern (Athyrium distentifolium Tausch ex Opiz), have been investigated to evaluate the influence of the understory on sorption properties and aluminium behaviour. We investigated acidity, cation exchange properties, organic matter content (SOM) and quality as well as Al bonding to organic matter in humus horizons of soils taken from two different locations. SOM was the major contributor to total cation exchange capacity (CECt) and effective cation exchange capacity (CECe), and a strong relationship was found between SOM and both CECt and CECe, independently of the understory and location. SOM differed in quality, having more fulvic acids in soils under bilberry than in soils under alpine lady fern. For that reason, SOM in soils under bilberry complexed more Al in the exchangeable form in the soluble fulvic acid fraction such that they could be easily washed out, while in soils under alpine lady fern aluminium was mainly bound more stably. We also found that the chemical character of Al depended on the understory type. In soils under bilberry the relation between base saturation and pH could be successfully modelled by a modified Henderson–Hasselbalch equation when Al was considered as a base cation, which is typical for forest podzols. However, in soils under alpine lady fern, this model was efficient only when Al was treated as an acid cation. We concluded that alpine lady fern as the main understory species reduces solubility and potential toxicity of aluminium, thus significantly affecting soil biogeochemistry.","container-title":"Biogeochemistry","DOI":"10.1007/s10533-019-00550-z","ISSN":"1573-515X","issue":"1","journalAbbreviation":"Biogeochemistry","language":"en","page":"55-66","source":"Springer Link","title":"The effect of understory on cation binding reactions and aluminium behaviour in acidic soils under spruce forest stands (Southern Poland)","volume":"143","author":[{"family":"Ciarkowska","given":"Krystyna"},{"family":"Miechówka","given":"Anna"}],"issued":{"date-parts":[["2019",3,1]]},"citation-key":"ciarkowska_2019"}}],"schema":"https://github.com/citation-style-language/schema/raw/master/csl-citation.json"} </w:instrText>
      </w:r>
      <w:r w:rsidRPr="009867C1">
        <w:fldChar w:fldCharType="separate"/>
      </w:r>
      <w:r w:rsidR="0042141C" w:rsidRPr="009867C1">
        <w:t>(Ciarkowska &amp; Miechówka, 2019)</w:t>
      </w:r>
      <w:r w:rsidRPr="009867C1">
        <w:fldChar w:fldCharType="end"/>
      </w:r>
      <w:r w:rsidRPr="009867C1">
        <w:t xml:space="preserve"> at our sites, </w:t>
      </w:r>
      <w:r w:rsidR="006A6101">
        <w:t>I</w:t>
      </w:r>
      <w:r w:rsidRPr="009867C1">
        <w:t xml:space="preserve"> hypothesize that the organic acid fraction is dominated by fulvic acids which form strong soluble complexes with Fe</w:t>
      </w:r>
      <w:r w:rsidRPr="009867C1">
        <w:rPr>
          <w:vertAlign w:val="superscript"/>
        </w:rPr>
        <w:t>+</w:t>
      </w:r>
      <w:r w:rsidRPr="009867C1">
        <w:t>, Al</w:t>
      </w:r>
      <w:r w:rsidRPr="009867C1">
        <w:rPr>
          <w:vertAlign w:val="superscript"/>
        </w:rPr>
        <w:t>3+</w:t>
      </w:r>
      <w:r w:rsidRPr="009867C1">
        <w:t xml:space="preserve"> and Cu; this removes them from plant-accessible soil fractions, promotes their leaching from the site, </w:t>
      </w:r>
      <w:r w:rsidR="00153F06">
        <w:t xml:space="preserve">and both </w:t>
      </w:r>
      <w:r w:rsidRPr="009867C1">
        <w:t>reduc</w:t>
      </w:r>
      <w:r w:rsidR="00153F06">
        <w:t>es</w:t>
      </w:r>
      <w:r w:rsidRPr="009867C1">
        <w:t xml:space="preserve"> their toxicity and indirectly increas</w:t>
      </w:r>
      <w:r w:rsidR="00153F06">
        <w:t>es</w:t>
      </w:r>
      <w:r w:rsidRPr="009867C1">
        <w:t xml:space="preserve"> P availability </w:t>
      </w:r>
      <w:r w:rsidRPr="009867C1">
        <w:fldChar w:fldCharType="begin"/>
      </w:r>
      <w:r w:rsidR="00AC0205">
        <w:instrText xml:space="preserve"> ADDIN ZOTERO_ITEM CSL_CITATION {"citationID":"fPJaed7K","properties":{"formattedCitation":"(Yang et al., 2013)","plainCitation":"(Yang et al., 2013)","noteIndex":0},"citationItems":[{"id":1694,"uris":["http://zotero.org/users/2189142/items/CFMAAKEZ"],"itemData":{"id":1694,"type":"article-journal","container-title":"Journal of soil science and plant nutrition","DOI":"10.4067/S0718-95162013005000041","ISSN":"0718-9516","issue":"3","page":"526-533","source":"SciELO","title":"Effect of fulvic acid on the phosphorus availability in acid soil","volume":"13","author":[{"family":"Yang","given":"S."},{"family":"Zhang","given":"Z."},{"family":"Cong","given":"L."},{"family":"Wang","given":"X."},{"family":"Shi","given":"S."}],"issued":{"date-parts":[["2013",9]]},"citation-key":"yang_2013"}}],"schema":"https://github.com/citation-style-language/schema/raw/master/csl-citation.json"} </w:instrText>
      </w:r>
      <w:r w:rsidRPr="009867C1">
        <w:fldChar w:fldCharType="separate"/>
      </w:r>
      <w:r w:rsidR="0042141C" w:rsidRPr="009867C1">
        <w:t>(Yang et al., 2013)</w:t>
      </w:r>
      <w:r w:rsidRPr="009867C1">
        <w:fldChar w:fldCharType="end"/>
      </w:r>
      <w:r w:rsidRPr="009867C1">
        <w:t xml:space="preserve">. </w:t>
      </w:r>
      <w:r w:rsidR="00153F06">
        <w:t>This process may explain the lack of relationship between salmon-mediated nitrogen inputs and soluble aluminum concentrations, as</w:t>
      </w:r>
      <w:r w:rsidRPr="009867C1">
        <w:t xml:space="preserve"> organic acids</w:t>
      </w:r>
      <w:r w:rsidR="00153F06">
        <w:t xml:space="preserve"> </w:t>
      </w:r>
      <w:r w:rsidRPr="009867C1">
        <w:t xml:space="preserve">buffer the system from aluminum toxicity due to nitrogen-driven acidification </w:t>
      </w:r>
      <w:r w:rsidRPr="009867C1">
        <w:fldChar w:fldCharType="begin"/>
      </w:r>
      <w:r w:rsidR="00AC0205">
        <w:instrText xml:space="preserve"> ADDIN ZOTERO_ITEM CSL_CITATION {"citationID":"Z4fE5EUE","properties":{"formattedCitation":"(X. Q. Zhao et al., 2014)","plainCitation":"(X. Q. Zhao et al., 2014)","noteIndex":0},"citationItems":[{"id":2020,"uris":["http://zotero.org/users/2189142/items/V28CWQU7"],"itemData":{"id":2020,"type":"article-journal","abstract":"Soil acidification is an increasing problem in agricultural production and ecological stability worldwide. An understanding of the mechanisms by which plants adapt to acidic soils would help address this problem. Poor plant growth in acidic soils results from a variety of factors, including proton toxicity; deficiencies in nitrogen, phosphorus, calcium, magnesium; and toxicities of various metals (aluminum (Al), manganese, iron). Aluminum toxicity is generally the primary limitation for plant growth in acidic soils. Although much research has focused on Al toxicity in recent decades, it is rarely the only limiting factor in acidic soils. The occurrence of Al toxicity depends on many other factors that coexist with Al in acidic soils. The interactions between Al and such factors are important determinants of Al toxicity to plants under field conditions. In this review, therefore, instead of focusing only on mechanisms of Al tolerance, we examine the effects of the interactions between Al and other limiting factors on plant adaptation to acidic soils. We summarize research on the interactions between Al and nitrogen, phosphorus, pH, and iron. Accordingly, three strategies are proposed to improve plant growth in acidic soils: a combined application of lime and nutrients, depending on the types of soils and plants; development of plant varieties tolerant to multiple stresses; and inoculation of plants with certain beneficial microbes. This review emphasizes the ability of plants to coadapt to multiple stresses in acidic soils.","container-title":"Soil Science","DOI":"10.1097/SS.0000000000000086","ISSN":"0038-075X","issue":"10-11","language":"en-US","page":"503–513","source":"journals-lww-com.ezproxy.library.ubc.ca","title":"Coadaptation of Plants to Multiple Stresses in Acidic Soils","volume":"179","author":[{"family":"Zhao","given":"Xue Qiang"},{"family":"Chen","given":"Rong Fu"},{"family":"Shen","given":"Ren Fang"}],"issued":{"date-parts":[["2014",11]]},"citation-key":"zhao_2014"}}],"schema":"https://github.com/citation-style-language/schema/raw/master/csl-citation.json"} </w:instrText>
      </w:r>
      <w:r w:rsidRPr="009867C1">
        <w:fldChar w:fldCharType="separate"/>
      </w:r>
      <w:r w:rsidR="0042141C" w:rsidRPr="009867C1">
        <w:t>(X. Q. Zhao et al., 2014)</w:t>
      </w:r>
      <w:r w:rsidRPr="009867C1">
        <w:fldChar w:fldCharType="end"/>
      </w:r>
      <w:r w:rsidRPr="009867C1">
        <w:t>. Fulvic and humic acids, and their association with plant community shifts associated with MDN inputs, should be directly measured at these sites to clarify the best conceptual model for these soils.</w:t>
      </w:r>
    </w:p>
    <w:p w14:paraId="59293C2A" w14:textId="686F9774" w:rsidR="00223F7A" w:rsidRPr="009867C1" w:rsidRDefault="00223F7A" w:rsidP="00223F7A">
      <w:pPr>
        <w:ind w:firstLine="720"/>
      </w:pPr>
      <w:r w:rsidRPr="009867C1">
        <w:rPr>
          <w:lang w:val="en-CA"/>
        </w:rPr>
        <w:t xml:space="preserve">One indicator suggested to be representative of forest stress is the calcium : aluminum ratio </w:t>
      </w:r>
      <w:r w:rsidRPr="009867C1">
        <w:rPr>
          <w:lang w:val="en-CA"/>
        </w:rPr>
        <w:fldChar w:fldCharType="begin"/>
      </w:r>
      <w:r w:rsidR="00AC0205">
        <w:rPr>
          <w:lang w:val="en-CA"/>
        </w:rPr>
        <w:instrText xml:space="preserve"> ADDIN ZOTERO_ITEM CSL_CITATION {"citationID":"tjyHtSC1","properties":{"formattedCitation":"(Cronan &amp; Grigal, 1995)","plainCitation":"(Cronan &amp; Grigal, 1995)","noteIndex":0},"citationItems":[{"id":1730,"uris":["http://zotero.org/users/2189142/items/4YEEJDMC"],"itemData":{"id":1730,"type":"article-journal","container-title":"Journal of Environmental Quality","DOI":"10.2134/jeq1995.00472425002400020002x","ISSN":"0047-2425","issue":"2","language":"en","page":"209-226","source":"dl-sciencesocieties-org.ezproxy.library.ubc.ca","title":"Use of Calcium/Aluminum Ratios as Indicators of Stress in Forest Ecosystems","volume":"24","author":[{"family":"Cronan","given":"Christopher S."},{"family":"Grigal","given":"David F."}],"issued":{"date-parts":[["1995"]],"season":"4/01"},"citation-key":"cronan_1995"}}],"schema":"https://github.com/citation-style-language/schema/raw/master/csl-citation.json"} </w:instrText>
      </w:r>
      <w:r w:rsidRPr="009867C1">
        <w:rPr>
          <w:lang w:val="en-CA"/>
        </w:rPr>
        <w:fldChar w:fldCharType="separate"/>
      </w:r>
      <w:r w:rsidR="0042141C" w:rsidRPr="009867C1">
        <w:t>(Cronan &amp; Grigal, 1995)</w:t>
      </w:r>
      <w:r w:rsidRPr="009867C1">
        <w:rPr>
          <w:lang w:val="en-CA"/>
        </w:rPr>
        <w:fldChar w:fldCharType="end"/>
      </w:r>
      <w:r w:rsidRPr="009867C1">
        <w:rPr>
          <w:lang w:val="en-CA"/>
        </w:rPr>
        <w:t xml:space="preserve">, which is negatively correlated with plant stress and positively correlated with fertility, </w:t>
      </w:r>
      <w:r w:rsidRPr="009867C1">
        <w:t xml:space="preserve">and may play a role in stabilizing soil organic matter </w:t>
      </w:r>
      <w:r w:rsidRPr="009867C1">
        <w:fldChar w:fldCharType="begin"/>
      </w:r>
      <w:r w:rsidR="00AC0205">
        <w:instrText xml:space="preserve"> ADDIN ZOTERO_ITEM CSL_CITATION {"citationID":"5y3SegKe","properties":{"formattedCitation":"(Rowley et al., 2018)","plainCitation":"(Rowley et al., 2018)","noteIndex":0},"citationItems":[{"id":1618,"uris":["http://zotero.org/users/2189142/items/FJEQ7MU4"],"itemData":{"id":1618,"type":"article-journal","abstract":"Soils play an essential role in the global cycling of carbon and understanding the stabilisation mechanisms behind the preservation of soil organic carbon (SOC) pools is of globally recognised significance. Until recently, research into SOC stabilisation has predominantly focused on acidic soil environments and the interactions between SOC and aluminium (Al) or iron (Fe). The interactions between SOC and calcium (Ca) have typically received less attention, with fewer studies conducted in alkaline soils. Although it has widely been established that exchangeable Ca (CaExch) positively correlates with SOC concentration and its resistance to oxidation, the exact mechanisms behind this relationship remain largely unidentified. This synthesis paper critically assesses available evidence on the potential role of Ca in the stabilisation of SOC and identifies research topics that warrant further investigation. Contrary to the common view of the chemistry of base cations in soils, chemical modelling indicates that Ca2+ can readily exchange its hydration shell and create inner sphere complexes with organic functional groups. This review therefore argues that both inner- and outer-sphere bridging by Ca2+ can play an active role in the stabilisation of SOC. Calcium carbonate (CaCO3) can influence occluded SOC stability through its role in the stabilisation of aggregates; however, it could also play an unaccounted role in the direct sorption and inclusion of SOC. Finally, this review highlights the importance of pH as a potential predictor of SOC stabilisation mechanisms mediated by Al- or Fe- to Ca, and their respective effects on SOC dynamics.","container-title":"Biogeochemistry","DOI":"10.1007/s10533-017-0410-1","ISSN":"1573-515X","issue":"1","journalAbbreviation":"Biogeochemistry","language":"en","page":"27-49","source":"Springer Link","title":"Calcium-mediated stabilisation of soil organic carbon","volume":"137","author":[{"family":"Rowley","given":"Mike C."},{"family":"Grand","given":"Stéphanie"},{"family":"Verrecchia","given":"Éric P."}],"issued":{"date-parts":[["2018",1,1]]},"citation-key":"rowley_2018"}}],"schema":"https://github.com/citation-style-language/schema/raw/master/csl-citation.json"} </w:instrText>
      </w:r>
      <w:r w:rsidRPr="009867C1">
        <w:fldChar w:fldCharType="separate"/>
      </w:r>
      <w:r w:rsidR="0042141C" w:rsidRPr="009867C1">
        <w:t>(Rowley et al., 2018)</w:t>
      </w:r>
      <w:r w:rsidRPr="009867C1">
        <w:fldChar w:fldCharType="end"/>
      </w:r>
      <w:r w:rsidRPr="009867C1">
        <w:t xml:space="preserve">, reversing forest decline </w:t>
      </w:r>
      <w:r w:rsidRPr="009867C1">
        <w:fldChar w:fldCharType="begin"/>
      </w:r>
      <w:r w:rsidR="00AC0205">
        <w:instrText xml:space="preserve"> ADDIN ZOTERO_ITEM CSL_CITATION {"citationID":"WO66EV6T","properties":{"formattedCitation":"(Battles et al., 2014)","plainCitation":"(Battles et al., 2014)","noteIndex":0},"citationItems":[{"id":1590,"uris":["http://zotero.org/users/2189142/items/MZHGLVCR"],"itemData":{"id":1590,"type":"article-journal","abstract":"Forest decline in the northeastern United States has been linked to the effects of acid deposition on soil nutrients. To test this link, we added a calcium silicate mineral to a paired watershed at the Hubbard Brook Experimental Forest, New Hampshire, in an amount designed to gradually replace the estimated amount of calcium lost as a result of human activity in the 20th Century (primarily because of acid deposition). The experimental restoration resulted in a recovery of tree biomass increment. The improved calcium nutrition also promoted higher aboveground net primary production and increased the photosynthetic surface area in the treated watershed relative to that in the reference watershed. These results demonstrated that soil acidification accelerated by acid deposition has contributed to the decline of forest growth and health on naturally acidic soil in the northeastern United States and that decline can be reversed by the addition of calcium.","container-title":"Environmental Science &amp; Technology Letters","DOI":"10.1021/ez400033d","issue":"1","journalAbbreviation":"Environ. Sci. Technol. Lett.","note":"publisher: American Chemical Society","page":"15-19","source":"ACS Publications","title":"Restoring Soil Calcium Reverses Forest Decline","volume":"1","author":[{"family":"Battles","given":"John J."},{"family":"Fahey","given":"Timothy J."},{"family":"Driscoll","given":"Charles T."},{"family":"Blum","given":"Joel D."},{"family":"Johnson","given":"Chris E."}],"issued":{"date-parts":[["2014",1,14]]},"citation-key":"battles_2014"}}],"schema":"https://github.com/citation-style-language/schema/raw/master/csl-citation.json"} </w:instrText>
      </w:r>
      <w:r w:rsidRPr="009867C1">
        <w:fldChar w:fldCharType="separate"/>
      </w:r>
      <w:r w:rsidR="0042141C" w:rsidRPr="009867C1">
        <w:t>(Battles et al., 2014)</w:t>
      </w:r>
      <w:r w:rsidRPr="009867C1">
        <w:fldChar w:fldCharType="end"/>
      </w:r>
      <w:r w:rsidRPr="009867C1">
        <w:t xml:space="preserve">, and promoting fungal growth </w:t>
      </w:r>
      <w:r w:rsidRPr="009867C1">
        <w:fldChar w:fldCharType="begin"/>
      </w:r>
      <w:r w:rsidR="00AC0205">
        <w:instrText xml:space="preserve"> ADDIN ZOTERO_ITEM CSL_CITATION {"citationID":"gi6nn7Dv","properties":{"formattedCitation":"(Jackson &amp; Heath, 1993)","plainCitation":"(Jackson &amp; Heath, 1993)","noteIndex":0},"citationItems":[{"id":1238,"uris":["http://zotero.org/users/2189142/items/N43BP9RF"],"itemData":{"id":1238,"type":"article-journal","container-title":"Microbiological Reviews","issue":"2","page":"367–382","source":"Google Scholar","title":"Roles of calcium ions in hyphal tip growth.","volume":"57","author":[{"family":"Jackson","given":"S. L."},{"family":"Heath","given":"I. B."}],"issued":{"date-parts":[["1993"]]},"citation-key":"jackson_1993"}}],"schema":"https://github.com/citation-style-language/schema/raw/master/csl-citation.json"} </w:instrText>
      </w:r>
      <w:r w:rsidRPr="009867C1">
        <w:fldChar w:fldCharType="separate"/>
      </w:r>
      <w:r w:rsidR="0042141C" w:rsidRPr="009867C1">
        <w:t>(Jackson &amp; Heath, 1993)</w:t>
      </w:r>
      <w:r w:rsidRPr="009867C1">
        <w:fldChar w:fldCharType="end"/>
      </w:r>
      <w:r w:rsidRPr="009867C1">
        <w:rPr>
          <w:lang w:val="en-CA"/>
        </w:rPr>
        <w:t xml:space="preserve">. </w:t>
      </w:r>
      <w:r w:rsidR="006A6101">
        <w:rPr>
          <w:lang w:val="en-CA"/>
        </w:rPr>
        <w:t>I</w:t>
      </w:r>
      <w:r w:rsidRPr="009867C1">
        <w:rPr>
          <w:lang w:val="en-CA"/>
        </w:rPr>
        <w:t xml:space="preserve"> found Ca : Al ratios</w:t>
      </w:r>
      <w:r w:rsidR="002E2D56">
        <w:rPr>
          <w:lang w:val="en-CA"/>
        </w:rPr>
        <w:t xml:space="preserve"> to be</w:t>
      </w:r>
      <w:r w:rsidRPr="009867C1">
        <w:rPr>
          <w:lang w:val="en-CA"/>
        </w:rPr>
        <w:t xml:space="preserve"> unchanged in organic soils with increasing salmon inputs </w:t>
      </w:r>
      <w:r w:rsidR="006A6101">
        <w:rPr>
          <w:lang w:val="en-CA"/>
        </w:rPr>
        <w:t>along the</w:t>
      </w:r>
      <w:r w:rsidRPr="009867C1">
        <w:rPr>
          <w:lang w:val="en-CA"/>
        </w:rPr>
        <w:t xml:space="preserve"> regional gradient, and higher ratios (i</w:t>
      </w:r>
      <w:r w:rsidR="002E2D56">
        <w:rPr>
          <w:lang w:val="en-CA"/>
        </w:rPr>
        <w:t>.</w:t>
      </w:r>
      <w:r w:rsidRPr="009867C1">
        <w:rPr>
          <w:lang w:val="en-CA"/>
        </w:rPr>
        <w:t>e., less stressed) below waterfalls than above (</w:t>
      </w:r>
      <w:r w:rsidRPr="009867C1">
        <w:rPr>
          <w:lang w:val="en-CA"/>
        </w:rPr>
        <w:fldChar w:fldCharType="begin"/>
      </w:r>
      <w:r w:rsidRPr="009867C1">
        <w:rPr>
          <w:lang w:val="en-CA"/>
        </w:rPr>
        <w:instrText xml:space="preserve"> REF _Ref73352626 \h </w:instrText>
      </w:r>
      <w:r w:rsidR="009867C1">
        <w:rPr>
          <w:lang w:val="en-CA"/>
        </w:rPr>
        <w:instrText xml:space="preserve"> \* MERGEFORMAT </w:instrText>
      </w:r>
      <w:r w:rsidRPr="009867C1">
        <w:rPr>
          <w:lang w:val="en-CA"/>
        </w:rPr>
      </w:r>
      <w:r w:rsidRPr="009867C1">
        <w:rPr>
          <w:lang w:val="en-CA"/>
        </w:rPr>
        <w:fldChar w:fldCharType="separate"/>
      </w:r>
      <w:r w:rsidR="000667DB" w:rsidRPr="009867C1">
        <w:t xml:space="preserve">Figure </w:t>
      </w:r>
      <w:r w:rsidR="000667DB">
        <w:rPr>
          <w:noProof/>
        </w:rPr>
        <w:t>2</w:t>
      </w:r>
      <w:r w:rsidR="000667DB">
        <w:rPr>
          <w:noProof/>
        </w:rPr>
        <w:noBreakHyphen/>
        <w:t>8</w:t>
      </w:r>
      <w:r w:rsidRPr="009867C1">
        <w:rPr>
          <w:lang w:val="en-CA"/>
        </w:rPr>
        <w:fldChar w:fldCharType="end"/>
      </w:r>
      <w:r w:rsidRPr="009867C1">
        <w:rPr>
          <w:lang w:val="en-CA"/>
        </w:rPr>
        <w:t xml:space="preserve">). However, </w:t>
      </w:r>
      <w:r w:rsidR="006A6101">
        <w:rPr>
          <w:lang w:val="en-CA"/>
        </w:rPr>
        <w:t>I</w:t>
      </w:r>
      <w:r w:rsidRPr="009867C1">
        <w:rPr>
          <w:lang w:val="en-CA"/>
        </w:rPr>
        <w:t xml:space="preserve"> found a distinct U-shaped curve in forest floor soils along </w:t>
      </w:r>
      <w:r w:rsidR="006A6101">
        <w:rPr>
          <w:lang w:val="en-CA"/>
        </w:rPr>
        <w:t>the</w:t>
      </w:r>
      <w:r w:rsidRPr="009867C1">
        <w:rPr>
          <w:lang w:val="en-CA"/>
        </w:rPr>
        <w:t xml:space="preserve"> salmon gradient, where the minimum is consistent with higher leaching of calcium from forest floors to deeper soils, and the increasing trend at very high-salmon input sites consistent with increased nutrient loading in the larger, flatter floodplains at these sites. Given that there was no change observed in organic soils, and the potential for organic acids to control aluminum dynamics, </w:t>
      </w:r>
      <w:r w:rsidR="00C52B50">
        <w:rPr>
          <w:lang w:val="en-CA"/>
        </w:rPr>
        <w:t xml:space="preserve">I </w:t>
      </w:r>
      <w:r w:rsidRPr="009867C1">
        <w:rPr>
          <w:lang w:val="en-CA"/>
        </w:rPr>
        <w:t>believe this ratio to be of minimum importance to the long-term fertility of these sites.</w:t>
      </w:r>
      <w:r w:rsidRPr="009867C1">
        <w:t xml:space="preserve"> </w:t>
      </w:r>
    </w:p>
    <w:p w14:paraId="1DF60661" w14:textId="4E075843" w:rsidR="00223F7A" w:rsidRPr="009867C1" w:rsidRDefault="00915B3F" w:rsidP="00223F7A">
      <w:pPr>
        <w:ind w:firstLine="720"/>
      </w:pPr>
      <w:r>
        <w:t>T</w:t>
      </w:r>
      <w:r w:rsidR="00223F7A" w:rsidRPr="009867C1">
        <w:t xml:space="preserve">his study was conducted in the late summer in order to be as distant in the annual round from the salmon run as possible. This was in line with </w:t>
      </w:r>
      <w:r w:rsidR="00C52B50">
        <w:t>my</w:t>
      </w:r>
      <w:r w:rsidR="00223F7A" w:rsidRPr="009867C1">
        <w:t xml:space="preserve"> intention to focus on the medium- and long-term legacy effects of salmon inputs, but a tradeoff of this choice is the potential influence of seasonal effects, particularly late-summer drought, on these results. It is also probable that by this time many of the soluble nutrients deposited by salmon have already been taken up by plants or leached from the system entirely. These findings should thus be regarded as a baseline to which soil conditions at times more proximate to the salmon run may be compared.</w:t>
      </w:r>
    </w:p>
    <w:p w14:paraId="025F7908" w14:textId="77777777" w:rsidR="00223F7A" w:rsidRPr="009867C1" w:rsidRDefault="00223F7A" w:rsidP="00223F7A">
      <w:pPr>
        <w:ind w:firstLine="720"/>
        <w:rPr>
          <w:lang w:val="en-CA" w:eastAsia="ja-JP"/>
        </w:rPr>
      </w:pPr>
      <w:r w:rsidRPr="009867C1">
        <w:t xml:space="preserve"> </w:t>
      </w:r>
    </w:p>
    <w:p w14:paraId="23B2C774" w14:textId="5732AC7E" w:rsidR="00223F7A" w:rsidRDefault="00223F7A" w:rsidP="00223F7A">
      <w:pPr>
        <w:pStyle w:val="Heading3"/>
      </w:pPr>
      <w:bookmarkStart w:id="61" w:name="_Toc99385429"/>
      <w:r w:rsidRPr="009867C1">
        <w:t>Conclusion</w:t>
      </w:r>
      <w:bookmarkEnd w:id="61"/>
    </w:p>
    <w:p w14:paraId="656B468A" w14:textId="4D365D06" w:rsidR="00F5204B" w:rsidRDefault="00915B3F" w:rsidP="00223F7A">
      <w:pPr>
        <w:ind w:firstLine="720"/>
      </w:pPr>
      <w:r w:rsidRPr="009867C1">
        <w:t xml:space="preserve">Generally, </w:t>
      </w:r>
      <w:r>
        <w:t>the</w:t>
      </w:r>
      <w:r w:rsidR="0086190D">
        <w:t xml:space="preserve"> </w:t>
      </w:r>
      <w:r w:rsidRPr="009867C1">
        <w:t>above and below waterfall comparison</w:t>
      </w:r>
      <w:r w:rsidR="0086190D">
        <w:t xml:space="preserve"> agreed with </w:t>
      </w:r>
      <w:r w:rsidRPr="009867C1">
        <w:t>the regional salmon density gradient</w:t>
      </w:r>
      <w:r>
        <w:t xml:space="preserve"> modelling</w:t>
      </w:r>
      <w:r w:rsidRPr="009867C1">
        <w:t xml:space="preserve">. </w:t>
      </w:r>
      <w:r>
        <w:t>There are advantages and disadvantages to each approach (Chapter 7), as t</w:t>
      </w:r>
      <w:r w:rsidRPr="009867C1">
        <w:t xml:space="preserve">he above and below waterfall methodology </w:t>
      </w:r>
      <w:r w:rsidR="002E2D56">
        <w:t xml:space="preserve">better </w:t>
      </w:r>
      <w:r w:rsidRPr="009867C1">
        <w:t>controls</w:t>
      </w:r>
      <w:r w:rsidR="002E2D56">
        <w:t xml:space="preserve"> for</w:t>
      </w:r>
      <w:r w:rsidRPr="009867C1">
        <w:t xml:space="preserve"> regional and watershed-level effects, but confounds salmon inputs with topographical </w:t>
      </w:r>
      <w:r>
        <w:t xml:space="preserve">and edaphic </w:t>
      </w:r>
      <w:r w:rsidRPr="009867C1">
        <w:t xml:space="preserve">factors. In general, </w:t>
      </w:r>
      <w:r>
        <w:t>I</w:t>
      </w:r>
      <w:r w:rsidRPr="009867C1">
        <w:t xml:space="preserve"> have high</w:t>
      </w:r>
      <w:r>
        <w:t>est</w:t>
      </w:r>
      <w:r w:rsidRPr="009867C1">
        <w:t xml:space="preserve"> confidence where the two methodologies agree</w:t>
      </w:r>
      <w:r>
        <w:t xml:space="preserve">: salmon inputs likely increase </w:t>
      </w:r>
      <w:r w:rsidRPr="009867C1">
        <w:t>ammonium and nitrate concentrations</w:t>
      </w:r>
      <w:r>
        <w:t xml:space="preserve">. Where regional trends match the above/below waterfall analysis, I have medium confidence in the results: salmon likely increase exchangeable phosphorus and calcium concentrations. In other cases, I would view these results as preliminary evidence that necessitates further study. </w:t>
      </w:r>
      <w:r w:rsidR="00F5204B">
        <w:t>In total</w:t>
      </w:r>
      <w:r w:rsidR="0086190D">
        <w:t xml:space="preserve"> consideration</w:t>
      </w:r>
      <w:r w:rsidR="00F5204B">
        <w:t>, these findings support the hypothesis that salmon inputs improve the fertility of recipient sites. Salmon increased nitrogenous compounds, likely increased phosphorus and calcium, and did not consistently lower pH or increase aluminum and iron concentrations.</w:t>
      </w:r>
    </w:p>
    <w:p w14:paraId="6C2E36E7" w14:textId="126732EE" w:rsidR="00223F7A" w:rsidRPr="009867C1" w:rsidRDefault="00223F7A" w:rsidP="00223F7A">
      <w:pPr>
        <w:ind w:firstLine="720"/>
      </w:pPr>
      <w:r w:rsidRPr="009867C1">
        <w:t xml:space="preserve">It is likely that organic amendments are processed differently than inorganic amendments in forest soils </w:t>
      </w:r>
      <w:r w:rsidRPr="009867C1">
        <w:fldChar w:fldCharType="begin"/>
      </w:r>
      <w:r w:rsidR="00AC0205">
        <w:instrText xml:space="preserve"> ADDIN ZOTERO_ITEM CSL_CITATION {"citationID":"WrKrB7Jf","properties":{"formattedCitation":"(Y. Chen et al., 2018)","plainCitation":"(Y. Chen et al., 2018)","noteIndex":0},"citationItems":[{"id":118,"uris":["http://zotero.org/users/2189142/items/4NLF59B9"],"itemData":{"id":118,"type":"article-journal","abstract":"An exhaustive meta-analysis of 132 long-term (≥ 10 years) studies worldwide was carried out to determine the effects of the use of organic amendments (OA) and OA + inorganic fertiliser (IF) on soil nutrient fertility. The responses of (1) crop yield [over the whole duration of the period (yieldm) and at the end of the experiment (yieldf)], (2) soil organic carbon (OC), (3) size of microbial biomass, and (4) Olsen phosphorus (P) to OA and OA + IF compared with IF only (standard control) and no fertilisation (nil control) were investigated. The overall effect of OA alone on yield was significant when compared with the nil control, but not when compared with the standard control. Only when OA and IF were added to soils that met specific conditions (low initial fertility, sandy texture, near-neutral pH values, under tropical climate) they rendered a significantly greater yieldf than the corresponding standard controls. The continuous application of manure caused greater relative and absolute gains in soil OC than straw + IF but did not produce significant greater yields while causing a considerable increase in Olsen P over time. The use of OA and OA + IF increased the resilience of agronomic systems over that of IF alone, as inferred from the smaller coefficient of variation of crop yield over time. We conclude that while the use of OA along with IF provides some additional benefits on yields as compared with IF application alone (especially under the above-mentioned conditions), the selection of the OA type and application rate should be carefully considered in order to maximise the nutrient use efficiency and minimise any undesirable effects to the environment.","container-title":"Nutrient Cycling in Agroecosystems","DOI":"10.1007/s10705-017-9903-5","ISSN":"1573-0867","issue":"2","journalAbbreviation":"Nutr Cycl Agroecosyst","language":"en","page":"103-125","source":"Springer Link","title":"The long-term role of organic amendments in building soil nutrient fertility: a meta-analysis and review","title-short":"The long-term role of organic amendments in building soil nutrient fertility","volume":"111","author":[{"family":"Chen","given":"Yongshan"},{"family":"Camps-Arbestain","given":"Marta"},{"family":"Shen","given":"Qinhua"},{"family":"Singh","given":"Balwant"},{"family":"Cayuela","given":"Maria Luz"}],"issued":{"date-parts":[["2018",7,1]]},"citation-key":"chen_2018"}}],"schema":"https://github.com/citation-style-language/schema/raw/master/csl-citation.json"} </w:instrText>
      </w:r>
      <w:r w:rsidRPr="009867C1">
        <w:fldChar w:fldCharType="separate"/>
      </w:r>
      <w:r w:rsidR="0042141C" w:rsidRPr="009867C1">
        <w:t>(Y. Chen et al., 2018)</w:t>
      </w:r>
      <w:r w:rsidRPr="009867C1">
        <w:fldChar w:fldCharType="end"/>
      </w:r>
      <w:r w:rsidRPr="009867C1">
        <w:t xml:space="preserve">, and hence agricultural models of soil health are inappropriate in acidic and organic-rich forest soils. </w:t>
      </w:r>
      <w:r w:rsidRPr="009867C1">
        <w:rPr>
          <w:lang w:val="en-CA" w:eastAsia="ja-JP"/>
        </w:rPr>
        <w:t>T</w:t>
      </w:r>
      <w:r w:rsidRPr="009867C1">
        <w:t>he increased fertility in response to salmon density</w:t>
      </w:r>
      <w:r w:rsidR="002E2D56">
        <w:t xml:space="preserve"> observed</w:t>
      </w:r>
      <w:r w:rsidRPr="009867C1">
        <w:t xml:space="preserve"> in this study </w:t>
      </w:r>
      <w:r w:rsidR="002E2D56">
        <w:t>is</w:t>
      </w:r>
      <w:r w:rsidRPr="009867C1">
        <w:t xml:space="preserve"> comparable to fish silage fertilization experiments in cedar-hemlock forests from Northern Vancouver Island </w:t>
      </w:r>
      <w:r w:rsidRPr="009867C1">
        <w:fldChar w:fldCharType="begin"/>
      </w:r>
      <w:r w:rsidR="00AC0205">
        <w:instrText xml:space="preserve"> ADDIN ZOTERO_ITEM CSL_CITATION {"citationID":"Y37ASAr4","properties":{"formattedCitation":"(Blevins et al., 2006b; Weetman &amp; Prescott, 2000)","plainCitation":"(Blevins et al., 2006b; Weetman &amp; Prescott, 2000)","noteIndex":0},"citationItems":[{"id":1967,"uris":["http://zotero.org/users/2189142/items/XTVYI6NE"],"itemData":{"id":1967,"type":"article-journal","abstract":"Early evidence from a suite of fertilization trials on northern Vancouver Island indicated that conifers growing on cedar-hemlock (CH) cutovers were severely deficient in nutrients, particularly N and P, and that fertilization might induce a sustained improvement in tree growth on these sites. Here we report the long-term (15-year) effects of two fertilization experiments which allowed us to distinguish the influences of N and P additions on productivity of western hemlock (Tsuga heterophylla Raf. Sarge) and western redcedar (Thuja plicata Donn.) regenerating on CH sites. Plots of each species were fertilized with N alone, P alone, or N and P combined. Nitrogen was added twice at rates of 0–400kg/ha, P was added at 0 or 100kg/ha, and subplots received a second fertilization 10 years after the first. Hemlock responded to the first application of N, and growth was greatest where both N and P were applied. Ten years after the first fertilization, hemlock volume in plots receiving the highest rate of N and P was 10-times that in untreated plots. The second N application increased hemlock growth only in plots that had received P. Fifteen years after the first fertilization, height response of dominant hemlocks was still increasing in plots fertilized with both N and P but was declining in plots fertilized with N alone. In contrast to hemlock, western redcedar stand volume more than doubled 15 years after N fertilization, but there was no additional effect of P fertilization. The long-term growth responses measured in these field experiments support earlier indications that P is an important limiting factor for productivity of conifers, particularly hemlock, on these sites.","container-title":"Forest Ecology and Management","DOI":"10.1016/j.foreco.2006.06.029","ISSN":"0378-1127","issue":"1","journalAbbreviation":"Forest Ecology and Management","language":"en","page":"116-122","source":"ScienceDirect","title":"The roles of nitrogen and phosphorus in increasing productivity of western hemlock and western redcedar plantations on northern Vancouver Island","volume":"234","author":[{"family":"Blevins","given":"Leandra L."},{"family":"Prescott","given":"Cindy"},{"family":"Van Niejenhuis","given":"Annette"}],"issued":{"date-parts":[["2006",10,1]]},"citation-key":"blevins_2006"}},{"id":2040,"uris":["http://zotero.org/users/2189142/items/KCMGNSD2"],"itemData":{"id":2040,"type":"article-journal","container-title":"The Forests Handbook","note":"publisher: Wiley-Blackwell","page":"275–287","source":"Google Scholar","title":"The structure, functioning and management of old-growth cedar-hemlock-fir forests on Vancouver Island, British Columbia","volume":"2","author":[{"family":"Weetman","given":"G. F."},{"family":"Prescott","given":"Cindy"}],"issued":{"date-parts":[["2000"]]},"citation-key":"weetman_2000"}}],"schema":"https://github.com/citation-style-language/schema/raw/master/csl-citation.json"} </w:instrText>
      </w:r>
      <w:r w:rsidRPr="009867C1">
        <w:fldChar w:fldCharType="separate"/>
      </w:r>
      <w:r w:rsidR="0042141C" w:rsidRPr="009867C1">
        <w:t>(Blevins et al., 2006b; Weetman &amp; Prescott, 2000)</w:t>
      </w:r>
      <w:r w:rsidRPr="009867C1">
        <w:fldChar w:fldCharType="end"/>
      </w:r>
      <w:r w:rsidRPr="009867C1">
        <w:t xml:space="preserve">, where additions of fish silage resulted in positive growth responses in western redcedar, western hemlock and Amabilis fir; these responses were similar or superior to inorganic fertilizer application </w:t>
      </w:r>
      <w:r w:rsidRPr="009867C1">
        <w:fldChar w:fldCharType="begin"/>
      </w:r>
      <w:r w:rsidR="00AC0205">
        <w:instrText xml:space="preserve"> ADDIN ZOTERO_ITEM CSL_CITATION {"citationID":"LDXrxplu","properties":{"formattedCitation":"(Prescott, 1997)","plainCitation":"(Prescott, 1997)","noteIndex":0},"citationItems":[{"id":1968,"uris":["http://zotero.org/users/2189142/items/4W9K6W2F"],"itemData":{"id":1968,"type":"book","abstract":"The Canadian Forest Service promotes the sustainable development of Canada's forests and the competitiveness of the Canadian forest sector, Site menu for NRCan internet website.","ISBN":"978-0-88865-433-5","language":"English","source":"cfs.nrcan.gc.ca","title":"SCHIRP – Salal Cedar Hemlock Integrated Research Program. Research Update #1: December 1996","title-short":"SCHIRP – Salal Cedar Hemlock Integrated Research Program. Research Update #1","URL":"https://cfs.nrcan.gc.ca/publications?id=4717","author":[{"family":"Prescott","given":"Cindy"}],"accessed":{"date-parts":[["2020",3,16]]},"issued":{"date-parts":[["1997"]]},"citation-key":"prescott_1997"}}],"schema":"https://github.com/citation-style-language/schema/raw/master/csl-citation.json"} </w:instrText>
      </w:r>
      <w:r w:rsidRPr="009867C1">
        <w:fldChar w:fldCharType="separate"/>
      </w:r>
      <w:r w:rsidR="0042141C" w:rsidRPr="009867C1">
        <w:t>(Prescott, 1997)</w:t>
      </w:r>
      <w:r w:rsidRPr="009867C1">
        <w:fldChar w:fldCharType="end"/>
      </w:r>
      <w:r w:rsidRPr="009867C1">
        <w:t xml:space="preserve">. Our understanding of these processes may be enhanced by improved general understanding of how </w:t>
      </w:r>
      <w:r w:rsidR="00F5204B">
        <w:t xml:space="preserve">acidic organic </w:t>
      </w:r>
      <w:r w:rsidRPr="009867C1">
        <w:t xml:space="preserve">soils work, and by directly measuring deposition and uptake of salmon amino acids </w:t>
      </w:r>
      <w:r w:rsidRPr="009867C1">
        <w:fldChar w:fldCharType="begin"/>
      </w:r>
      <w:r w:rsidR="00AC0205">
        <w:instrText xml:space="preserve"> ADDIN ZOTERO_ITEM CSL_CITATION {"citationID":"o9ylXJ0R","properties":{"formattedCitation":"(Metcalfe et al., 2011)","plainCitation":"(Metcalfe et al., 2011)","noteIndex":0},"citationItems":[{"id":1021,"uris":["http://zotero.org/users/2189142/items/EKAFJW3I"],"itemData":{"id":1021,"type":"article-journal","abstract":"There are few examinations of the relative availability and plant uptake of inorganic N and amino acid N in temperate forest regions. We determined the availability of amino acid N and inorganic N in soils under two shrub species (Vaccinium ovalifolium Sm. versus Rubus spectabilis Pursh) on three sites near Jordan River, British Columbia, over a growing season. We compared biomass production of the two shrubs and two conifers (Picea sitchensis (Bong.) Carr. and Pseudotsuga menziesii (Mirb.) Franco var. menziesii) when given inorganic N (20:80 or 80:20 NH4+–NO3–) or organic N (glycine and glutamic acid) and assessed short-term uptake (24 h) of 15N-labelled NH4+, NO3–, glycine, or glutamic acid by the four species. Water-extracted soil concentrations of NH4+ were up to 1.5 times greater than NO3– averaged across sites. Concentrations of amino acid N and inorganic N were similar on soils under Rubus, but the amino acid N to inorganic N ratio was up to 2.4:1 in soils under Vaccinium. Soils dominated by Rubus ..., Peu d’études portent sur la disponibilité relative et l’assimilation par les plantes du N inorganique et de N sous forme d’acides aminés dans les forêts des régions tempérées. Nous avons déterminé la disponibilité de N inorganique et de N sous forme d’acides aminés pendant une saison de croissance dans les sols sous deux espèces d’arbustes (Vaccinium ovalifolium Sm. versus Rubus spectabilis Pursh) dans trois stations situées près de Jordan River, en Colombie-Britannique. Nous avons comparé la production de biomasse des deux arbustes et de deux conifères (Picea sitchensis (Bong.) Carr. et Pseudotsuga menziesii (Mirb.) Franco var. menziesii) en présence de N inorganique (NH4+–NO3– 20:80 ou 80:20) ou de N organique (glycine et acide glutamique). Nous avons également évalué l’assimilation à court terme (24 h) de NH4+, de NO3–, de la glycine et de l’acide glutamique marqués avec 15N par les quatre espèces. En moyenne pour l’ensemble des stations, les concentrations de NH4+ dans les extraits aqueux de sol étaie...","container-title":"Canadian Journal of Forest Research","DOI":"10.1139/x11-090","ISSN":"0045-5067","issue":"8","journalAbbreviation":"Can. J. For. Res.","page":"1626-1637","source":"NRC Research Press","title":"Adaptations to nitrogen form: comparing inorganic nitrogen and amino acid availability and uptake by four temperate forest plants","title-short":"Adaptations to nitrogen form","volume":"41","author":[{"family":"Metcalfe","given":"R.J."},{"family":"Nault","given":"J."},{"family":"Hawkins","given":"B.J."}],"issued":{"date-parts":[["2011",8,1]]},"citation-key":"metcalfe_2011"}}],"schema":"https://github.com/citation-style-language/schema/raw/master/csl-citation.json"} </w:instrText>
      </w:r>
      <w:r w:rsidRPr="009867C1">
        <w:fldChar w:fldCharType="separate"/>
      </w:r>
      <w:r w:rsidR="0042141C" w:rsidRPr="009867C1">
        <w:t>(Metcalfe et al., 2011)</w:t>
      </w:r>
      <w:r w:rsidRPr="009867C1">
        <w:fldChar w:fldCharType="end"/>
      </w:r>
      <w:r w:rsidRPr="009867C1">
        <w:t xml:space="preserve">, organic phosphates, and lipids </w:t>
      </w:r>
      <w:r w:rsidRPr="009867C1">
        <w:fldChar w:fldCharType="begin"/>
      </w:r>
      <w:r w:rsidR="00AC0205">
        <w:instrText xml:space="preserve"> ADDIN ZOTERO_ITEM CSL_CITATION {"citationID":"RyGEda76","properties":{"formattedCitation":"(Dinel et al., 1990)","plainCitation":"(Dinel et al., 1990)","noteIndex":0},"citationItems":[{"id":2010,"uris":["http://zotero.org/users/2189142/items/BFR32CLE"],"itemData":{"id":2010,"type":"chapter","container-title":"Soil Biochemistry","edition":"0","ISBN":"978-0-203-73938-9","language":"en","note":"DOI: 10.1201/9780203739389-8","page":"397-430","publisher":"Routledge","source":"DOI.org (Crossref)","title":"Soil Lipids: Origin, Nature, Content, Decomposition, and Effect on Soil Physical Properties","title-short":"Soil Lipids","URL":"https://www.taylorfrancis.com/books/9781351416061/chapters/10.1201/9780203739389-8","container-author":[{"family":"Bollag","given":"J.-M."}],"author":[{"family":"Dinel","given":"H."},{"family":"Schnitzer","given":"M."},{"family":"Mehuys","given":"G. R."}],"accessed":{"date-parts":[["2020",4,18]]},"issued":{"date-parts":[["1990"]]},"citation-key":"dinel_1990"}}],"schema":"https://github.com/citation-style-language/schema/raw/master/csl-citation.json"} </w:instrText>
      </w:r>
      <w:r w:rsidRPr="009867C1">
        <w:fldChar w:fldCharType="separate"/>
      </w:r>
      <w:r w:rsidR="0042141C" w:rsidRPr="009867C1">
        <w:t>(Dinel et al., 1990)</w:t>
      </w:r>
      <w:r w:rsidRPr="009867C1">
        <w:fldChar w:fldCharType="end"/>
      </w:r>
      <w:r w:rsidRPr="009867C1">
        <w:t xml:space="preserve">.  </w:t>
      </w:r>
    </w:p>
    <w:p w14:paraId="43FD36E0" w14:textId="04101F00" w:rsidR="00223F7A" w:rsidRPr="009867C1" w:rsidRDefault="00223F7A" w:rsidP="00223F7A">
      <w:pPr>
        <w:ind w:firstLine="720"/>
      </w:pPr>
      <w:r w:rsidRPr="009867C1">
        <w:t xml:space="preserve">This study adds a suite of soil characteristics to the growing list of ‘salmon-sensitive’ ecological features that include changes in plant community composition </w:t>
      </w:r>
      <w:r w:rsidRPr="009867C1">
        <w:fldChar w:fldCharType="begin"/>
      </w:r>
      <w:r w:rsidR="00AC0205">
        <w:instrText xml:space="preserve"> ADDIN ZOTERO_ITEM CSL_CITATION {"citationID":"g8K7DM6p","properties":{"formattedCitation":"(Hocking &amp; Reynolds, 2011)","plainCitation":"(Hocking &amp; Reynolds, 2011)","noteIndex":0},"citationItems":[{"id":550,"uris":["http://zotero.org/users/2189142/items/JR362H46"],"itemData":{"id":550,"type":"article-journal","abstract":"The study of natural gradients in nutrient subsidies between ecosystems allows for predictions of how changes in one system can affect biodiversity in another. We performed a large-scale empirical test of the role of Pacific salmon (Oncorhynchus spp.) in structuring riparian plant communities. A comparison of 50 watersheds in the remote Great Bear Rainforest of British Columbia’s central coast in Canada shows that salmon influence nutrient loading to plants, shifting plant communities toward nutrient-rich species, which in turn decreases plant diversity. These effects are mediated by interactions between salmon density and the physical characteristics of watersheds. Predicting how salmon affect terrestrial ecosystems is central to conservation plans that aim to better integrate ecosystem values into resource management.","container-title":"Science","DOI":"10.1126/science.1201079","ISSN":"0036-8075, 1095-9203","issue":"6024","journalAbbreviation":"Science","language":"en","note":"PMID: 21442794","page":"1609-1612","source":"www.sciencemag.org.ezproxy.library.ubc.ca","title":"Impacts of Salmon on Riparian Plant Diversity","volume":"331","author":[{"family":"Hocking","given":"Morgan D."},{"family":"Reynolds","given":"John D."}],"issued":{"date-parts":[["2011",3,25]]},"citation-key":"hocking_2011"}}],"schema":"https://github.com/citation-style-language/schema/raw/master/csl-citation.json"} </w:instrText>
      </w:r>
      <w:r w:rsidRPr="009867C1">
        <w:fldChar w:fldCharType="separate"/>
      </w:r>
      <w:r w:rsidR="0042141C" w:rsidRPr="009867C1">
        <w:t>(Hocking &amp; Reynolds, 2011)</w:t>
      </w:r>
      <w:r w:rsidRPr="009867C1">
        <w:fldChar w:fldCharType="end"/>
      </w:r>
      <w:r w:rsidRPr="009867C1">
        <w:t xml:space="preserve"> and physiology </w:t>
      </w:r>
      <w:r w:rsidRPr="009867C1">
        <w:fldChar w:fldCharType="begin"/>
      </w:r>
      <w:r w:rsidR="00AC0205">
        <w:instrText xml:space="preserve"> ADDIN ZOTERO_ITEM CSL_CITATION {"citationID":"dT8P62Hr","properties":{"formattedCitation":"(Siemens et al., 2020; van den Top et al., 2018)","plainCitation":"(Siemens et al., 2020; van den Top et al., 2018)","noteIndex":0},"citationItems":[{"id":2359,"uris":["http://zotero.org/users/2189142/items/HE5K9YT7"],"itemData":{"id":2359,"type":"article-journal","container-title":"Ecosphere","issue":"11","note":"publisher: Wiley Online Library","page":"e03282","source":"Google Scholar","title":"Spawning salmon density influences fruit production of salmonberry (&lt;i&gt;Rubus spectabilis&lt;/i&gt;)","volume":"11","author":[{"family":"Siemens","given":"Lisa D."},{"family":"Dennert","given":"Allison M."},{"family":"Obrist","given":"Debora S."},{"family":"Reynolds","given":"John D."}],"issued":{"date-parts":[["2020"]]},"citation-key":"siemens_2020"}},{"id":2447,"uris":["http://zotero.org/users/2189142/items/UWBNE6PR"],"itemData":{"id":2447,"type":"article-journal","container-title":"Functional Ecology","issue":"11","note":"publisher: Wiley Online Library","page":"2625–2633","source":"Google Scholar","title":"From salmon to salmonberry: The effects of salmon-derived nutrients on the stomatal density of leaves of the nitriphilic shrub &lt;i&gt;Rubus spectabilis&lt;/i&gt;","title-short":"From salmon to salmonberry","volume":"32","author":[{"family":"Top","given":"Gregory G.","non-dropping-particle":"van den"},{"family":"Reynolds","given":"John D."},{"family":"Prins","given":"Herbert HT"},{"family":"Mattsson","given":"Jim"},{"family":"Green","given":"David J."},{"family":"Ydenberg","given":"Ronald C."}],"issued":{"date-parts":[["2018"]]},"citation-key":"vandentop_2018"}}],"schema":"https://github.com/citation-style-language/schema/raw/master/csl-citation.json"} </w:instrText>
      </w:r>
      <w:r w:rsidRPr="009867C1">
        <w:fldChar w:fldCharType="separate"/>
      </w:r>
      <w:r w:rsidR="0042141C" w:rsidRPr="009867C1">
        <w:t>(Siemens et al., 2020; van den Top et al., 2018)</w:t>
      </w:r>
      <w:r w:rsidRPr="009867C1">
        <w:fldChar w:fldCharType="end"/>
      </w:r>
      <w:r w:rsidRPr="009867C1">
        <w:t xml:space="preserve">, as well as studies on direct effects on forest soils </w:t>
      </w:r>
      <w:r w:rsidRPr="009867C1">
        <w:fldChar w:fldCharType="begin"/>
      </w:r>
      <w:r w:rsidR="00AC0205">
        <w:instrText xml:space="preserve"> ADDIN ZOTERO_ITEM CSL_CITATION {"citationID":"lX4Jm7Cj","properties":{"formattedCitation":"(Drake et al., 2005)","plainCitation":"(Drake et al., 2005)","noteIndex":0},"citationItems":[{"id":795,"uris":["http://zotero.org/users/2189142/items/RN834UDP"],"itemData":{"id":795,"type":"article-journal","container-title":"Northwest Science","issue":"1","page":"61–71","source":"Google Scholar","title":"Salmon decay and nutrient contributions to riparian forest soils","volume":"79","author":[{"family":"Drake","given":"Deanne C."},{"family":"Smith","given":"Jaron V."},{"family":"Naiman","given":"Robert J."}],"issued":{"date-parts":[["2005"]]},"citation-key":"drake_2005"}}],"schema":"https://github.com/citation-style-language/schema/raw/master/csl-citation.json"} </w:instrText>
      </w:r>
      <w:r w:rsidRPr="009867C1">
        <w:fldChar w:fldCharType="separate"/>
      </w:r>
      <w:r w:rsidR="0042141C" w:rsidRPr="009867C1">
        <w:t>(Drake et al., 2005)</w:t>
      </w:r>
      <w:r w:rsidRPr="009867C1">
        <w:fldChar w:fldCharType="end"/>
      </w:r>
      <w:r w:rsidRPr="009867C1">
        <w:t xml:space="preserve"> </w:t>
      </w:r>
      <w:r w:rsidRPr="00A00C0E">
        <w:t>(Chapter 1</w:t>
      </w:r>
      <w:r w:rsidRPr="009867C1">
        <w:t xml:space="preserve">).  These findings confirm in particular previous findings of increased nitrate and ammonium from salmon inputs, and are consistent with general net fertility gains from salmon inputs at these sites. </w:t>
      </w:r>
    </w:p>
    <w:p w14:paraId="642F0C0F" w14:textId="77777777" w:rsidR="00223F7A" w:rsidRPr="009867C1" w:rsidRDefault="00223F7A" w:rsidP="00223F7A">
      <w:pPr>
        <w:ind w:firstLine="720"/>
        <w:rPr>
          <w:lang w:val="en-CA"/>
        </w:rPr>
      </w:pPr>
    </w:p>
    <w:p w14:paraId="7BEE8FBC" w14:textId="6D0AA7BD" w:rsidR="00223F7A" w:rsidRPr="009867C1" w:rsidRDefault="00F70853" w:rsidP="00223F7A">
      <w:pPr>
        <w:pStyle w:val="Heading3"/>
      </w:pPr>
      <w:bookmarkStart w:id="62" w:name="_Toc99385430"/>
      <w:r w:rsidRPr="009867C1">
        <w:t>Tables and Figures</w:t>
      </w:r>
      <w:bookmarkEnd w:id="62"/>
    </w:p>
    <w:p w14:paraId="0A0D1BE8" w14:textId="3FB4850B" w:rsidR="00223F7A" w:rsidRPr="009867C1" w:rsidRDefault="00223F7A" w:rsidP="00223F7A">
      <w:pPr>
        <w:pStyle w:val="Caption"/>
        <w:keepNext/>
      </w:pPr>
      <w:bookmarkStart w:id="63" w:name="_Ref73022722"/>
      <w:bookmarkStart w:id="64" w:name="_Toc74949405"/>
      <w:r w:rsidRPr="009867C1">
        <w:t xml:space="preserve">Table </w:t>
      </w:r>
      <w:r w:rsidR="008C26C1">
        <w:fldChar w:fldCharType="begin"/>
      </w:r>
      <w:r w:rsidR="008C26C1">
        <w:instrText xml:space="preserve"> STYLEREF 2 \s </w:instrText>
      </w:r>
      <w:r w:rsidR="008C26C1">
        <w:fldChar w:fldCharType="separate"/>
      </w:r>
      <w:r w:rsidR="000667DB">
        <w:rPr>
          <w:noProof/>
        </w:rPr>
        <w:t>2</w:t>
      </w:r>
      <w:r w:rsidR="008C26C1">
        <w:fldChar w:fldCharType="end"/>
      </w:r>
      <w:r w:rsidR="008C26C1">
        <w:noBreakHyphen/>
      </w:r>
      <w:r w:rsidR="008C26C1">
        <w:fldChar w:fldCharType="begin"/>
      </w:r>
      <w:r w:rsidR="008C26C1">
        <w:instrText xml:space="preserve"> SEQ Table \* ARABIC \s 2 </w:instrText>
      </w:r>
      <w:r w:rsidR="008C26C1">
        <w:fldChar w:fldCharType="separate"/>
      </w:r>
      <w:r w:rsidR="000667DB">
        <w:rPr>
          <w:noProof/>
        </w:rPr>
        <w:t>1</w:t>
      </w:r>
      <w:r w:rsidR="008C26C1">
        <w:fldChar w:fldCharType="end"/>
      </w:r>
      <w:bookmarkEnd w:id="63"/>
      <w:r w:rsidRPr="009867C1">
        <w:t>: Chemical groups examined in this study, as well as correlations with fertility and predictions with response to salmon nutrient inputs.</w:t>
      </w:r>
      <w:bookmarkEnd w:id="64"/>
      <w:r w:rsidRPr="009867C1">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992"/>
        <w:gridCol w:w="992"/>
        <w:gridCol w:w="1418"/>
        <w:gridCol w:w="2701"/>
        <w:gridCol w:w="1834"/>
      </w:tblGrid>
      <w:tr w:rsidR="00223F7A" w:rsidRPr="009867C1" w14:paraId="61E096C0" w14:textId="77777777" w:rsidTr="00BA6F95">
        <w:trPr>
          <w:trHeight w:val="300"/>
        </w:trPr>
        <w:tc>
          <w:tcPr>
            <w:tcW w:w="1413" w:type="dxa"/>
            <w:shd w:val="clear" w:color="auto" w:fill="auto"/>
            <w:noWrap/>
            <w:vAlign w:val="bottom"/>
            <w:hideMark/>
          </w:tcPr>
          <w:p w14:paraId="33F44975"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Group</w:t>
            </w:r>
          </w:p>
        </w:tc>
        <w:tc>
          <w:tcPr>
            <w:tcW w:w="992" w:type="dxa"/>
            <w:shd w:val="clear" w:color="auto" w:fill="auto"/>
            <w:noWrap/>
            <w:vAlign w:val="bottom"/>
            <w:hideMark/>
          </w:tcPr>
          <w:p w14:paraId="3DB2CD7E"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Chemical</w:t>
            </w:r>
          </w:p>
        </w:tc>
        <w:tc>
          <w:tcPr>
            <w:tcW w:w="992" w:type="dxa"/>
          </w:tcPr>
          <w:p w14:paraId="0F823943"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Correlation with fertility*</w:t>
            </w:r>
          </w:p>
        </w:tc>
        <w:tc>
          <w:tcPr>
            <w:tcW w:w="1418" w:type="dxa"/>
            <w:shd w:val="clear" w:color="auto" w:fill="auto"/>
            <w:noWrap/>
            <w:vAlign w:val="bottom"/>
            <w:hideMark/>
          </w:tcPr>
          <w:p w14:paraId="11DB74B1"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Predicted correlation with salmon</w:t>
            </w:r>
          </w:p>
        </w:tc>
        <w:tc>
          <w:tcPr>
            <w:tcW w:w="2701" w:type="dxa"/>
            <w:shd w:val="clear" w:color="auto" w:fill="auto"/>
            <w:noWrap/>
            <w:vAlign w:val="bottom"/>
          </w:tcPr>
          <w:p w14:paraId="2B186A5E"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Predicted mechanism</w:t>
            </w:r>
          </w:p>
        </w:tc>
        <w:tc>
          <w:tcPr>
            <w:tcW w:w="1834" w:type="dxa"/>
            <w:shd w:val="clear" w:color="auto" w:fill="auto"/>
            <w:noWrap/>
            <w:vAlign w:val="bottom"/>
          </w:tcPr>
          <w:p w14:paraId="62B5573C"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Representative reference</w:t>
            </w:r>
          </w:p>
        </w:tc>
      </w:tr>
      <w:tr w:rsidR="00223F7A" w:rsidRPr="009867C1" w14:paraId="23704028" w14:textId="77777777" w:rsidTr="00BA6F95">
        <w:trPr>
          <w:trHeight w:val="300"/>
        </w:trPr>
        <w:tc>
          <w:tcPr>
            <w:tcW w:w="1413" w:type="dxa"/>
            <w:tcBorders>
              <w:bottom w:val="single" w:sz="4" w:space="0" w:color="auto"/>
            </w:tcBorders>
            <w:shd w:val="clear" w:color="auto" w:fill="FFFFFF" w:themeFill="background1"/>
            <w:noWrap/>
            <w:vAlign w:val="bottom"/>
          </w:tcPr>
          <w:p w14:paraId="00042A8E"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Nitrogen compounds</w:t>
            </w:r>
          </w:p>
        </w:tc>
        <w:tc>
          <w:tcPr>
            <w:tcW w:w="992" w:type="dxa"/>
            <w:shd w:val="clear" w:color="auto" w:fill="FFFFFF" w:themeFill="background1"/>
            <w:noWrap/>
            <w:vAlign w:val="bottom"/>
          </w:tcPr>
          <w:p w14:paraId="3AE14528"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N (tot)</w:t>
            </w:r>
          </w:p>
        </w:tc>
        <w:tc>
          <w:tcPr>
            <w:tcW w:w="992" w:type="dxa"/>
            <w:shd w:val="clear" w:color="000000" w:fill="C6E0B4"/>
          </w:tcPr>
          <w:p w14:paraId="6F26D284"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positive</w:t>
            </w:r>
          </w:p>
        </w:tc>
        <w:tc>
          <w:tcPr>
            <w:tcW w:w="1418" w:type="dxa"/>
            <w:shd w:val="clear" w:color="000000" w:fill="C6E0B4"/>
            <w:noWrap/>
            <w:vAlign w:val="bottom"/>
          </w:tcPr>
          <w:p w14:paraId="3F67087D"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increase</w:t>
            </w:r>
          </w:p>
        </w:tc>
        <w:tc>
          <w:tcPr>
            <w:tcW w:w="2701" w:type="dxa"/>
            <w:shd w:val="clear" w:color="auto" w:fill="FFFFFF" w:themeFill="background1"/>
            <w:noWrap/>
            <w:vAlign w:val="bottom"/>
          </w:tcPr>
          <w:p w14:paraId="6EBD8B09"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Carcass deposition</w:t>
            </w:r>
          </w:p>
        </w:tc>
        <w:tc>
          <w:tcPr>
            <w:tcW w:w="1834" w:type="dxa"/>
            <w:shd w:val="clear" w:color="auto" w:fill="FFFFFF" w:themeFill="background1"/>
            <w:noWrap/>
            <w:vAlign w:val="bottom"/>
          </w:tcPr>
          <w:p w14:paraId="788BBA1F" w14:textId="39996751"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fldChar w:fldCharType="begin"/>
            </w:r>
            <w:r w:rsidR="00AC0205">
              <w:rPr>
                <w:rFonts w:ascii="Times New Roman" w:hAnsi="Times New Roman" w:cs="Times New Roman"/>
                <w:sz w:val="20"/>
                <w:szCs w:val="20"/>
              </w:rPr>
              <w:instrText xml:space="preserve"> ADDIN ZOTERO_ITEM CSL_CITATION {"citationID":"SqyDpCq2","properties":{"formattedCitation":"(Drake, 2005)","plainCitation":"(Drake, 2005)","noteIndex":0},"citationItems":[{"id":241,"uris":["http://zotero.org/users/2189142/items/STBQGJNS"],"itemData":{"id":241,"type":"thesis","publisher":"University of Washington","source":"Google Scholar","title":"The fate and influence of salmon nutrients in riparian soils and trees: seasonal to multi-century patterns","title-short":"The fate and influence of salmon nutrients in riparian soils and trees","URL":"http://weber.s.uw.edu/research/publications/ms_phd/Drake_D_PhD_W05.pdf","author":[{"family":"Drake","given":"Deanne. C."}],"accessed":{"date-parts":[["2015",6,24]]},"issued":{"date-parts":[["2005"]]},"citation-key":"drake_2005a"}}],"schema":"https://github.com/citation-style-language/schema/raw/master/csl-citation.json"} </w:instrText>
            </w:r>
            <w:r w:rsidRPr="009867C1">
              <w:rPr>
                <w:rFonts w:ascii="Times New Roman" w:hAnsi="Times New Roman" w:cs="Times New Roman"/>
                <w:sz w:val="20"/>
                <w:szCs w:val="20"/>
              </w:rPr>
              <w:fldChar w:fldCharType="separate"/>
            </w:r>
            <w:r w:rsidR="0042141C" w:rsidRPr="009867C1">
              <w:rPr>
                <w:rFonts w:ascii="Times New Roman" w:hAnsi="Times New Roman" w:cs="Times New Roman"/>
                <w:sz w:val="20"/>
              </w:rPr>
              <w:t>(Drake, 2005)</w:t>
            </w:r>
            <w:r w:rsidRPr="009867C1">
              <w:rPr>
                <w:rFonts w:ascii="Times New Roman" w:hAnsi="Times New Roman" w:cs="Times New Roman"/>
                <w:sz w:val="20"/>
                <w:szCs w:val="20"/>
              </w:rPr>
              <w:fldChar w:fldCharType="end"/>
            </w:r>
          </w:p>
        </w:tc>
      </w:tr>
      <w:tr w:rsidR="00223F7A" w:rsidRPr="009867C1" w14:paraId="2BF18E67" w14:textId="77777777" w:rsidTr="00BA6F95">
        <w:trPr>
          <w:trHeight w:val="300"/>
        </w:trPr>
        <w:tc>
          <w:tcPr>
            <w:tcW w:w="1413" w:type="dxa"/>
            <w:tcBorders>
              <w:top w:val="single" w:sz="4" w:space="0" w:color="auto"/>
              <w:left w:val="single" w:sz="4" w:space="0" w:color="auto"/>
              <w:bottom w:val="nil"/>
              <w:right w:val="single" w:sz="4" w:space="0" w:color="auto"/>
            </w:tcBorders>
            <w:shd w:val="clear" w:color="auto" w:fill="FFFFFF" w:themeFill="background1"/>
            <w:noWrap/>
            <w:vAlign w:val="bottom"/>
          </w:tcPr>
          <w:p w14:paraId="245A12FA" w14:textId="77777777" w:rsidR="00223F7A" w:rsidRPr="009867C1" w:rsidRDefault="00223F7A" w:rsidP="00BA6F95">
            <w:pPr>
              <w:pStyle w:val="NoSpacing"/>
              <w:rPr>
                <w:rFonts w:ascii="Times New Roman" w:hAnsi="Times New Roman" w:cs="Times New Roman"/>
                <w:sz w:val="20"/>
                <w:szCs w:val="20"/>
              </w:rPr>
            </w:pPr>
          </w:p>
        </w:tc>
        <w:tc>
          <w:tcPr>
            <w:tcW w:w="992" w:type="dxa"/>
            <w:tcBorders>
              <w:left w:val="single" w:sz="4" w:space="0" w:color="auto"/>
            </w:tcBorders>
            <w:shd w:val="clear" w:color="auto" w:fill="FFFFFF" w:themeFill="background1"/>
            <w:noWrap/>
            <w:vAlign w:val="bottom"/>
          </w:tcPr>
          <w:p w14:paraId="2E96CF7F"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NH</w:t>
            </w:r>
            <w:r w:rsidRPr="009867C1">
              <w:rPr>
                <w:rFonts w:ascii="Times New Roman" w:hAnsi="Times New Roman" w:cs="Times New Roman"/>
                <w:sz w:val="20"/>
                <w:szCs w:val="20"/>
                <w:vertAlign w:val="subscript"/>
              </w:rPr>
              <w:t>4</w:t>
            </w:r>
            <w:r w:rsidRPr="009867C1">
              <w:rPr>
                <w:rFonts w:ascii="Times New Roman" w:hAnsi="Times New Roman" w:cs="Times New Roman"/>
                <w:sz w:val="20"/>
                <w:szCs w:val="20"/>
              </w:rPr>
              <w:t>+</w:t>
            </w:r>
          </w:p>
        </w:tc>
        <w:tc>
          <w:tcPr>
            <w:tcW w:w="992" w:type="dxa"/>
            <w:shd w:val="clear" w:color="000000" w:fill="C6E0B4"/>
          </w:tcPr>
          <w:p w14:paraId="6AA30A55"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positive</w:t>
            </w:r>
          </w:p>
        </w:tc>
        <w:tc>
          <w:tcPr>
            <w:tcW w:w="1418" w:type="dxa"/>
            <w:shd w:val="clear" w:color="000000" w:fill="C6E0B4"/>
            <w:noWrap/>
            <w:vAlign w:val="bottom"/>
          </w:tcPr>
          <w:p w14:paraId="0BD05EDC"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increase</w:t>
            </w:r>
          </w:p>
        </w:tc>
        <w:tc>
          <w:tcPr>
            <w:tcW w:w="2701" w:type="dxa"/>
            <w:shd w:val="clear" w:color="auto" w:fill="FFFFFF" w:themeFill="background1"/>
            <w:noWrap/>
            <w:vAlign w:val="bottom"/>
          </w:tcPr>
          <w:p w14:paraId="53D3DAB0"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Carcass deposition</w:t>
            </w:r>
          </w:p>
        </w:tc>
        <w:tc>
          <w:tcPr>
            <w:tcW w:w="1834" w:type="dxa"/>
            <w:shd w:val="clear" w:color="auto" w:fill="FFFFFF" w:themeFill="background1"/>
            <w:noWrap/>
            <w:vAlign w:val="bottom"/>
          </w:tcPr>
          <w:p w14:paraId="017977B2" w14:textId="47DE9A92"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fldChar w:fldCharType="begin"/>
            </w:r>
            <w:r w:rsidR="00AC0205">
              <w:rPr>
                <w:rFonts w:ascii="Times New Roman" w:hAnsi="Times New Roman" w:cs="Times New Roman"/>
                <w:sz w:val="20"/>
                <w:szCs w:val="20"/>
              </w:rPr>
              <w:instrText xml:space="preserve"> ADDIN ZOTERO_ITEM CSL_CITATION {"citationID":"4u4Y7xnV","properties":{"formattedCitation":"(Drake, 2005)","plainCitation":"(Drake, 2005)","noteIndex":0},"citationItems":[{"id":241,"uris":["http://zotero.org/users/2189142/items/STBQGJNS"],"itemData":{"id":241,"type":"thesis","publisher":"University of Washington","source":"Google Scholar","title":"The fate and influence of salmon nutrients in riparian soils and trees: seasonal to multi-century patterns","title-short":"The fate and influence of salmon nutrients in riparian soils and trees","URL":"http://weber.s.uw.edu/research/publications/ms_phd/Drake_D_PhD_W05.pdf","author":[{"family":"Drake","given":"Deanne. C."}],"accessed":{"date-parts":[["2015",6,24]]},"issued":{"date-parts":[["2005"]]},"citation-key":"drake_2005a"}}],"schema":"https://github.com/citation-style-language/schema/raw/master/csl-citation.json"} </w:instrText>
            </w:r>
            <w:r w:rsidRPr="009867C1">
              <w:rPr>
                <w:rFonts w:ascii="Times New Roman" w:hAnsi="Times New Roman" w:cs="Times New Roman"/>
                <w:sz w:val="20"/>
                <w:szCs w:val="20"/>
              </w:rPr>
              <w:fldChar w:fldCharType="separate"/>
            </w:r>
            <w:r w:rsidR="0042141C" w:rsidRPr="009867C1">
              <w:rPr>
                <w:rFonts w:ascii="Times New Roman" w:hAnsi="Times New Roman" w:cs="Times New Roman"/>
                <w:sz w:val="20"/>
              </w:rPr>
              <w:t>(Drake, 2005)</w:t>
            </w:r>
            <w:r w:rsidRPr="009867C1">
              <w:rPr>
                <w:rFonts w:ascii="Times New Roman" w:hAnsi="Times New Roman" w:cs="Times New Roman"/>
                <w:sz w:val="20"/>
                <w:szCs w:val="20"/>
              </w:rPr>
              <w:fldChar w:fldCharType="end"/>
            </w:r>
          </w:p>
        </w:tc>
      </w:tr>
      <w:tr w:rsidR="00223F7A" w:rsidRPr="009867C1" w14:paraId="77C7DFD3" w14:textId="77777777" w:rsidTr="00BA6F95">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tcPr>
          <w:p w14:paraId="6CF0DBBC" w14:textId="77777777" w:rsidR="00223F7A" w:rsidRPr="009867C1" w:rsidRDefault="00223F7A" w:rsidP="00BA6F95">
            <w:pPr>
              <w:pStyle w:val="NoSpacing"/>
              <w:rPr>
                <w:rFonts w:ascii="Times New Roman" w:hAnsi="Times New Roman" w:cs="Times New Roman"/>
                <w:sz w:val="20"/>
                <w:szCs w:val="20"/>
              </w:rPr>
            </w:pPr>
          </w:p>
        </w:tc>
        <w:tc>
          <w:tcPr>
            <w:tcW w:w="992" w:type="dxa"/>
            <w:tcBorders>
              <w:left w:val="single" w:sz="4" w:space="0" w:color="auto"/>
            </w:tcBorders>
            <w:shd w:val="clear" w:color="auto" w:fill="FFFFFF" w:themeFill="background1"/>
            <w:noWrap/>
            <w:vAlign w:val="bottom"/>
          </w:tcPr>
          <w:p w14:paraId="6F2AAA3A"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NO</w:t>
            </w:r>
            <w:r w:rsidRPr="009867C1">
              <w:rPr>
                <w:rFonts w:ascii="Times New Roman" w:hAnsi="Times New Roman" w:cs="Times New Roman"/>
                <w:sz w:val="20"/>
                <w:szCs w:val="20"/>
                <w:vertAlign w:val="subscript"/>
              </w:rPr>
              <w:t>3</w:t>
            </w:r>
            <w:r w:rsidRPr="009867C1">
              <w:rPr>
                <w:rFonts w:ascii="Times New Roman" w:hAnsi="Times New Roman" w:cs="Times New Roman"/>
                <w:sz w:val="20"/>
                <w:szCs w:val="20"/>
                <w:vertAlign w:val="superscript"/>
              </w:rPr>
              <w:t>-</w:t>
            </w:r>
          </w:p>
        </w:tc>
        <w:tc>
          <w:tcPr>
            <w:tcW w:w="992" w:type="dxa"/>
            <w:shd w:val="clear" w:color="000000" w:fill="C6E0B4"/>
          </w:tcPr>
          <w:p w14:paraId="52D15D18"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positive</w:t>
            </w:r>
          </w:p>
        </w:tc>
        <w:tc>
          <w:tcPr>
            <w:tcW w:w="1418" w:type="dxa"/>
            <w:shd w:val="clear" w:color="000000" w:fill="C6E0B4"/>
            <w:noWrap/>
            <w:vAlign w:val="bottom"/>
          </w:tcPr>
          <w:p w14:paraId="44ED3C75"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increase</w:t>
            </w:r>
          </w:p>
        </w:tc>
        <w:tc>
          <w:tcPr>
            <w:tcW w:w="2701" w:type="dxa"/>
            <w:shd w:val="clear" w:color="auto" w:fill="FFFFFF" w:themeFill="background1"/>
            <w:noWrap/>
            <w:vAlign w:val="bottom"/>
          </w:tcPr>
          <w:p w14:paraId="5C352D11"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Carcass deposition</w:t>
            </w:r>
          </w:p>
        </w:tc>
        <w:tc>
          <w:tcPr>
            <w:tcW w:w="1834" w:type="dxa"/>
            <w:shd w:val="clear" w:color="auto" w:fill="FFFFFF" w:themeFill="background1"/>
            <w:noWrap/>
            <w:vAlign w:val="bottom"/>
          </w:tcPr>
          <w:p w14:paraId="7F0ED9D6" w14:textId="3E6C76A3"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fldChar w:fldCharType="begin"/>
            </w:r>
            <w:r w:rsidR="00AC0205">
              <w:rPr>
                <w:rFonts w:ascii="Times New Roman" w:hAnsi="Times New Roman" w:cs="Times New Roman"/>
                <w:sz w:val="20"/>
                <w:szCs w:val="20"/>
              </w:rPr>
              <w:instrText xml:space="preserve"> ADDIN ZOTERO_ITEM CSL_CITATION {"citationID":"qr1s3DwS","properties":{"formattedCitation":"(Drake, 2005)","plainCitation":"(Drake, 2005)","noteIndex":0},"citationItems":[{"id":241,"uris":["http://zotero.org/users/2189142/items/STBQGJNS"],"itemData":{"id":241,"type":"thesis","publisher":"University of Washington","source":"Google Scholar","title":"The fate and influence of salmon nutrients in riparian soils and trees: seasonal to multi-century patterns","title-short":"The fate and influence of salmon nutrients in riparian soils and trees","URL":"http://weber.s.uw.edu/research/publications/ms_phd/Drake_D_PhD_W05.pdf","author":[{"family":"Drake","given":"Deanne. C."}],"accessed":{"date-parts":[["2015",6,24]]},"issued":{"date-parts":[["2005"]]},"citation-key":"drake_2005a"}}],"schema":"https://github.com/citation-style-language/schema/raw/master/csl-citation.json"} </w:instrText>
            </w:r>
            <w:r w:rsidRPr="009867C1">
              <w:rPr>
                <w:rFonts w:ascii="Times New Roman" w:hAnsi="Times New Roman" w:cs="Times New Roman"/>
                <w:sz w:val="20"/>
                <w:szCs w:val="20"/>
              </w:rPr>
              <w:fldChar w:fldCharType="separate"/>
            </w:r>
            <w:r w:rsidR="0042141C" w:rsidRPr="009867C1">
              <w:rPr>
                <w:rFonts w:ascii="Times New Roman" w:hAnsi="Times New Roman" w:cs="Times New Roman"/>
                <w:sz w:val="20"/>
              </w:rPr>
              <w:t>(Drake, 2005)</w:t>
            </w:r>
            <w:r w:rsidRPr="009867C1">
              <w:rPr>
                <w:rFonts w:ascii="Times New Roman" w:hAnsi="Times New Roman" w:cs="Times New Roman"/>
                <w:sz w:val="20"/>
                <w:szCs w:val="20"/>
              </w:rPr>
              <w:fldChar w:fldCharType="end"/>
            </w:r>
          </w:p>
        </w:tc>
      </w:tr>
      <w:tr w:rsidR="00223F7A" w:rsidRPr="009867C1" w14:paraId="062FE479" w14:textId="77777777" w:rsidTr="00BA6F95">
        <w:trPr>
          <w:trHeight w:val="300"/>
        </w:trPr>
        <w:tc>
          <w:tcPr>
            <w:tcW w:w="1413" w:type="dxa"/>
            <w:tcBorders>
              <w:top w:val="single" w:sz="4" w:space="0" w:color="auto"/>
              <w:bottom w:val="single" w:sz="4" w:space="0" w:color="auto"/>
            </w:tcBorders>
            <w:shd w:val="clear" w:color="auto" w:fill="FFFFFF" w:themeFill="background1"/>
            <w:noWrap/>
            <w:vAlign w:val="bottom"/>
          </w:tcPr>
          <w:p w14:paraId="49E28FDF"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Organics</w:t>
            </w:r>
          </w:p>
        </w:tc>
        <w:tc>
          <w:tcPr>
            <w:tcW w:w="992" w:type="dxa"/>
            <w:shd w:val="clear" w:color="auto" w:fill="FFFFFF" w:themeFill="background1"/>
            <w:noWrap/>
            <w:vAlign w:val="bottom"/>
          </w:tcPr>
          <w:p w14:paraId="13B63F59"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P (ex)</w:t>
            </w:r>
          </w:p>
        </w:tc>
        <w:tc>
          <w:tcPr>
            <w:tcW w:w="992" w:type="dxa"/>
            <w:shd w:val="clear" w:color="000000" w:fill="C6E0B4"/>
          </w:tcPr>
          <w:p w14:paraId="51A8EAEF"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positive</w:t>
            </w:r>
          </w:p>
        </w:tc>
        <w:tc>
          <w:tcPr>
            <w:tcW w:w="1418" w:type="dxa"/>
            <w:shd w:val="clear" w:color="000000" w:fill="C6E0B4"/>
            <w:noWrap/>
            <w:vAlign w:val="bottom"/>
          </w:tcPr>
          <w:p w14:paraId="5849B61A"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increase</w:t>
            </w:r>
          </w:p>
        </w:tc>
        <w:tc>
          <w:tcPr>
            <w:tcW w:w="2701" w:type="dxa"/>
            <w:shd w:val="clear" w:color="auto" w:fill="FFFFFF" w:themeFill="background1"/>
            <w:noWrap/>
            <w:vAlign w:val="bottom"/>
          </w:tcPr>
          <w:p w14:paraId="1EDBF723"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Carcass deposition</w:t>
            </w:r>
          </w:p>
        </w:tc>
        <w:tc>
          <w:tcPr>
            <w:tcW w:w="1834" w:type="dxa"/>
            <w:shd w:val="clear" w:color="auto" w:fill="FFFFFF" w:themeFill="background1"/>
            <w:noWrap/>
            <w:vAlign w:val="bottom"/>
          </w:tcPr>
          <w:p w14:paraId="77A4BE92" w14:textId="6AA61EA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fldChar w:fldCharType="begin"/>
            </w:r>
            <w:r w:rsidR="00AC0205">
              <w:rPr>
                <w:rFonts w:ascii="Times New Roman" w:hAnsi="Times New Roman" w:cs="Times New Roman"/>
                <w:sz w:val="20"/>
                <w:szCs w:val="20"/>
              </w:rPr>
              <w:instrText xml:space="preserve"> ADDIN ZOTERO_ITEM CSL_CITATION {"citationID":"qedMYQu9","properties":{"formattedCitation":"(Drake, 2005)","plainCitation":"(Drake, 2005)","noteIndex":0},"citationItems":[{"id":241,"uris":["http://zotero.org/users/2189142/items/STBQGJNS"],"itemData":{"id":241,"type":"thesis","publisher":"University of Washington","source":"Google Scholar","title":"The fate and influence of salmon nutrients in riparian soils and trees: seasonal to multi-century patterns","title-short":"The fate and influence of salmon nutrients in riparian soils and trees","URL":"http://weber.s.uw.edu/research/publications/ms_phd/Drake_D_PhD_W05.pdf","author":[{"family":"Drake","given":"Deanne. C."}],"accessed":{"date-parts":[["2015",6,24]]},"issued":{"date-parts":[["2005"]]},"citation-key":"drake_2005a"}}],"schema":"https://github.com/citation-style-language/schema/raw/master/csl-citation.json"} </w:instrText>
            </w:r>
            <w:r w:rsidRPr="009867C1">
              <w:rPr>
                <w:rFonts w:ascii="Times New Roman" w:hAnsi="Times New Roman" w:cs="Times New Roman"/>
                <w:sz w:val="20"/>
                <w:szCs w:val="20"/>
              </w:rPr>
              <w:fldChar w:fldCharType="separate"/>
            </w:r>
            <w:r w:rsidR="0042141C" w:rsidRPr="009867C1">
              <w:rPr>
                <w:rFonts w:ascii="Times New Roman" w:hAnsi="Times New Roman" w:cs="Times New Roman"/>
                <w:sz w:val="20"/>
              </w:rPr>
              <w:t>(Drake, 2005)</w:t>
            </w:r>
            <w:r w:rsidRPr="009867C1">
              <w:rPr>
                <w:rFonts w:ascii="Times New Roman" w:hAnsi="Times New Roman" w:cs="Times New Roman"/>
                <w:sz w:val="20"/>
                <w:szCs w:val="20"/>
              </w:rPr>
              <w:fldChar w:fldCharType="end"/>
            </w:r>
          </w:p>
        </w:tc>
      </w:tr>
      <w:tr w:rsidR="00223F7A" w:rsidRPr="009867C1" w14:paraId="5B617862" w14:textId="77777777" w:rsidTr="00BA6F95">
        <w:trPr>
          <w:trHeight w:val="300"/>
        </w:trPr>
        <w:tc>
          <w:tcPr>
            <w:tcW w:w="1413" w:type="dxa"/>
            <w:tcBorders>
              <w:top w:val="single" w:sz="4" w:space="0" w:color="auto"/>
              <w:left w:val="single" w:sz="4" w:space="0" w:color="auto"/>
              <w:bottom w:val="nil"/>
              <w:right w:val="single" w:sz="4" w:space="0" w:color="auto"/>
            </w:tcBorders>
            <w:shd w:val="clear" w:color="auto" w:fill="FFFFFF" w:themeFill="background1"/>
            <w:noWrap/>
            <w:vAlign w:val="bottom"/>
          </w:tcPr>
          <w:p w14:paraId="765CAC21" w14:textId="77777777" w:rsidR="00223F7A" w:rsidRPr="009867C1" w:rsidRDefault="00223F7A" w:rsidP="00BA6F95">
            <w:pPr>
              <w:pStyle w:val="NoSpacing"/>
              <w:rPr>
                <w:rFonts w:ascii="Times New Roman" w:hAnsi="Times New Roman" w:cs="Times New Roman"/>
                <w:sz w:val="20"/>
                <w:szCs w:val="20"/>
              </w:rPr>
            </w:pPr>
          </w:p>
        </w:tc>
        <w:tc>
          <w:tcPr>
            <w:tcW w:w="992" w:type="dxa"/>
            <w:tcBorders>
              <w:left w:val="single" w:sz="4" w:space="0" w:color="auto"/>
            </w:tcBorders>
            <w:shd w:val="clear" w:color="auto" w:fill="FFFFFF" w:themeFill="background1"/>
            <w:noWrap/>
            <w:vAlign w:val="bottom"/>
          </w:tcPr>
          <w:p w14:paraId="5C445457"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pH</w:t>
            </w:r>
          </w:p>
        </w:tc>
        <w:tc>
          <w:tcPr>
            <w:tcW w:w="992" w:type="dxa"/>
            <w:shd w:val="clear" w:color="000000" w:fill="C6E0B4"/>
          </w:tcPr>
          <w:p w14:paraId="44646C3D"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positive</w:t>
            </w:r>
          </w:p>
        </w:tc>
        <w:tc>
          <w:tcPr>
            <w:tcW w:w="1418" w:type="dxa"/>
            <w:shd w:val="clear" w:color="000000" w:fill="C6E0B4"/>
            <w:noWrap/>
            <w:vAlign w:val="bottom"/>
          </w:tcPr>
          <w:p w14:paraId="5B9949CF"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decrease</w:t>
            </w:r>
          </w:p>
        </w:tc>
        <w:tc>
          <w:tcPr>
            <w:tcW w:w="2701" w:type="dxa"/>
            <w:shd w:val="clear" w:color="auto" w:fill="FFFFFF" w:themeFill="background1"/>
            <w:noWrap/>
            <w:vAlign w:val="bottom"/>
          </w:tcPr>
          <w:p w14:paraId="22B16863"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Nitrogen-associated acidification</w:t>
            </w:r>
          </w:p>
        </w:tc>
        <w:tc>
          <w:tcPr>
            <w:tcW w:w="1834" w:type="dxa"/>
            <w:shd w:val="clear" w:color="auto" w:fill="FFFFFF" w:themeFill="background1"/>
            <w:noWrap/>
            <w:vAlign w:val="bottom"/>
          </w:tcPr>
          <w:p w14:paraId="0AFE5DCF" w14:textId="75FB545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fldChar w:fldCharType="begin"/>
            </w:r>
            <w:r w:rsidR="00AC0205">
              <w:rPr>
                <w:rFonts w:ascii="Times New Roman" w:hAnsi="Times New Roman" w:cs="Times New Roman"/>
                <w:sz w:val="20"/>
                <w:szCs w:val="20"/>
              </w:rPr>
              <w:instrText xml:space="preserve"> ADDIN ZOTERO_ITEM CSL_CITATION {"citationID":"xQdxhpcS","properties":{"formattedCitation":"(D. Tian &amp; Niu, 2015)","plainCitation":"(D. Tian &amp; Niu, 2015)","noteIndex":0},"citationItems":[{"id":164,"uris":["http://zotero.org/users/2189142/items/HSTAI8Q3"],"itemData":{"id":164,"type":"article-journal","abstract":"Nitrogen (N) deposition-induced soil acidification has become a global problem. However, the response patterns of soil acidification to N addition and the underlying mechanisms remain far from clear. Here, we conducted a meta-analysis of 106 studies to reveal global patterns of soil acidification in responses to N addition. We found that N addition significantly reduced soil pH by 0.26 on average globally. However, the responses of soil pH varied with ecosystem types, N addition rate, N fertilization forms, and experimental durations. Soil pH decreased most in grassland, whereas boreal forest was not observed a decrease to N addition in soil acidification. Soil pH decreased linearly with N addition rates. Addition of urea and NH4NO3 contributed more to soil acidification than NH4-form fertilizer. When experimental duration was longer than 20 years, N addition effects on soil acidification diminished. Environmental factors such as initial soil pH, soil carbon and nitrogen content, precipitation, and temperature all influenced the responses of soil pH. Base cations of Ca2+, Mg2+ and K+ were critical important in buffering against N-induced soil acidification at the early stage. However, N addition has shifted global soils into the Al3+ buffering phase. Overall, this study indicates that acidification in global soils is very sensitive to N deposition, which is greatly modified by biotic and abiotic factors. Global soils are now at a buffering transition from base cations (Ca2+, Mg2+ and K+) to non-base cations (Mn2+ and Al3+). This calls our attention to care about the limitation of base cations and the toxic impact of non-base cations for terrestrial ecosystems with N deposition.","container-title":"Environmental Research Letters","DOI":"10.1088/1748-9326/10/2/024019","ISSN":"1748-9326","issue":"2","journalAbbreviation":"Environ. Res. Lett.","language":"en","note":"publisher: IOP Publishing","page":"024019","source":"Institute of Physics","title":"A global analysis of soil acidification caused by nitrogen addition","volume":"10","author":[{"family":"Tian","given":"Dashuan"},{"family":"Niu","given":"Shuli"}],"issued":{"date-parts":[["2015",2]]},"citation-key":"tian_2015"}}],"schema":"https://github.com/citation-style-language/schema/raw/master/csl-citation.json"} </w:instrText>
            </w:r>
            <w:r w:rsidRPr="009867C1">
              <w:rPr>
                <w:rFonts w:ascii="Times New Roman" w:hAnsi="Times New Roman" w:cs="Times New Roman"/>
                <w:sz w:val="20"/>
                <w:szCs w:val="20"/>
              </w:rPr>
              <w:fldChar w:fldCharType="separate"/>
            </w:r>
            <w:r w:rsidR="0042141C" w:rsidRPr="009867C1">
              <w:rPr>
                <w:rFonts w:ascii="Times New Roman" w:hAnsi="Times New Roman" w:cs="Times New Roman"/>
                <w:sz w:val="20"/>
              </w:rPr>
              <w:t>(D. Tian &amp; Niu, 2015)</w:t>
            </w:r>
            <w:r w:rsidRPr="009867C1">
              <w:rPr>
                <w:rFonts w:ascii="Times New Roman" w:hAnsi="Times New Roman" w:cs="Times New Roman"/>
                <w:sz w:val="20"/>
                <w:szCs w:val="20"/>
              </w:rPr>
              <w:fldChar w:fldCharType="end"/>
            </w:r>
          </w:p>
        </w:tc>
      </w:tr>
      <w:tr w:rsidR="00223F7A" w:rsidRPr="009867C1" w14:paraId="1FDC7122" w14:textId="77777777" w:rsidTr="00BA6F95">
        <w:trPr>
          <w:trHeight w:val="300"/>
        </w:trPr>
        <w:tc>
          <w:tcPr>
            <w:tcW w:w="1413" w:type="dxa"/>
            <w:tcBorders>
              <w:top w:val="nil"/>
              <w:left w:val="single" w:sz="4" w:space="0" w:color="auto"/>
              <w:bottom w:val="nil"/>
              <w:right w:val="single" w:sz="4" w:space="0" w:color="auto"/>
            </w:tcBorders>
            <w:shd w:val="clear" w:color="auto" w:fill="FFFFFF" w:themeFill="background1"/>
            <w:noWrap/>
            <w:vAlign w:val="bottom"/>
          </w:tcPr>
          <w:p w14:paraId="45542B8E" w14:textId="77777777" w:rsidR="00223F7A" w:rsidRPr="009867C1" w:rsidRDefault="00223F7A" w:rsidP="00BA6F95">
            <w:pPr>
              <w:pStyle w:val="NoSpacing"/>
              <w:rPr>
                <w:rFonts w:ascii="Times New Roman" w:hAnsi="Times New Roman" w:cs="Times New Roman"/>
                <w:sz w:val="20"/>
                <w:szCs w:val="20"/>
              </w:rPr>
            </w:pPr>
          </w:p>
        </w:tc>
        <w:tc>
          <w:tcPr>
            <w:tcW w:w="992" w:type="dxa"/>
            <w:tcBorders>
              <w:left w:val="single" w:sz="4" w:space="0" w:color="auto"/>
            </w:tcBorders>
            <w:shd w:val="clear" w:color="auto" w:fill="FFFFFF" w:themeFill="background1"/>
            <w:noWrap/>
            <w:vAlign w:val="bottom"/>
          </w:tcPr>
          <w:p w14:paraId="4917CC43"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C (tot)</w:t>
            </w:r>
          </w:p>
        </w:tc>
        <w:tc>
          <w:tcPr>
            <w:tcW w:w="992" w:type="dxa"/>
            <w:shd w:val="clear" w:color="000000" w:fill="C6E0B4"/>
          </w:tcPr>
          <w:p w14:paraId="310412D6"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positive</w:t>
            </w:r>
          </w:p>
        </w:tc>
        <w:tc>
          <w:tcPr>
            <w:tcW w:w="1418" w:type="dxa"/>
            <w:shd w:val="clear" w:color="000000" w:fill="C6E0B4"/>
            <w:noWrap/>
            <w:vAlign w:val="bottom"/>
          </w:tcPr>
          <w:p w14:paraId="0453762F"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increase</w:t>
            </w:r>
          </w:p>
        </w:tc>
        <w:tc>
          <w:tcPr>
            <w:tcW w:w="2701" w:type="dxa"/>
            <w:shd w:val="clear" w:color="auto" w:fill="FFFFFF" w:themeFill="background1"/>
            <w:noWrap/>
            <w:vAlign w:val="bottom"/>
          </w:tcPr>
          <w:p w14:paraId="10E9A5C5"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Litter from increased fertility</w:t>
            </w:r>
          </w:p>
        </w:tc>
        <w:tc>
          <w:tcPr>
            <w:tcW w:w="1834" w:type="dxa"/>
            <w:shd w:val="clear" w:color="auto" w:fill="FFFFFF" w:themeFill="background1"/>
            <w:noWrap/>
            <w:vAlign w:val="bottom"/>
          </w:tcPr>
          <w:p w14:paraId="6E892EFC" w14:textId="7C3B03A6"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fldChar w:fldCharType="begin"/>
            </w:r>
            <w:r w:rsidR="00AC0205">
              <w:rPr>
                <w:rFonts w:ascii="Times New Roman" w:hAnsi="Times New Roman" w:cs="Times New Roman"/>
                <w:sz w:val="20"/>
                <w:szCs w:val="20"/>
              </w:rPr>
              <w:instrText xml:space="preserve"> ADDIN ZOTERO_ITEM CSL_CITATION {"citationID":"kjyJhnfZ","properties":{"formattedCitation":"(Knorr et al., 2005)","plainCitation":"(Knorr et al., 2005)","noteIndex":0},"citationItems":[{"id":10000,"uris":["http://zotero.org/users/2189142/items/S548RUAM"],"itemData":{"id":10000,"type":"article-journal","abstract":"We conducted a meta-analysis of previously published empirical studies that have examined the effects of nitrogen (N) enrichment on litter decomposition. Our objective was to provide a synthesis of existing data that comprehensively and quantitatively evaluates how environmental and experimental factors interact with N additions to influence litter mass loss. Nitrogen enrichment, when averaged across all studies, had no statistically significant effect on litter decay. However, we observed significant effects of fertilization rate, site-specific ambient N-deposition level, and litter quality. Litter decomposition was inhibited by N additions when fertilization rates were 2–20 times the anthropogenic N-deposition level, when ambient N deposition was 5–10 kg N·ha−1·yr−1, or when litter quality was low (typically high-lignin litters). Decomposition was stimulated at field sites exposed to low ambient N deposition (&lt;5 kg N·ha−1·yr−1) and for high-quality (low-lignin) litters. Fertilizer type, litterbag mesh size, and climate did not influence the litter decay response to N additions.","container-title":"Ecology","DOI":"https://doi.org/10.1890/05-0150","ISSN":"1939-9170","issue":"12","language":"en","note":"_eprint: https://onlinelibrary.wiley.com/doi/pdf/10.1890/05-0150","page":"3252-3257","source":"Wiley Online Library","title":"Nitrogen Additions and Litter Decomposition: A Meta-Analysis","title-short":"Nitrogen Additions and Litter Decomposition","volume":"86","author":[{"family":"Knorr","given":"M."},{"family":"Frey","given":"S. D."},{"family":"Curtis","given":"P. S."}],"issued":{"date-parts":[["2005"]]},"citation-key":"knorr_2005"}}],"schema":"https://github.com/citation-style-language/schema/raw/master/csl-citation.json"} </w:instrText>
            </w:r>
            <w:r w:rsidRPr="009867C1">
              <w:rPr>
                <w:rFonts w:ascii="Times New Roman" w:hAnsi="Times New Roman" w:cs="Times New Roman"/>
                <w:sz w:val="20"/>
                <w:szCs w:val="20"/>
              </w:rPr>
              <w:fldChar w:fldCharType="separate"/>
            </w:r>
            <w:r w:rsidR="0042141C" w:rsidRPr="009867C1">
              <w:rPr>
                <w:rFonts w:ascii="Times New Roman" w:hAnsi="Times New Roman" w:cs="Times New Roman"/>
                <w:sz w:val="20"/>
              </w:rPr>
              <w:t>(Knorr et al., 2005)</w:t>
            </w:r>
            <w:r w:rsidRPr="009867C1">
              <w:rPr>
                <w:rFonts w:ascii="Times New Roman" w:hAnsi="Times New Roman" w:cs="Times New Roman"/>
                <w:sz w:val="20"/>
                <w:szCs w:val="20"/>
              </w:rPr>
              <w:fldChar w:fldCharType="end"/>
            </w:r>
          </w:p>
        </w:tc>
      </w:tr>
      <w:tr w:rsidR="00223F7A" w:rsidRPr="009867C1" w14:paraId="68909BDE" w14:textId="77777777" w:rsidTr="00BA6F95">
        <w:trPr>
          <w:trHeight w:val="300"/>
        </w:trPr>
        <w:tc>
          <w:tcPr>
            <w:tcW w:w="1413" w:type="dxa"/>
            <w:tcBorders>
              <w:top w:val="nil"/>
              <w:left w:val="single" w:sz="4" w:space="0" w:color="auto"/>
              <w:bottom w:val="nil"/>
              <w:right w:val="single" w:sz="4" w:space="0" w:color="auto"/>
            </w:tcBorders>
            <w:shd w:val="clear" w:color="auto" w:fill="FFFFFF" w:themeFill="background1"/>
            <w:noWrap/>
            <w:vAlign w:val="bottom"/>
          </w:tcPr>
          <w:p w14:paraId="66ECFB4B" w14:textId="77777777" w:rsidR="00223F7A" w:rsidRPr="009867C1" w:rsidRDefault="00223F7A" w:rsidP="00BA6F95">
            <w:pPr>
              <w:pStyle w:val="NoSpacing"/>
              <w:rPr>
                <w:rFonts w:ascii="Times New Roman" w:hAnsi="Times New Roman" w:cs="Times New Roman"/>
                <w:sz w:val="20"/>
                <w:szCs w:val="20"/>
              </w:rPr>
            </w:pPr>
          </w:p>
        </w:tc>
        <w:tc>
          <w:tcPr>
            <w:tcW w:w="992" w:type="dxa"/>
            <w:tcBorders>
              <w:left w:val="single" w:sz="4" w:space="0" w:color="auto"/>
            </w:tcBorders>
            <w:shd w:val="clear" w:color="auto" w:fill="FFFFFF" w:themeFill="background1"/>
            <w:noWrap/>
            <w:vAlign w:val="bottom"/>
          </w:tcPr>
          <w:p w14:paraId="2C715333"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LOI</w:t>
            </w:r>
          </w:p>
        </w:tc>
        <w:tc>
          <w:tcPr>
            <w:tcW w:w="992" w:type="dxa"/>
            <w:shd w:val="clear" w:color="000000" w:fill="C6E0B4"/>
          </w:tcPr>
          <w:p w14:paraId="12919509"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positive</w:t>
            </w:r>
          </w:p>
        </w:tc>
        <w:tc>
          <w:tcPr>
            <w:tcW w:w="1418" w:type="dxa"/>
            <w:shd w:val="clear" w:color="000000" w:fill="C6E0B4"/>
            <w:noWrap/>
            <w:vAlign w:val="bottom"/>
          </w:tcPr>
          <w:p w14:paraId="760F3503"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increase</w:t>
            </w:r>
          </w:p>
        </w:tc>
        <w:tc>
          <w:tcPr>
            <w:tcW w:w="2701" w:type="dxa"/>
            <w:shd w:val="clear" w:color="auto" w:fill="FFFFFF" w:themeFill="background1"/>
            <w:noWrap/>
            <w:vAlign w:val="bottom"/>
          </w:tcPr>
          <w:p w14:paraId="40719D84"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Litter from increased fertility</w:t>
            </w:r>
          </w:p>
        </w:tc>
        <w:tc>
          <w:tcPr>
            <w:tcW w:w="1834" w:type="dxa"/>
            <w:shd w:val="clear" w:color="auto" w:fill="FFFFFF" w:themeFill="background1"/>
            <w:noWrap/>
            <w:vAlign w:val="bottom"/>
          </w:tcPr>
          <w:p w14:paraId="61B49A4E" w14:textId="61CE9183"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fldChar w:fldCharType="begin"/>
            </w:r>
            <w:r w:rsidR="00AC0205">
              <w:rPr>
                <w:rFonts w:ascii="Times New Roman" w:hAnsi="Times New Roman" w:cs="Times New Roman"/>
                <w:sz w:val="20"/>
                <w:szCs w:val="20"/>
              </w:rPr>
              <w:instrText xml:space="preserve"> ADDIN ZOTERO_ITEM CSL_CITATION {"citationID":"EHG6joqy","properties":{"formattedCitation":"(Knorr et al., 2005)","plainCitation":"(Knorr et al., 2005)","noteIndex":0},"citationItems":[{"id":10000,"uris":["http://zotero.org/users/2189142/items/S548RUAM"],"itemData":{"id":10000,"type":"article-journal","abstract":"We conducted a meta-analysis of previously published empirical studies that have examined the effects of nitrogen (N) enrichment on litter decomposition. Our objective was to provide a synthesis of existing data that comprehensively and quantitatively evaluates how environmental and experimental factors interact with N additions to influence litter mass loss. Nitrogen enrichment, when averaged across all studies, had no statistically significant effect on litter decay. However, we observed significant effects of fertilization rate, site-specific ambient N-deposition level, and litter quality. Litter decomposition was inhibited by N additions when fertilization rates were 2–20 times the anthropogenic N-deposition level, when ambient N deposition was 5–10 kg N·ha−1·yr−1, or when litter quality was low (typically high-lignin litters). Decomposition was stimulated at field sites exposed to low ambient N deposition (&lt;5 kg N·ha−1·yr−1) and for high-quality (low-lignin) litters. Fertilizer type, litterbag mesh size, and climate did not influence the litter decay response to N additions.","container-title":"Ecology","DOI":"https://doi.org/10.1890/05-0150","ISSN":"1939-9170","issue":"12","language":"en","note":"_eprint: https://onlinelibrary.wiley.com/doi/pdf/10.1890/05-0150","page":"3252-3257","source":"Wiley Online Library","title":"Nitrogen Additions and Litter Decomposition: A Meta-Analysis","title-short":"Nitrogen Additions and Litter Decomposition","volume":"86","author":[{"family":"Knorr","given":"M."},{"family":"Frey","given":"S. D."},{"family":"Curtis","given":"P. S."}],"issued":{"date-parts":[["2005"]]},"citation-key":"knorr_2005"}}],"schema":"https://github.com/citation-style-language/schema/raw/master/csl-citation.json"} </w:instrText>
            </w:r>
            <w:r w:rsidRPr="009867C1">
              <w:rPr>
                <w:rFonts w:ascii="Times New Roman" w:hAnsi="Times New Roman" w:cs="Times New Roman"/>
                <w:sz w:val="20"/>
                <w:szCs w:val="20"/>
              </w:rPr>
              <w:fldChar w:fldCharType="separate"/>
            </w:r>
            <w:r w:rsidR="0042141C" w:rsidRPr="009867C1">
              <w:rPr>
                <w:rFonts w:ascii="Times New Roman" w:hAnsi="Times New Roman" w:cs="Times New Roman"/>
                <w:sz w:val="20"/>
              </w:rPr>
              <w:t>(Knorr et al., 2005)</w:t>
            </w:r>
            <w:r w:rsidRPr="009867C1">
              <w:rPr>
                <w:rFonts w:ascii="Times New Roman" w:hAnsi="Times New Roman" w:cs="Times New Roman"/>
                <w:sz w:val="20"/>
                <w:szCs w:val="20"/>
              </w:rPr>
              <w:fldChar w:fldCharType="end"/>
            </w:r>
          </w:p>
        </w:tc>
      </w:tr>
      <w:tr w:rsidR="00223F7A" w:rsidRPr="009867C1" w14:paraId="5682FA92" w14:textId="77777777" w:rsidTr="00BA6F95">
        <w:trPr>
          <w:trHeight w:val="300"/>
        </w:trPr>
        <w:tc>
          <w:tcPr>
            <w:tcW w:w="1413" w:type="dxa"/>
            <w:tcBorders>
              <w:top w:val="nil"/>
              <w:left w:val="single" w:sz="4" w:space="0" w:color="auto"/>
              <w:bottom w:val="nil"/>
              <w:right w:val="single" w:sz="4" w:space="0" w:color="auto"/>
            </w:tcBorders>
            <w:shd w:val="clear" w:color="auto" w:fill="FFFFFF" w:themeFill="background1"/>
            <w:noWrap/>
            <w:vAlign w:val="bottom"/>
          </w:tcPr>
          <w:p w14:paraId="0EB88551" w14:textId="77777777" w:rsidR="00223F7A" w:rsidRPr="009867C1" w:rsidRDefault="00223F7A" w:rsidP="00BA6F95">
            <w:pPr>
              <w:pStyle w:val="NoSpacing"/>
              <w:rPr>
                <w:rFonts w:ascii="Times New Roman" w:hAnsi="Times New Roman" w:cs="Times New Roman"/>
                <w:sz w:val="20"/>
                <w:szCs w:val="20"/>
              </w:rPr>
            </w:pPr>
          </w:p>
        </w:tc>
        <w:tc>
          <w:tcPr>
            <w:tcW w:w="992" w:type="dxa"/>
            <w:tcBorders>
              <w:left w:val="single" w:sz="4" w:space="0" w:color="auto"/>
            </w:tcBorders>
            <w:shd w:val="clear" w:color="auto" w:fill="FFFFFF" w:themeFill="background1"/>
            <w:noWrap/>
            <w:vAlign w:val="bottom"/>
          </w:tcPr>
          <w:p w14:paraId="57DF3CF5"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S (tot)</w:t>
            </w:r>
          </w:p>
        </w:tc>
        <w:tc>
          <w:tcPr>
            <w:tcW w:w="992" w:type="dxa"/>
            <w:shd w:val="clear" w:color="000000" w:fill="C6E0B4"/>
          </w:tcPr>
          <w:p w14:paraId="2A325640"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positive</w:t>
            </w:r>
          </w:p>
        </w:tc>
        <w:tc>
          <w:tcPr>
            <w:tcW w:w="1418" w:type="dxa"/>
            <w:shd w:val="clear" w:color="000000" w:fill="C6E0B4"/>
            <w:noWrap/>
            <w:vAlign w:val="bottom"/>
          </w:tcPr>
          <w:p w14:paraId="6823A785"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increase</w:t>
            </w:r>
          </w:p>
        </w:tc>
        <w:tc>
          <w:tcPr>
            <w:tcW w:w="2701" w:type="dxa"/>
            <w:shd w:val="clear" w:color="auto" w:fill="FFFFFF" w:themeFill="background1"/>
            <w:noWrap/>
            <w:vAlign w:val="bottom"/>
          </w:tcPr>
          <w:p w14:paraId="3ADE8417"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Carcass deposition</w:t>
            </w:r>
          </w:p>
        </w:tc>
        <w:tc>
          <w:tcPr>
            <w:tcW w:w="1834" w:type="dxa"/>
            <w:shd w:val="clear" w:color="auto" w:fill="FFFFFF" w:themeFill="background1"/>
            <w:noWrap/>
            <w:vAlign w:val="bottom"/>
          </w:tcPr>
          <w:p w14:paraId="057E39FB" w14:textId="54BE6A6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fldChar w:fldCharType="begin"/>
            </w:r>
            <w:r w:rsidR="00AC0205">
              <w:rPr>
                <w:rFonts w:ascii="Times New Roman" w:hAnsi="Times New Roman" w:cs="Times New Roman"/>
                <w:sz w:val="20"/>
                <w:szCs w:val="20"/>
              </w:rPr>
              <w:instrText xml:space="preserve"> ADDIN ZOTERO_ITEM CSL_CITATION {"citationID":"ob3XJE0E","properties":{"formattedCitation":"(Drake, 2005)","plainCitation":"(Drake, 2005)","noteIndex":0},"citationItems":[{"id":241,"uris":["http://zotero.org/users/2189142/items/STBQGJNS"],"itemData":{"id":241,"type":"thesis","publisher":"University of Washington","source":"Google Scholar","title":"The fate and influence of salmon nutrients in riparian soils and trees: seasonal to multi-century patterns","title-short":"The fate and influence of salmon nutrients in riparian soils and trees","URL":"http://weber.s.uw.edu/research/publications/ms_phd/Drake_D_PhD_W05.pdf","author":[{"family":"Drake","given":"Deanne. C."}],"accessed":{"date-parts":[["2015",6,24]]},"issued":{"date-parts":[["2005"]]},"citation-key":"drake_2005a"}}],"schema":"https://github.com/citation-style-language/schema/raw/master/csl-citation.json"} </w:instrText>
            </w:r>
            <w:r w:rsidRPr="009867C1">
              <w:rPr>
                <w:rFonts w:ascii="Times New Roman" w:hAnsi="Times New Roman" w:cs="Times New Roman"/>
                <w:sz w:val="20"/>
                <w:szCs w:val="20"/>
              </w:rPr>
              <w:fldChar w:fldCharType="separate"/>
            </w:r>
            <w:r w:rsidR="0042141C" w:rsidRPr="009867C1">
              <w:rPr>
                <w:rFonts w:ascii="Times New Roman" w:hAnsi="Times New Roman" w:cs="Times New Roman"/>
                <w:sz w:val="20"/>
              </w:rPr>
              <w:t>(Drake, 2005)</w:t>
            </w:r>
            <w:r w:rsidRPr="009867C1">
              <w:rPr>
                <w:rFonts w:ascii="Times New Roman" w:hAnsi="Times New Roman" w:cs="Times New Roman"/>
                <w:sz w:val="20"/>
                <w:szCs w:val="20"/>
              </w:rPr>
              <w:fldChar w:fldCharType="end"/>
            </w:r>
          </w:p>
        </w:tc>
      </w:tr>
      <w:tr w:rsidR="00223F7A" w:rsidRPr="009867C1" w14:paraId="687FAA05" w14:textId="77777777" w:rsidTr="00BA6F95">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tcPr>
          <w:p w14:paraId="79D38934" w14:textId="77777777" w:rsidR="00223F7A" w:rsidRPr="009867C1" w:rsidRDefault="00223F7A" w:rsidP="00BA6F95">
            <w:pPr>
              <w:pStyle w:val="NoSpacing"/>
              <w:rPr>
                <w:rFonts w:ascii="Times New Roman" w:hAnsi="Times New Roman" w:cs="Times New Roman"/>
                <w:sz w:val="20"/>
                <w:szCs w:val="20"/>
              </w:rPr>
            </w:pPr>
          </w:p>
        </w:tc>
        <w:tc>
          <w:tcPr>
            <w:tcW w:w="992" w:type="dxa"/>
            <w:tcBorders>
              <w:left w:val="single" w:sz="4" w:space="0" w:color="auto"/>
            </w:tcBorders>
            <w:shd w:val="clear" w:color="auto" w:fill="FFFFFF" w:themeFill="background1"/>
            <w:noWrap/>
            <w:vAlign w:val="bottom"/>
          </w:tcPr>
          <w:p w14:paraId="43438BBF"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S (ex)</w:t>
            </w:r>
          </w:p>
        </w:tc>
        <w:tc>
          <w:tcPr>
            <w:tcW w:w="992" w:type="dxa"/>
            <w:shd w:val="clear" w:color="000000" w:fill="C6E0B4"/>
          </w:tcPr>
          <w:p w14:paraId="115501F8"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positive</w:t>
            </w:r>
          </w:p>
        </w:tc>
        <w:tc>
          <w:tcPr>
            <w:tcW w:w="1418" w:type="dxa"/>
            <w:shd w:val="clear" w:color="000000" w:fill="C6E0B4"/>
            <w:noWrap/>
            <w:vAlign w:val="bottom"/>
          </w:tcPr>
          <w:p w14:paraId="053949EF"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increase</w:t>
            </w:r>
          </w:p>
        </w:tc>
        <w:tc>
          <w:tcPr>
            <w:tcW w:w="2701" w:type="dxa"/>
            <w:shd w:val="clear" w:color="auto" w:fill="FFFFFF" w:themeFill="background1"/>
            <w:noWrap/>
            <w:vAlign w:val="bottom"/>
          </w:tcPr>
          <w:p w14:paraId="01D60A34"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Carcass deposition</w:t>
            </w:r>
          </w:p>
        </w:tc>
        <w:tc>
          <w:tcPr>
            <w:tcW w:w="1834" w:type="dxa"/>
            <w:shd w:val="clear" w:color="auto" w:fill="FFFFFF" w:themeFill="background1"/>
            <w:noWrap/>
            <w:vAlign w:val="bottom"/>
          </w:tcPr>
          <w:p w14:paraId="0B521F19" w14:textId="770A9675"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fldChar w:fldCharType="begin"/>
            </w:r>
            <w:r w:rsidR="00AC0205">
              <w:rPr>
                <w:rFonts w:ascii="Times New Roman" w:hAnsi="Times New Roman" w:cs="Times New Roman"/>
                <w:sz w:val="20"/>
                <w:szCs w:val="20"/>
              </w:rPr>
              <w:instrText xml:space="preserve"> ADDIN ZOTERO_ITEM CSL_CITATION {"citationID":"4FAChp1e","properties":{"formattedCitation":"(Drake, 2005)","plainCitation":"(Drake, 2005)","noteIndex":0},"citationItems":[{"id":241,"uris":["http://zotero.org/users/2189142/items/STBQGJNS"],"itemData":{"id":241,"type":"thesis","publisher":"University of Washington","source":"Google Scholar","title":"The fate and influence of salmon nutrients in riparian soils and trees: seasonal to multi-century patterns","title-short":"The fate and influence of salmon nutrients in riparian soils and trees","URL":"http://weber.s.uw.edu/research/publications/ms_phd/Drake_D_PhD_W05.pdf","author":[{"family":"Drake","given":"Deanne. C."}],"accessed":{"date-parts":[["2015",6,24]]},"issued":{"date-parts":[["2005"]]},"citation-key":"drake_2005a"}}],"schema":"https://github.com/citation-style-language/schema/raw/master/csl-citation.json"} </w:instrText>
            </w:r>
            <w:r w:rsidRPr="009867C1">
              <w:rPr>
                <w:rFonts w:ascii="Times New Roman" w:hAnsi="Times New Roman" w:cs="Times New Roman"/>
                <w:sz w:val="20"/>
                <w:szCs w:val="20"/>
              </w:rPr>
              <w:fldChar w:fldCharType="separate"/>
            </w:r>
            <w:r w:rsidR="0042141C" w:rsidRPr="009867C1">
              <w:rPr>
                <w:rFonts w:ascii="Times New Roman" w:hAnsi="Times New Roman" w:cs="Times New Roman"/>
                <w:sz w:val="20"/>
              </w:rPr>
              <w:t>(Drake, 2005)</w:t>
            </w:r>
            <w:r w:rsidRPr="009867C1">
              <w:rPr>
                <w:rFonts w:ascii="Times New Roman" w:hAnsi="Times New Roman" w:cs="Times New Roman"/>
                <w:sz w:val="20"/>
                <w:szCs w:val="20"/>
              </w:rPr>
              <w:fldChar w:fldCharType="end"/>
            </w:r>
          </w:p>
        </w:tc>
      </w:tr>
      <w:tr w:rsidR="00223F7A" w:rsidRPr="009867C1" w14:paraId="2BDCAB4A" w14:textId="77777777" w:rsidTr="00BA6F95">
        <w:trPr>
          <w:trHeight w:val="300"/>
        </w:trPr>
        <w:tc>
          <w:tcPr>
            <w:tcW w:w="1413" w:type="dxa"/>
            <w:tcBorders>
              <w:top w:val="single" w:sz="4" w:space="0" w:color="auto"/>
              <w:bottom w:val="single" w:sz="4" w:space="0" w:color="auto"/>
            </w:tcBorders>
            <w:shd w:val="clear" w:color="auto" w:fill="FFFFFF" w:themeFill="background1"/>
            <w:noWrap/>
            <w:vAlign w:val="bottom"/>
          </w:tcPr>
          <w:p w14:paraId="04AA6B89"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Exchangeable cations</w:t>
            </w:r>
          </w:p>
        </w:tc>
        <w:tc>
          <w:tcPr>
            <w:tcW w:w="992" w:type="dxa"/>
            <w:shd w:val="clear" w:color="auto" w:fill="FFFFFF" w:themeFill="background1"/>
            <w:noWrap/>
            <w:vAlign w:val="bottom"/>
          </w:tcPr>
          <w:p w14:paraId="18EC1647"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CEC</w:t>
            </w:r>
          </w:p>
        </w:tc>
        <w:tc>
          <w:tcPr>
            <w:tcW w:w="992" w:type="dxa"/>
            <w:shd w:val="clear" w:color="000000" w:fill="C6E0B4"/>
            <w:vAlign w:val="bottom"/>
          </w:tcPr>
          <w:p w14:paraId="341F5B6A"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positive</w:t>
            </w:r>
          </w:p>
        </w:tc>
        <w:tc>
          <w:tcPr>
            <w:tcW w:w="1418" w:type="dxa"/>
            <w:shd w:val="clear" w:color="000000" w:fill="C6E0B4"/>
            <w:noWrap/>
            <w:vAlign w:val="bottom"/>
          </w:tcPr>
          <w:p w14:paraId="3202BF22"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increase</w:t>
            </w:r>
          </w:p>
        </w:tc>
        <w:tc>
          <w:tcPr>
            <w:tcW w:w="2701" w:type="dxa"/>
            <w:shd w:val="clear" w:color="auto" w:fill="FFFFFF" w:themeFill="background1"/>
            <w:noWrap/>
            <w:vAlign w:val="bottom"/>
          </w:tcPr>
          <w:p w14:paraId="2E6B5C16"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Carcass deposition</w:t>
            </w:r>
          </w:p>
        </w:tc>
        <w:tc>
          <w:tcPr>
            <w:tcW w:w="1834" w:type="dxa"/>
            <w:shd w:val="clear" w:color="auto" w:fill="FFFFFF" w:themeFill="background1"/>
            <w:noWrap/>
            <w:vAlign w:val="bottom"/>
          </w:tcPr>
          <w:p w14:paraId="67B87E93" w14:textId="7F98CCE0"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fldChar w:fldCharType="begin"/>
            </w:r>
            <w:r w:rsidR="00AC0205">
              <w:rPr>
                <w:rFonts w:ascii="Times New Roman" w:hAnsi="Times New Roman" w:cs="Times New Roman"/>
                <w:sz w:val="20"/>
                <w:szCs w:val="20"/>
              </w:rPr>
              <w:instrText xml:space="preserve"> ADDIN ZOTERO_ITEM CSL_CITATION {"citationID":"VbX5grfw","properties":{"formattedCitation":"(Drake, 2005)","plainCitation":"(Drake, 2005)","noteIndex":0},"citationItems":[{"id":241,"uris":["http://zotero.org/users/2189142/items/STBQGJNS"],"itemData":{"id":241,"type":"thesis","publisher":"University of Washington","source":"Google Scholar","title":"The fate and influence of salmon nutrients in riparian soils and trees: seasonal to multi-century patterns","title-short":"The fate and influence of salmon nutrients in riparian soils and trees","URL":"http://weber.s.uw.edu/research/publications/ms_phd/Drake_D_PhD_W05.pdf","author":[{"family":"Drake","given":"Deanne. C."}],"accessed":{"date-parts":[["2015",6,24]]},"issued":{"date-parts":[["2005"]]},"citation-key":"drake_2005a"}}],"schema":"https://github.com/citation-style-language/schema/raw/master/csl-citation.json"} </w:instrText>
            </w:r>
            <w:r w:rsidRPr="009867C1">
              <w:rPr>
                <w:rFonts w:ascii="Times New Roman" w:hAnsi="Times New Roman" w:cs="Times New Roman"/>
                <w:sz w:val="20"/>
                <w:szCs w:val="20"/>
              </w:rPr>
              <w:fldChar w:fldCharType="separate"/>
            </w:r>
            <w:r w:rsidR="0042141C" w:rsidRPr="009867C1">
              <w:rPr>
                <w:rFonts w:ascii="Times New Roman" w:hAnsi="Times New Roman" w:cs="Times New Roman"/>
                <w:sz w:val="20"/>
              </w:rPr>
              <w:t>(Drake, 2005)</w:t>
            </w:r>
            <w:r w:rsidRPr="009867C1">
              <w:rPr>
                <w:rFonts w:ascii="Times New Roman" w:hAnsi="Times New Roman" w:cs="Times New Roman"/>
                <w:sz w:val="20"/>
                <w:szCs w:val="20"/>
              </w:rPr>
              <w:fldChar w:fldCharType="end"/>
            </w:r>
          </w:p>
        </w:tc>
      </w:tr>
      <w:tr w:rsidR="00223F7A" w:rsidRPr="009867C1" w14:paraId="7392E17C" w14:textId="77777777" w:rsidTr="00BA6F95">
        <w:trPr>
          <w:trHeight w:val="300"/>
        </w:trPr>
        <w:tc>
          <w:tcPr>
            <w:tcW w:w="1413" w:type="dxa"/>
            <w:tcBorders>
              <w:top w:val="single" w:sz="4" w:space="0" w:color="auto"/>
              <w:left w:val="single" w:sz="4" w:space="0" w:color="auto"/>
              <w:bottom w:val="nil"/>
              <w:right w:val="single" w:sz="4" w:space="0" w:color="auto"/>
            </w:tcBorders>
            <w:shd w:val="clear" w:color="auto" w:fill="FFFFFF" w:themeFill="background1"/>
            <w:noWrap/>
            <w:vAlign w:val="bottom"/>
          </w:tcPr>
          <w:p w14:paraId="4BA40036" w14:textId="77777777" w:rsidR="00223F7A" w:rsidRPr="009867C1" w:rsidRDefault="00223F7A" w:rsidP="00BA6F95">
            <w:pPr>
              <w:pStyle w:val="NoSpacing"/>
              <w:rPr>
                <w:rFonts w:ascii="Times New Roman" w:hAnsi="Times New Roman" w:cs="Times New Roman"/>
                <w:sz w:val="20"/>
                <w:szCs w:val="20"/>
              </w:rPr>
            </w:pPr>
          </w:p>
        </w:tc>
        <w:tc>
          <w:tcPr>
            <w:tcW w:w="992" w:type="dxa"/>
            <w:tcBorders>
              <w:left w:val="single" w:sz="4" w:space="0" w:color="auto"/>
            </w:tcBorders>
            <w:shd w:val="clear" w:color="auto" w:fill="FFFFFF" w:themeFill="background1"/>
            <w:noWrap/>
            <w:vAlign w:val="bottom"/>
          </w:tcPr>
          <w:p w14:paraId="6DA8F8A6"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Ca (ex)</w:t>
            </w:r>
          </w:p>
        </w:tc>
        <w:tc>
          <w:tcPr>
            <w:tcW w:w="992" w:type="dxa"/>
            <w:shd w:val="clear" w:color="000000" w:fill="C6E0B4"/>
            <w:vAlign w:val="bottom"/>
          </w:tcPr>
          <w:p w14:paraId="0657DAC4"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positive</w:t>
            </w:r>
          </w:p>
        </w:tc>
        <w:tc>
          <w:tcPr>
            <w:tcW w:w="1418" w:type="dxa"/>
            <w:shd w:val="clear" w:color="000000" w:fill="C6E0B4"/>
            <w:noWrap/>
            <w:vAlign w:val="bottom"/>
          </w:tcPr>
          <w:p w14:paraId="73703863"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Increase</w:t>
            </w:r>
          </w:p>
        </w:tc>
        <w:tc>
          <w:tcPr>
            <w:tcW w:w="2701" w:type="dxa"/>
            <w:shd w:val="clear" w:color="auto" w:fill="FFFFFF" w:themeFill="background1"/>
            <w:noWrap/>
            <w:vAlign w:val="bottom"/>
          </w:tcPr>
          <w:p w14:paraId="33302E18"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Carcass deposition</w:t>
            </w:r>
          </w:p>
        </w:tc>
        <w:tc>
          <w:tcPr>
            <w:tcW w:w="1834" w:type="dxa"/>
            <w:shd w:val="clear" w:color="auto" w:fill="FFFFFF" w:themeFill="background1"/>
            <w:noWrap/>
            <w:vAlign w:val="bottom"/>
          </w:tcPr>
          <w:p w14:paraId="5A651992" w14:textId="2FA1AFB5"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fldChar w:fldCharType="begin"/>
            </w:r>
            <w:r w:rsidR="00AC0205">
              <w:rPr>
                <w:rFonts w:ascii="Times New Roman" w:hAnsi="Times New Roman" w:cs="Times New Roman"/>
                <w:sz w:val="20"/>
                <w:szCs w:val="20"/>
              </w:rPr>
              <w:instrText xml:space="preserve"> ADDIN ZOTERO_ITEM CSL_CITATION {"citationID":"HwS9H7Qy","properties":{"formattedCitation":"(Drake, 2005)","plainCitation":"(Drake, 2005)","noteIndex":0},"citationItems":[{"id":241,"uris":["http://zotero.org/users/2189142/items/STBQGJNS"],"itemData":{"id":241,"type":"thesis","publisher":"University of Washington","source":"Google Scholar","title":"The fate and influence of salmon nutrients in riparian soils and trees: seasonal to multi-century patterns","title-short":"The fate and influence of salmon nutrients in riparian soils and trees","URL":"http://weber.s.uw.edu/research/publications/ms_phd/Drake_D_PhD_W05.pdf","author":[{"family":"Drake","given":"Deanne. C."}],"accessed":{"date-parts":[["2015",6,24]]},"issued":{"date-parts":[["2005"]]},"citation-key":"drake_2005a"}}],"schema":"https://github.com/citation-style-language/schema/raw/master/csl-citation.json"} </w:instrText>
            </w:r>
            <w:r w:rsidRPr="009867C1">
              <w:rPr>
                <w:rFonts w:ascii="Times New Roman" w:hAnsi="Times New Roman" w:cs="Times New Roman"/>
                <w:sz w:val="20"/>
                <w:szCs w:val="20"/>
              </w:rPr>
              <w:fldChar w:fldCharType="separate"/>
            </w:r>
            <w:r w:rsidR="0042141C" w:rsidRPr="009867C1">
              <w:rPr>
                <w:rFonts w:ascii="Times New Roman" w:hAnsi="Times New Roman" w:cs="Times New Roman"/>
                <w:sz w:val="20"/>
              </w:rPr>
              <w:t>(Drake, 2005)</w:t>
            </w:r>
            <w:r w:rsidRPr="009867C1">
              <w:rPr>
                <w:rFonts w:ascii="Times New Roman" w:hAnsi="Times New Roman" w:cs="Times New Roman"/>
                <w:sz w:val="20"/>
                <w:szCs w:val="20"/>
              </w:rPr>
              <w:fldChar w:fldCharType="end"/>
            </w:r>
          </w:p>
        </w:tc>
      </w:tr>
      <w:tr w:rsidR="00223F7A" w:rsidRPr="009867C1" w14:paraId="4C6BA9B3" w14:textId="77777777" w:rsidTr="00BA6F95">
        <w:trPr>
          <w:trHeight w:val="300"/>
        </w:trPr>
        <w:tc>
          <w:tcPr>
            <w:tcW w:w="1413" w:type="dxa"/>
            <w:tcBorders>
              <w:top w:val="nil"/>
              <w:left w:val="single" w:sz="4" w:space="0" w:color="auto"/>
              <w:bottom w:val="nil"/>
              <w:right w:val="single" w:sz="4" w:space="0" w:color="auto"/>
            </w:tcBorders>
            <w:shd w:val="clear" w:color="auto" w:fill="FFFFFF" w:themeFill="background1"/>
            <w:noWrap/>
            <w:vAlign w:val="bottom"/>
            <w:hideMark/>
          </w:tcPr>
          <w:p w14:paraId="64E13E04" w14:textId="77777777" w:rsidR="00223F7A" w:rsidRPr="009867C1" w:rsidRDefault="00223F7A" w:rsidP="00BA6F95">
            <w:pPr>
              <w:pStyle w:val="NoSpacing"/>
              <w:rPr>
                <w:rFonts w:ascii="Times New Roman" w:hAnsi="Times New Roman" w:cs="Times New Roman"/>
                <w:sz w:val="20"/>
                <w:szCs w:val="20"/>
              </w:rPr>
            </w:pPr>
          </w:p>
        </w:tc>
        <w:tc>
          <w:tcPr>
            <w:tcW w:w="992" w:type="dxa"/>
            <w:tcBorders>
              <w:left w:val="single" w:sz="4" w:space="0" w:color="auto"/>
            </w:tcBorders>
            <w:shd w:val="clear" w:color="auto" w:fill="FFFFFF" w:themeFill="background1"/>
            <w:noWrap/>
            <w:vAlign w:val="bottom"/>
          </w:tcPr>
          <w:p w14:paraId="301515EB"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Mg (ex)</w:t>
            </w:r>
          </w:p>
        </w:tc>
        <w:tc>
          <w:tcPr>
            <w:tcW w:w="992" w:type="dxa"/>
            <w:shd w:val="clear" w:color="000000" w:fill="C6E0B4"/>
            <w:vAlign w:val="bottom"/>
          </w:tcPr>
          <w:p w14:paraId="33F69284"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positive</w:t>
            </w:r>
          </w:p>
        </w:tc>
        <w:tc>
          <w:tcPr>
            <w:tcW w:w="1418" w:type="dxa"/>
            <w:shd w:val="clear" w:color="000000" w:fill="C6E0B4"/>
            <w:noWrap/>
            <w:vAlign w:val="bottom"/>
          </w:tcPr>
          <w:p w14:paraId="155FA9FF"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increase</w:t>
            </w:r>
          </w:p>
        </w:tc>
        <w:tc>
          <w:tcPr>
            <w:tcW w:w="2701" w:type="dxa"/>
            <w:shd w:val="clear" w:color="auto" w:fill="FFFFFF" w:themeFill="background1"/>
            <w:noWrap/>
            <w:vAlign w:val="bottom"/>
          </w:tcPr>
          <w:p w14:paraId="12095F86"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Carcass deposition</w:t>
            </w:r>
          </w:p>
        </w:tc>
        <w:tc>
          <w:tcPr>
            <w:tcW w:w="1834" w:type="dxa"/>
            <w:shd w:val="clear" w:color="auto" w:fill="FFFFFF" w:themeFill="background1"/>
            <w:noWrap/>
            <w:vAlign w:val="bottom"/>
          </w:tcPr>
          <w:p w14:paraId="0CA260E3" w14:textId="30210AD4"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fldChar w:fldCharType="begin"/>
            </w:r>
            <w:r w:rsidR="00AC0205">
              <w:rPr>
                <w:rFonts w:ascii="Times New Roman" w:hAnsi="Times New Roman" w:cs="Times New Roman"/>
                <w:sz w:val="20"/>
                <w:szCs w:val="20"/>
              </w:rPr>
              <w:instrText xml:space="preserve"> ADDIN ZOTERO_ITEM CSL_CITATION {"citationID":"R6Ir3wMU","properties":{"formattedCitation":"(Drake, 2005)","plainCitation":"(Drake, 2005)","noteIndex":0},"citationItems":[{"id":241,"uris":["http://zotero.org/users/2189142/items/STBQGJNS"],"itemData":{"id":241,"type":"thesis","publisher":"University of Washington","source":"Google Scholar","title":"The fate and influence of salmon nutrients in riparian soils and trees: seasonal to multi-century patterns","title-short":"The fate and influence of salmon nutrients in riparian soils and trees","URL":"http://weber.s.uw.edu/research/publications/ms_phd/Drake_D_PhD_W05.pdf","author":[{"family":"Drake","given":"Deanne. C."}],"accessed":{"date-parts":[["2015",6,24]]},"issued":{"date-parts":[["2005"]]},"citation-key":"drake_2005a"}}],"schema":"https://github.com/citation-style-language/schema/raw/master/csl-citation.json"} </w:instrText>
            </w:r>
            <w:r w:rsidRPr="009867C1">
              <w:rPr>
                <w:rFonts w:ascii="Times New Roman" w:hAnsi="Times New Roman" w:cs="Times New Roman"/>
                <w:sz w:val="20"/>
                <w:szCs w:val="20"/>
              </w:rPr>
              <w:fldChar w:fldCharType="separate"/>
            </w:r>
            <w:r w:rsidR="0042141C" w:rsidRPr="009867C1">
              <w:rPr>
                <w:rFonts w:ascii="Times New Roman" w:hAnsi="Times New Roman" w:cs="Times New Roman"/>
                <w:sz w:val="20"/>
              </w:rPr>
              <w:t>(Drake, 2005)</w:t>
            </w:r>
            <w:r w:rsidRPr="009867C1">
              <w:rPr>
                <w:rFonts w:ascii="Times New Roman" w:hAnsi="Times New Roman" w:cs="Times New Roman"/>
                <w:sz w:val="20"/>
                <w:szCs w:val="20"/>
              </w:rPr>
              <w:fldChar w:fldCharType="end"/>
            </w:r>
          </w:p>
        </w:tc>
      </w:tr>
      <w:tr w:rsidR="00223F7A" w:rsidRPr="009867C1" w14:paraId="533FB3EA" w14:textId="77777777" w:rsidTr="00BA6F95">
        <w:trPr>
          <w:trHeight w:val="300"/>
        </w:trPr>
        <w:tc>
          <w:tcPr>
            <w:tcW w:w="1413" w:type="dxa"/>
            <w:tcBorders>
              <w:top w:val="nil"/>
              <w:left w:val="single" w:sz="4" w:space="0" w:color="auto"/>
              <w:bottom w:val="nil"/>
              <w:right w:val="single" w:sz="4" w:space="0" w:color="auto"/>
            </w:tcBorders>
            <w:shd w:val="clear" w:color="auto" w:fill="FFFFFF" w:themeFill="background1"/>
            <w:noWrap/>
            <w:vAlign w:val="bottom"/>
            <w:hideMark/>
          </w:tcPr>
          <w:p w14:paraId="595A0B92" w14:textId="77777777" w:rsidR="00223F7A" w:rsidRPr="009867C1" w:rsidRDefault="00223F7A" w:rsidP="00BA6F95">
            <w:pPr>
              <w:pStyle w:val="NoSpacing"/>
              <w:rPr>
                <w:rFonts w:ascii="Times New Roman" w:hAnsi="Times New Roman" w:cs="Times New Roman"/>
                <w:sz w:val="20"/>
                <w:szCs w:val="20"/>
              </w:rPr>
            </w:pPr>
          </w:p>
        </w:tc>
        <w:tc>
          <w:tcPr>
            <w:tcW w:w="992" w:type="dxa"/>
            <w:tcBorders>
              <w:left w:val="single" w:sz="4" w:space="0" w:color="auto"/>
            </w:tcBorders>
            <w:shd w:val="clear" w:color="auto" w:fill="FFFFFF" w:themeFill="background1"/>
            <w:noWrap/>
            <w:vAlign w:val="bottom"/>
          </w:tcPr>
          <w:p w14:paraId="6E7ACE2E"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K (ex)</w:t>
            </w:r>
          </w:p>
        </w:tc>
        <w:tc>
          <w:tcPr>
            <w:tcW w:w="992" w:type="dxa"/>
            <w:shd w:val="clear" w:color="000000" w:fill="C6E0B4"/>
            <w:vAlign w:val="bottom"/>
          </w:tcPr>
          <w:p w14:paraId="7844BB5C"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positive</w:t>
            </w:r>
          </w:p>
        </w:tc>
        <w:tc>
          <w:tcPr>
            <w:tcW w:w="1418" w:type="dxa"/>
            <w:shd w:val="clear" w:color="000000" w:fill="C6E0B4"/>
            <w:noWrap/>
            <w:vAlign w:val="bottom"/>
          </w:tcPr>
          <w:p w14:paraId="7FD4B3FA"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increase</w:t>
            </w:r>
          </w:p>
        </w:tc>
        <w:tc>
          <w:tcPr>
            <w:tcW w:w="2701" w:type="dxa"/>
            <w:shd w:val="clear" w:color="auto" w:fill="FFFFFF" w:themeFill="background1"/>
            <w:noWrap/>
            <w:vAlign w:val="bottom"/>
          </w:tcPr>
          <w:p w14:paraId="1E096BE4"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Carcass deposition</w:t>
            </w:r>
          </w:p>
        </w:tc>
        <w:tc>
          <w:tcPr>
            <w:tcW w:w="1834" w:type="dxa"/>
            <w:shd w:val="clear" w:color="auto" w:fill="FFFFFF" w:themeFill="background1"/>
            <w:noWrap/>
            <w:vAlign w:val="bottom"/>
          </w:tcPr>
          <w:p w14:paraId="6A7CDD39" w14:textId="624818DB"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fldChar w:fldCharType="begin"/>
            </w:r>
            <w:r w:rsidR="00AC0205">
              <w:rPr>
                <w:rFonts w:ascii="Times New Roman" w:hAnsi="Times New Roman" w:cs="Times New Roman"/>
                <w:sz w:val="20"/>
                <w:szCs w:val="20"/>
              </w:rPr>
              <w:instrText xml:space="preserve"> ADDIN ZOTERO_ITEM CSL_CITATION {"citationID":"4tEUObCZ","properties":{"formattedCitation":"(Drake, 2005)","plainCitation":"(Drake, 2005)","noteIndex":0},"citationItems":[{"id":241,"uris":["http://zotero.org/users/2189142/items/STBQGJNS"],"itemData":{"id":241,"type":"thesis","publisher":"University of Washington","source":"Google Scholar","title":"The fate and influence of salmon nutrients in riparian soils and trees: seasonal to multi-century patterns","title-short":"The fate and influence of salmon nutrients in riparian soils and trees","URL":"http://weber.s.uw.edu/research/publications/ms_phd/Drake_D_PhD_W05.pdf","author":[{"family":"Drake","given":"Deanne. C."}],"accessed":{"date-parts":[["2015",6,24]]},"issued":{"date-parts":[["2005"]]},"citation-key":"drake_2005a"}}],"schema":"https://github.com/citation-style-language/schema/raw/master/csl-citation.json"} </w:instrText>
            </w:r>
            <w:r w:rsidRPr="009867C1">
              <w:rPr>
                <w:rFonts w:ascii="Times New Roman" w:hAnsi="Times New Roman" w:cs="Times New Roman"/>
                <w:sz w:val="20"/>
                <w:szCs w:val="20"/>
              </w:rPr>
              <w:fldChar w:fldCharType="separate"/>
            </w:r>
            <w:r w:rsidR="0042141C" w:rsidRPr="009867C1">
              <w:rPr>
                <w:rFonts w:ascii="Times New Roman" w:hAnsi="Times New Roman" w:cs="Times New Roman"/>
                <w:sz w:val="20"/>
              </w:rPr>
              <w:t>(Drake, 2005)</w:t>
            </w:r>
            <w:r w:rsidRPr="009867C1">
              <w:rPr>
                <w:rFonts w:ascii="Times New Roman" w:hAnsi="Times New Roman" w:cs="Times New Roman"/>
                <w:sz w:val="20"/>
                <w:szCs w:val="20"/>
              </w:rPr>
              <w:fldChar w:fldCharType="end"/>
            </w:r>
          </w:p>
        </w:tc>
      </w:tr>
      <w:tr w:rsidR="00223F7A" w:rsidRPr="009867C1" w14:paraId="72EC13D1" w14:textId="77777777" w:rsidTr="00BA6F95">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DE5FA8A" w14:textId="77777777" w:rsidR="00223F7A" w:rsidRPr="009867C1" w:rsidRDefault="00223F7A" w:rsidP="00BA6F95">
            <w:pPr>
              <w:pStyle w:val="NoSpacing"/>
              <w:rPr>
                <w:rFonts w:ascii="Times New Roman" w:hAnsi="Times New Roman" w:cs="Times New Roman"/>
                <w:sz w:val="20"/>
                <w:szCs w:val="20"/>
              </w:rPr>
            </w:pPr>
          </w:p>
        </w:tc>
        <w:tc>
          <w:tcPr>
            <w:tcW w:w="992" w:type="dxa"/>
            <w:tcBorders>
              <w:left w:val="single" w:sz="4" w:space="0" w:color="auto"/>
            </w:tcBorders>
            <w:shd w:val="clear" w:color="auto" w:fill="FFFFFF" w:themeFill="background1"/>
            <w:noWrap/>
            <w:vAlign w:val="bottom"/>
          </w:tcPr>
          <w:p w14:paraId="0AC95481"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Na (ex)</w:t>
            </w:r>
          </w:p>
        </w:tc>
        <w:tc>
          <w:tcPr>
            <w:tcW w:w="992" w:type="dxa"/>
            <w:shd w:val="clear" w:color="auto" w:fill="auto"/>
            <w:vAlign w:val="bottom"/>
          </w:tcPr>
          <w:p w14:paraId="68BBA091" w14:textId="77777777" w:rsidR="00223F7A" w:rsidRPr="009867C1" w:rsidRDefault="00223F7A" w:rsidP="00BA6F95">
            <w:pPr>
              <w:pStyle w:val="NoSpacing"/>
              <w:rPr>
                <w:rFonts w:ascii="Times New Roman" w:hAnsi="Times New Roman" w:cs="Times New Roman"/>
                <w:sz w:val="20"/>
                <w:szCs w:val="20"/>
              </w:rPr>
            </w:pPr>
          </w:p>
        </w:tc>
        <w:tc>
          <w:tcPr>
            <w:tcW w:w="1418" w:type="dxa"/>
            <w:shd w:val="clear" w:color="auto" w:fill="auto"/>
            <w:noWrap/>
            <w:vAlign w:val="bottom"/>
          </w:tcPr>
          <w:p w14:paraId="010BD45D"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none</w:t>
            </w:r>
          </w:p>
        </w:tc>
        <w:tc>
          <w:tcPr>
            <w:tcW w:w="2701" w:type="dxa"/>
            <w:shd w:val="clear" w:color="auto" w:fill="FFFFFF" w:themeFill="background1"/>
            <w:noWrap/>
            <w:vAlign w:val="bottom"/>
          </w:tcPr>
          <w:p w14:paraId="3DDEA6A9" w14:textId="77777777" w:rsidR="00223F7A" w:rsidRPr="009867C1" w:rsidRDefault="00223F7A" w:rsidP="00BA6F95">
            <w:pPr>
              <w:pStyle w:val="NoSpacing"/>
              <w:rPr>
                <w:rFonts w:ascii="Times New Roman" w:hAnsi="Times New Roman" w:cs="Times New Roman"/>
                <w:sz w:val="20"/>
                <w:szCs w:val="20"/>
              </w:rPr>
            </w:pPr>
          </w:p>
        </w:tc>
        <w:tc>
          <w:tcPr>
            <w:tcW w:w="1834" w:type="dxa"/>
            <w:shd w:val="clear" w:color="auto" w:fill="FFFFFF" w:themeFill="background1"/>
            <w:noWrap/>
            <w:vAlign w:val="bottom"/>
          </w:tcPr>
          <w:p w14:paraId="21AC880D" w14:textId="77777777" w:rsidR="00223F7A" w:rsidRPr="009867C1" w:rsidRDefault="00223F7A" w:rsidP="00BA6F95">
            <w:pPr>
              <w:pStyle w:val="NoSpacing"/>
              <w:rPr>
                <w:rFonts w:ascii="Times New Roman" w:hAnsi="Times New Roman" w:cs="Times New Roman"/>
                <w:sz w:val="20"/>
                <w:szCs w:val="20"/>
              </w:rPr>
            </w:pPr>
          </w:p>
        </w:tc>
      </w:tr>
      <w:tr w:rsidR="00223F7A" w:rsidRPr="009867C1" w14:paraId="2A32C08C" w14:textId="77777777" w:rsidTr="00BA6F95">
        <w:trPr>
          <w:trHeight w:val="300"/>
        </w:trPr>
        <w:tc>
          <w:tcPr>
            <w:tcW w:w="1413" w:type="dxa"/>
            <w:tcBorders>
              <w:top w:val="single" w:sz="4" w:space="0" w:color="auto"/>
              <w:bottom w:val="single" w:sz="4" w:space="0" w:color="auto"/>
            </w:tcBorders>
            <w:shd w:val="clear" w:color="auto" w:fill="FFFFFF" w:themeFill="background1"/>
            <w:noWrap/>
            <w:vAlign w:val="bottom"/>
            <w:hideMark/>
          </w:tcPr>
          <w:p w14:paraId="65C1227F"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Metals</w:t>
            </w:r>
          </w:p>
        </w:tc>
        <w:tc>
          <w:tcPr>
            <w:tcW w:w="992" w:type="dxa"/>
            <w:shd w:val="clear" w:color="auto" w:fill="FFFFFF" w:themeFill="background1"/>
            <w:noWrap/>
            <w:vAlign w:val="bottom"/>
          </w:tcPr>
          <w:p w14:paraId="3D555FCB"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Al (ex)</w:t>
            </w:r>
          </w:p>
        </w:tc>
        <w:tc>
          <w:tcPr>
            <w:tcW w:w="992" w:type="dxa"/>
            <w:shd w:val="clear" w:color="auto" w:fill="FF7575"/>
          </w:tcPr>
          <w:p w14:paraId="0F48B9AD"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negative</w:t>
            </w:r>
          </w:p>
        </w:tc>
        <w:tc>
          <w:tcPr>
            <w:tcW w:w="1418" w:type="dxa"/>
            <w:shd w:val="clear" w:color="auto" w:fill="FF7575"/>
            <w:noWrap/>
            <w:vAlign w:val="bottom"/>
          </w:tcPr>
          <w:p w14:paraId="7407EDE6"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increase</w:t>
            </w:r>
          </w:p>
        </w:tc>
        <w:tc>
          <w:tcPr>
            <w:tcW w:w="2701" w:type="dxa"/>
            <w:shd w:val="clear" w:color="auto" w:fill="FFFFFF" w:themeFill="background1"/>
            <w:noWrap/>
            <w:vAlign w:val="bottom"/>
          </w:tcPr>
          <w:p w14:paraId="6F3E7867"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N-associated acidification</w:t>
            </w:r>
          </w:p>
        </w:tc>
        <w:tc>
          <w:tcPr>
            <w:tcW w:w="1834" w:type="dxa"/>
            <w:shd w:val="clear" w:color="auto" w:fill="FFFFFF" w:themeFill="background1"/>
            <w:noWrap/>
            <w:vAlign w:val="bottom"/>
          </w:tcPr>
          <w:p w14:paraId="4A9DFE54" w14:textId="7F58F5C1"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fldChar w:fldCharType="begin"/>
            </w:r>
            <w:r w:rsidR="00AC0205">
              <w:rPr>
                <w:rFonts w:ascii="Times New Roman" w:hAnsi="Times New Roman" w:cs="Times New Roman"/>
                <w:sz w:val="20"/>
                <w:szCs w:val="20"/>
              </w:rPr>
              <w:instrText xml:space="preserve"> ADDIN ZOTERO_ITEM CSL_CITATION {"citationID":"KC1MRHG0","properties":{"formattedCitation":"(D. Tian &amp; Niu, 2015)","plainCitation":"(D. Tian &amp; Niu, 2015)","noteIndex":0},"citationItems":[{"id":164,"uris":["http://zotero.org/users/2189142/items/HSTAI8Q3"],"itemData":{"id":164,"type":"article-journal","abstract":"Nitrogen (N) deposition-induced soil acidification has become a global problem. However, the response patterns of soil acidification to N addition and the underlying mechanisms remain far from clear. Here, we conducted a meta-analysis of 106 studies to reveal global patterns of soil acidification in responses to N addition. We found that N addition significantly reduced soil pH by 0.26 on average globally. However, the responses of soil pH varied with ecosystem types, N addition rate, N fertilization forms, and experimental durations. Soil pH decreased most in grassland, whereas boreal forest was not observed a decrease to N addition in soil acidification. Soil pH decreased linearly with N addition rates. Addition of urea and NH4NO3 contributed more to soil acidification than NH4-form fertilizer. When experimental duration was longer than 20 years, N addition effects on soil acidification diminished. Environmental factors such as initial soil pH, soil carbon and nitrogen content, precipitation, and temperature all influenced the responses of soil pH. Base cations of Ca2+, Mg2+ and K+ were critical important in buffering against N-induced soil acidification at the early stage. However, N addition has shifted global soils into the Al3+ buffering phase. Overall, this study indicates that acidification in global soils is very sensitive to N deposition, which is greatly modified by biotic and abiotic factors. Global soils are now at a buffering transition from base cations (Ca2+, Mg2+ and K+) to non-base cations (Mn2+ and Al3+). This calls our attention to care about the limitation of base cations and the toxic impact of non-base cations for terrestrial ecosystems with N deposition.","container-title":"Environmental Research Letters","DOI":"10.1088/1748-9326/10/2/024019","ISSN":"1748-9326","issue":"2","journalAbbreviation":"Environ. Res. Lett.","language":"en","note":"publisher: IOP Publishing","page":"024019","source":"Institute of Physics","title":"A global analysis of soil acidification caused by nitrogen addition","volume":"10","author":[{"family":"Tian","given":"Dashuan"},{"family":"Niu","given":"Shuli"}],"issued":{"date-parts":[["2015",2]]},"citation-key":"tian_2015"}}],"schema":"https://github.com/citation-style-language/schema/raw/master/csl-citation.json"} </w:instrText>
            </w:r>
            <w:r w:rsidRPr="009867C1">
              <w:rPr>
                <w:rFonts w:ascii="Times New Roman" w:hAnsi="Times New Roman" w:cs="Times New Roman"/>
                <w:sz w:val="20"/>
                <w:szCs w:val="20"/>
              </w:rPr>
              <w:fldChar w:fldCharType="separate"/>
            </w:r>
            <w:r w:rsidR="0042141C" w:rsidRPr="009867C1">
              <w:rPr>
                <w:rFonts w:ascii="Times New Roman" w:hAnsi="Times New Roman" w:cs="Times New Roman"/>
                <w:sz w:val="20"/>
              </w:rPr>
              <w:t>(D. Tian &amp; Niu, 2015)</w:t>
            </w:r>
            <w:r w:rsidRPr="009867C1">
              <w:rPr>
                <w:rFonts w:ascii="Times New Roman" w:hAnsi="Times New Roman" w:cs="Times New Roman"/>
                <w:sz w:val="20"/>
                <w:szCs w:val="20"/>
              </w:rPr>
              <w:fldChar w:fldCharType="end"/>
            </w:r>
          </w:p>
        </w:tc>
      </w:tr>
      <w:tr w:rsidR="00223F7A" w:rsidRPr="009867C1" w14:paraId="1DD3F849" w14:textId="77777777" w:rsidTr="00BA6F95">
        <w:trPr>
          <w:trHeight w:val="300"/>
        </w:trPr>
        <w:tc>
          <w:tcPr>
            <w:tcW w:w="1413" w:type="dxa"/>
            <w:tcBorders>
              <w:top w:val="single" w:sz="4" w:space="0" w:color="auto"/>
              <w:left w:val="single" w:sz="4" w:space="0" w:color="auto"/>
              <w:bottom w:val="nil"/>
              <w:right w:val="single" w:sz="4" w:space="0" w:color="auto"/>
            </w:tcBorders>
            <w:shd w:val="clear" w:color="auto" w:fill="FFFFFF" w:themeFill="background1"/>
            <w:noWrap/>
            <w:vAlign w:val="bottom"/>
          </w:tcPr>
          <w:p w14:paraId="78118124" w14:textId="77777777" w:rsidR="00223F7A" w:rsidRPr="009867C1" w:rsidRDefault="00223F7A" w:rsidP="00BA6F95">
            <w:pPr>
              <w:pStyle w:val="NoSpacing"/>
              <w:rPr>
                <w:rFonts w:ascii="Times New Roman" w:hAnsi="Times New Roman" w:cs="Times New Roman"/>
                <w:sz w:val="20"/>
                <w:szCs w:val="20"/>
              </w:rPr>
            </w:pPr>
          </w:p>
        </w:tc>
        <w:tc>
          <w:tcPr>
            <w:tcW w:w="992" w:type="dxa"/>
            <w:tcBorders>
              <w:left w:val="single" w:sz="4" w:space="0" w:color="auto"/>
            </w:tcBorders>
            <w:shd w:val="clear" w:color="auto" w:fill="FFFFFF" w:themeFill="background1"/>
            <w:noWrap/>
            <w:vAlign w:val="bottom"/>
          </w:tcPr>
          <w:p w14:paraId="52942A74"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Fe (tot)</w:t>
            </w:r>
          </w:p>
        </w:tc>
        <w:tc>
          <w:tcPr>
            <w:tcW w:w="992" w:type="dxa"/>
            <w:shd w:val="clear" w:color="auto" w:fill="FF7575"/>
          </w:tcPr>
          <w:p w14:paraId="192D7F08"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negative</w:t>
            </w:r>
          </w:p>
        </w:tc>
        <w:tc>
          <w:tcPr>
            <w:tcW w:w="1418" w:type="dxa"/>
            <w:shd w:val="clear" w:color="auto" w:fill="FF7575"/>
            <w:noWrap/>
            <w:vAlign w:val="bottom"/>
          </w:tcPr>
          <w:p w14:paraId="016F160D"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increase</w:t>
            </w:r>
          </w:p>
        </w:tc>
        <w:tc>
          <w:tcPr>
            <w:tcW w:w="2701" w:type="dxa"/>
            <w:shd w:val="clear" w:color="auto" w:fill="FFFFFF" w:themeFill="background1"/>
            <w:noWrap/>
            <w:vAlign w:val="bottom"/>
          </w:tcPr>
          <w:p w14:paraId="1DAD906B"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N-associated acidification</w:t>
            </w:r>
          </w:p>
        </w:tc>
        <w:tc>
          <w:tcPr>
            <w:tcW w:w="1834" w:type="dxa"/>
            <w:shd w:val="clear" w:color="auto" w:fill="FFFFFF" w:themeFill="background1"/>
            <w:noWrap/>
            <w:vAlign w:val="bottom"/>
          </w:tcPr>
          <w:p w14:paraId="268A2C58" w14:textId="15E4FD6C"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fldChar w:fldCharType="begin"/>
            </w:r>
            <w:r w:rsidR="00AC0205">
              <w:rPr>
                <w:rFonts w:ascii="Times New Roman" w:hAnsi="Times New Roman" w:cs="Times New Roman"/>
                <w:sz w:val="20"/>
                <w:szCs w:val="20"/>
              </w:rPr>
              <w:instrText xml:space="preserve"> ADDIN ZOTERO_ITEM CSL_CITATION {"citationID":"fiQlBPgb","properties":{"formattedCitation":"(D. Tian &amp; Niu, 2015)","plainCitation":"(D. Tian &amp; Niu, 2015)","noteIndex":0},"citationItems":[{"id":164,"uris":["http://zotero.org/users/2189142/items/HSTAI8Q3"],"itemData":{"id":164,"type":"article-journal","abstract":"Nitrogen (N) deposition-induced soil acidification has become a global problem. However, the response patterns of soil acidification to N addition and the underlying mechanisms remain far from clear. Here, we conducted a meta-analysis of 106 studies to reveal global patterns of soil acidification in responses to N addition. We found that N addition significantly reduced soil pH by 0.26 on average globally. However, the responses of soil pH varied with ecosystem types, N addition rate, N fertilization forms, and experimental durations. Soil pH decreased most in grassland, whereas boreal forest was not observed a decrease to N addition in soil acidification. Soil pH decreased linearly with N addition rates. Addition of urea and NH4NO3 contributed more to soil acidification than NH4-form fertilizer. When experimental duration was longer than 20 years, N addition effects on soil acidification diminished. Environmental factors such as initial soil pH, soil carbon and nitrogen content, precipitation, and temperature all influenced the responses of soil pH. Base cations of Ca2+, Mg2+ and K+ were critical important in buffering against N-induced soil acidification at the early stage. However, N addition has shifted global soils into the Al3+ buffering phase. Overall, this study indicates that acidification in global soils is very sensitive to N deposition, which is greatly modified by biotic and abiotic factors. Global soils are now at a buffering transition from base cations (Ca2+, Mg2+ and K+) to non-base cations (Mn2+ and Al3+). This calls our attention to care about the limitation of base cations and the toxic impact of non-base cations for terrestrial ecosystems with N deposition.","container-title":"Environmental Research Letters","DOI":"10.1088/1748-9326/10/2/024019","ISSN":"1748-9326","issue":"2","journalAbbreviation":"Environ. Res. Lett.","language":"en","note":"publisher: IOP Publishing","page":"024019","source":"Institute of Physics","title":"A global analysis of soil acidification caused by nitrogen addition","volume":"10","author":[{"family":"Tian","given":"Dashuan"},{"family":"Niu","given":"Shuli"}],"issued":{"date-parts":[["2015",2]]},"citation-key":"tian_2015"}}],"schema":"https://github.com/citation-style-language/schema/raw/master/csl-citation.json"} </w:instrText>
            </w:r>
            <w:r w:rsidRPr="009867C1">
              <w:rPr>
                <w:rFonts w:ascii="Times New Roman" w:hAnsi="Times New Roman" w:cs="Times New Roman"/>
                <w:sz w:val="20"/>
                <w:szCs w:val="20"/>
              </w:rPr>
              <w:fldChar w:fldCharType="separate"/>
            </w:r>
            <w:r w:rsidR="0042141C" w:rsidRPr="009867C1">
              <w:rPr>
                <w:rFonts w:ascii="Times New Roman" w:hAnsi="Times New Roman" w:cs="Times New Roman"/>
                <w:sz w:val="20"/>
              </w:rPr>
              <w:t>(D. Tian &amp; Niu, 2015)</w:t>
            </w:r>
            <w:r w:rsidRPr="009867C1">
              <w:rPr>
                <w:rFonts w:ascii="Times New Roman" w:hAnsi="Times New Roman" w:cs="Times New Roman"/>
                <w:sz w:val="20"/>
                <w:szCs w:val="20"/>
              </w:rPr>
              <w:fldChar w:fldCharType="end"/>
            </w:r>
          </w:p>
        </w:tc>
      </w:tr>
      <w:tr w:rsidR="00223F7A" w:rsidRPr="009867C1" w14:paraId="0DA8F158" w14:textId="77777777" w:rsidTr="00BA6F95">
        <w:trPr>
          <w:trHeight w:val="300"/>
        </w:trPr>
        <w:tc>
          <w:tcPr>
            <w:tcW w:w="1413" w:type="dxa"/>
            <w:tcBorders>
              <w:top w:val="nil"/>
              <w:left w:val="single" w:sz="4" w:space="0" w:color="auto"/>
              <w:bottom w:val="nil"/>
              <w:right w:val="single" w:sz="4" w:space="0" w:color="auto"/>
            </w:tcBorders>
            <w:shd w:val="clear" w:color="auto" w:fill="FFFFFF" w:themeFill="background1"/>
            <w:noWrap/>
            <w:vAlign w:val="bottom"/>
          </w:tcPr>
          <w:p w14:paraId="67E8CF36" w14:textId="77777777" w:rsidR="00223F7A" w:rsidRPr="009867C1" w:rsidRDefault="00223F7A" w:rsidP="00BA6F95">
            <w:pPr>
              <w:pStyle w:val="NoSpacing"/>
              <w:rPr>
                <w:rFonts w:ascii="Times New Roman" w:hAnsi="Times New Roman" w:cs="Times New Roman"/>
                <w:sz w:val="20"/>
                <w:szCs w:val="20"/>
              </w:rPr>
            </w:pPr>
          </w:p>
        </w:tc>
        <w:tc>
          <w:tcPr>
            <w:tcW w:w="992" w:type="dxa"/>
            <w:tcBorders>
              <w:left w:val="single" w:sz="4" w:space="0" w:color="auto"/>
            </w:tcBorders>
            <w:shd w:val="clear" w:color="auto" w:fill="FFFFFF" w:themeFill="background1"/>
            <w:noWrap/>
            <w:vAlign w:val="bottom"/>
          </w:tcPr>
          <w:p w14:paraId="69624622"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Fe (ex)</w:t>
            </w:r>
          </w:p>
        </w:tc>
        <w:tc>
          <w:tcPr>
            <w:tcW w:w="992" w:type="dxa"/>
            <w:shd w:val="clear" w:color="000000" w:fill="FF7575"/>
          </w:tcPr>
          <w:p w14:paraId="7A298414"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negative</w:t>
            </w:r>
          </w:p>
        </w:tc>
        <w:tc>
          <w:tcPr>
            <w:tcW w:w="1418" w:type="dxa"/>
            <w:shd w:val="clear" w:color="000000" w:fill="FF7575"/>
            <w:noWrap/>
            <w:vAlign w:val="bottom"/>
          </w:tcPr>
          <w:p w14:paraId="25BCEB87"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increase</w:t>
            </w:r>
          </w:p>
        </w:tc>
        <w:tc>
          <w:tcPr>
            <w:tcW w:w="2701" w:type="dxa"/>
            <w:shd w:val="clear" w:color="auto" w:fill="FFFFFF" w:themeFill="background1"/>
            <w:noWrap/>
            <w:vAlign w:val="bottom"/>
          </w:tcPr>
          <w:p w14:paraId="5BA4620C"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N-associated acidification</w:t>
            </w:r>
          </w:p>
        </w:tc>
        <w:tc>
          <w:tcPr>
            <w:tcW w:w="1834" w:type="dxa"/>
            <w:shd w:val="clear" w:color="auto" w:fill="FFFFFF" w:themeFill="background1"/>
            <w:noWrap/>
            <w:vAlign w:val="bottom"/>
          </w:tcPr>
          <w:p w14:paraId="4C52558D" w14:textId="6F3727A4"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fldChar w:fldCharType="begin"/>
            </w:r>
            <w:r w:rsidR="00AC0205">
              <w:rPr>
                <w:rFonts w:ascii="Times New Roman" w:hAnsi="Times New Roman" w:cs="Times New Roman"/>
                <w:sz w:val="20"/>
                <w:szCs w:val="20"/>
              </w:rPr>
              <w:instrText xml:space="preserve"> ADDIN ZOTERO_ITEM CSL_CITATION {"citationID":"5HZAtVRS","properties":{"formattedCitation":"(D. Tian &amp; Niu, 2015)","plainCitation":"(D. Tian &amp; Niu, 2015)","noteIndex":0},"citationItems":[{"id":164,"uris":["http://zotero.org/users/2189142/items/HSTAI8Q3"],"itemData":{"id":164,"type":"article-journal","abstract":"Nitrogen (N) deposition-induced soil acidification has become a global problem. However, the response patterns of soil acidification to N addition and the underlying mechanisms remain far from clear. Here, we conducted a meta-analysis of 106 studies to reveal global patterns of soil acidification in responses to N addition. We found that N addition significantly reduced soil pH by 0.26 on average globally. However, the responses of soil pH varied with ecosystem types, N addition rate, N fertilization forms, and experimental durations. Soil pH decreased most in grassland, whereas boreal forest was not observed a decrease to N addition in soil acidification. Soil pH decreased linearly with N addition rates. Addition of urea and NH4NO3 contributed more to soil acidification than NH4-form fertilizer. When experimental duration was longer than 20 years, N addition effects on soil acidification diminished. Environmental factors such as initial soil pH, soil carbon and nitrogen content, precipitation, and temperature all influenced the responses of soil pH. Base cations of Ca2+, Mg2+ and K+ were critical important in buffering against N-induced soil acidification at the early stage. However, N addition has shifted global soils into the Al3+ buffering phase. Overall, this study indicates that acidification in global soils is very sensitive to N deposition, which is greatly modified by biotic and abiotic factors. Global soils are now at a buffering transition from base cations (Ca2+, Mg2+ and K+) to non-base cations (Mn2+ and Al3+). This calls our attention to care about the limitation of base cations and the toxic impact of non-base cations for terrestrial ecosystems with N deposition.","container-title":"Environmental Research Letters","DOI":"10.1088/1748-9326/10/2/024019","ISSN":"1748-9326","issue":"2","journalAbbreviation":"Environ. Res. Lett.","language":"en","note":"publisher: IOP Publishing","page":"024019","source":"Institute of Physics","title":"A global analysis of soil acidification caused by nitrogen addition","volume":"10","author":[{"family":"Tian","given":"Dashuan"},{"family":"Niu","given":"Shuli"}],"issued":{"date-parts":[["2015",2]]},"citation-key":"tian_2015"}}],"schema":"https://github.com/citation-style-language/schema/raw/master/csl-citation.json"} </w:instrText>
            </w:r>
            <w:r w:rsidRPr="009867C1">
              <w:rPr>
                <w:rFonts w:ascii="Times New Roman" w:hAnsi="Times New Roman" w:cs="Times New Roman"/>
                <w:sz w:val="20"/>
                <w:szCs w:val="20"/>
              </w:rPr>
              <w:fldChar w:fldCharType="separate"/>
            </w:r>
            <w:r w:rsidR="0042141C" w:rsidRPr="009867C1">
              <w:rPr>
                <w:rFonts w:ascii="Times New Roman" w:hAnsi="Times New Roman" w:cs="Times New Roman"/>
                <w:sz w:val="20"/>
              </w:rPr>
              <w:t>(D. Tian &amp; Niu, 2015)</w:t>
            </w:r>
            <w:r w:rsidRPr="009867C1">
              <w:rPr>
                <w:rFonts w:ascii="Times New Roman" w:hAnsi="Times New Roman" w:cs="Times New Roman"/>
                <w:sz w:val="20"/>
                <w:szCs w:val="20"/>
              </w:rPr>
              <w:fldChar w:fldCharType="end"/>
            </w:r>
          </w:p>
        </w:tc>
      </w:tr>
      <w:tr w:rsidR="00223F7A" w:rsidRPr="009867C1" w14:paraId="721700F4" w14:textId="77777777" w:rsidTr="00BA6F95">
        <w:trPr>
          <w:trHeight w:val="300"/>
        </w:trPr>
        <w:tc>
          <w:tcPr>
            <w:tcW w:w="1413" w:type="dxa"/>
            <w:tcBorders>
              <w:top w:val="nil"/>
              <w:left w:val="single" w:sz="4" w:space="0" w:color="auto"/>
              <w:bottom w:val="nil"/>
              <w:right w:val="single" w:sz="4" w:space="0" w:color="auto"/>
            </w:tcBorders>
            <w:shd w:val="clear" w:color="auto" w:fill="FFFFFF" w:themeFill="background1"/>
            <w:noWrap/>
            <w:vAlign w:val="bottom"/>
          </w:tcPr>
          <w:p w14:paraId="253F7EC2" w14:textId="77777777" w:rsidR="00223F7A" w:rsidRPr="009867C1" w:rsidRDefault="00223F7A" w:rsidP="00BA6F95">
            <w:pPr>
              <w:pStyle w:val="NoSpacing"/>
              <w:rPr>
                <w:rFonts w:ascii="Times New Roman" w:hAnsi="Times New Roman" w:cs="Times New Roman"/>
                <w:sz w:val="20"/>
                <w:szCs w:val="20"/>
              </w:rPr>
            </w:pPr>
          </w:p>
        </w:tc>
        <w:tc>
          <w:tcPr>
            <w:tcW w:w="992" w:type="dxa"/>
            <w:tcBorders>
              <w:left w:val="single" w:sz="4" w:space="0" w:color="auto"/>
            </w:tcBorders>
            <w:shd w:val="clear" w:color="auto" w:fill="FFFFFF" w:themeFill="background1"/>
            <w:noWrap/>
            <w:vAlign w:val="bottom"/>
          </w:tcPr>
          <w:p w14:paraId="0FEE9E63"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Cu (ex)</w:t>
            </w:r>
          </w:p>
        </w:tc>
        <w:tc>
          <w:tcPr>
            <w:tcW w:w="992" w:type="dxa"/>
            <w:shd w:val="clear" w:color="auto" w:fill="auto"/>
          </w:tcPr>
          <w:p w14:paraId="503F017F" w14:textId="77777777" w:rsidR="00223F7A" w:rsidRPr="009867C1" w:rsidRDefault="00223F7A" w:rsidP="00BA6F95">
            <w:pPr>
              <w:pStyle w:val="NoSpacing"/>
              <w:rPr>
                <w:rFonts w:ascii="Times New Roman" w:hAnsi="Times New Roman" w:cs="Times New Roman"/>
                <w:sz w:val="20"/>
                <w:szCs w:val="20"/>
              </w:rPr>
            </w:pPr>
          </w:p>
        </w:tc>
        <w:tc>
          <w:tcPr>
            <w:tcW w:w="1418" w:type="dxa"/>
            <w:shd w:val="clear" w:color="auto" w:fill="auto"/>
            <w:noWrap/>
            <w:vAlign w:val="bottom"/>
          </w:tcPr>
          <w:p w14:paraId="1C29548F"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 xml:space="preserve">none </w:t>
            </w:r>
          </w:p>
        </w:tc>
        <w:tc>
          <w:tcPr>
            <w:tcW w:w="2701" w:type="dxa"/>
            <w:shd w:val="clear" w:color="auto" w:fill="FFFFFF" w:themeFill="background1"/>
            <w:noWrap/>
            <w:vAlign w:val="bottom"/>
          </w:tcPr>
          <w:p w14:paraId="789DA93E" w14:textId="77777777" w:rsidR="00223F7A" w:rsidRPr="009867C1" w:rsidRDefault="00223F7A" w:rsidP="00BA6F95">
            <w:pPr>
              <w:pStyle w:val="NoSpacing"/>
              <w:rPr>
                <w:rFonts w:ascii="Times New Roman" w:hAnsi="Times New Roman" w:cs="Times New Roman"/>
                <w:sz w:val="20"/>
                <w:szCs w:val="20"/>
              </w:rPr>
            </w:pPr>
          </w:p>
        </w:tc>
        <w:tc>
          <w:tcPr>
            <w:tcW w:w="1834" w:type="dxa"/>
            <w:shd w:val="clear" w:color="auto" w:fill="FFFFFF" w:themeFill="background1"/>
            <w:noWrap/>
            <w:vAlign w:val="bottom"/>
          </w:tcPr>
          <w:p w14:paraId="5372B1AC" w14:textId="77777777" w:rsidR="00223F7A" w:rsidRPr="009867C1" w:rsidRDefault="00223F7A" w:rsidP="00BA6F95">
            <w:pPr>
              <w:pStyle w:val="NoSpacing"/>
              <w:rPr>
                <w:rFonts w:ascii="Times New Roman" w:hAnsi="Times New Roman" w:cs="Times New Roman"/>
                <w:sz w:val="20"/>
                <w:szCs w:val="20"/>
              </w:rPr>
            </w:pPr>
          </w:p>
        </w:tc>
      </w:tr>
      <w:tr w:rsidR="00223F7A" w:rsidRPr="009867C1" w14:paraId="163A1370" w14:textId="77777777" w:rsidTr="00BA6F95">
        <w:trPr>
          <w:trHeight w:val="300"/>
        </w:trPr>
        <w:tc>
          <w:tcPr>
            <w:tcW w:w="1413" w:type="dxa"/>
            <w:tcBorders>
              <w:top w:val="nil"/>
              <w:left w:val="single" w:sz="4" w:space="0" w:color="auto"/>
              <w:bottom w:val="nil"/>
              <w:right w:val="single" w:sz="4" w:space="0" w:color="auto"/>
            </w:tcBorders>
            <w:shd w:val="clear" w:color="auto" w:fill="FFFFFF" w:themeFill="background1"/>
            <w:noWrap/>
            <w:vAlign w:val="bottom"/>
          </w:tcPr>
          <w:p w14:paraId="778C78F0" w14:textId="77777777" w:rsidR="00223F7A" w:rsidRPr="009867C1" w:rsidRDefault="00223F7A" w:rsidP="00BA6F95">
            <w:pPr>
              <w:pStyle w:val="NoSpacing"/>
              <w:rPr>
                <w:rFonts w:ascii="Times New Roman" w:hAnsi="Times New Roman" w:cs="Times New Roman"/>
                <w:sz w:val="20"/>
                <w:szCs w:val="20"/>
              </w:rPr>
            </w:pPr>
          </w:p>
        </w:tc>
        <w:tc>
          <w:tcPr>
            <w:tcW w:w="992" w:type="dxa"/>
            <w:tcBorders>
              <w:left w:val="single" w:sz="4" w:space="0" w:color="auto"/>
            </w:tcBorders>
            <w:shd w:val="clear" w:color="auto" w:fill="FFFFFF" w:themeFill="background1"/>
            <w:noWrap/>
            <w:vAlign w:val="bottom"/>
          </w:tcPr>
          <w:p w14:paraId="63088965"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Zn (ex)</w:t>
            </w:r>
          </w:p>
        </w:tc>
        <w:tc>
          <w:tcPr>
            <w:tcW w:w="992" w:type="dxa"/>
            <w:shd w:val="clear" w:color="auto" w:fill="auto"/>
          </w:tcPr>
          <w:p w14:paraId="598BCB6B" w14:textId="77777777" w:rsidR="00223F7A" w:rsidRPr="009867C1" w:rsidRDefault="00223F7A" w:rsidP="00BA6F95">
            <w:pPr>
              <w:pStyle w:val="NoSpacing"/>
              <w:rPr>
                <w:rFonts w:ascii="Times New Roman" w:hAnsi="Times New Roman" w:cs="Times New Roman"/>
                <w:sz w:val="20"/>
                <w:szCs w:val="20"/>
              </w:rPr>
            </w:pPr>
          </w:p>
        </w:tc>
        <w:tc>
          <w:tcPr>
            <w:tcW w:w="1418" w:type="dxa"/>
            <w:shd w:val="clear" w:color="auto" w:fill="auto"/>
            <w:noWrap/>
            <w:vAlign w:val="bottom"/>
          </w:tcPr>
          <w:p w14:paraId="6307BF01"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none</w:t>
            </w:r>
          </w:p>
        </w:tc>
        <w:tc>
          <w:tcPr>
            <w:tcW w:w="2701" w:type="dxa"/>
            <w:shd w:val="clear" w:color="auto" w:fill="FFFFFF" w:themeFill="background1"/>
            <w:noWrap/>
            <w:vAlign w:val="bottom"/>
          </w:tcPr>
          <w:p w14:paraId="3B378239" w14:textId="77777777" w:rsidR="00223F7A" w:rsidRPr="009867C1" w:rsidRDefault="00223F7A" w:rsidP="00BA6F95">
            <w:pPr>
              <w:pStyle w:val="NoSpacing"/>
              <w:rPr>
                <w:rFonts w:ascii="Times New Roman" w:hAnsi="Times New Roman" w:cs="Times New Roman"/>
                <w:sz w:val="20"/>
                <w:szCs w:val="20"/>
              </w:rPr>
            </w:pPr>
          </w:p>
        </w:tc>
        <w:tc>
          <w:tcPr>
            <w:tcW w:w="1834" w:type="dxa"/>
            <w:shd w:val="clear" w:color="auto" w:fill="FFFFFF" w:themeFill="background1"/>
            <w:noWrap/>
            <w:vAlign w:val="bottom"/>
          </w:tcPr>
          <w:p w14:paraId="5B8B9E05" w14:textId="77777777" w:rsidR="00223F7A" w:rsidRPr="009867C1" w:rsidRDefault="00223F7A" w:rsidP="00BA6F95">
            <w:pPr>
              <w:pStyle w:val="NoSpacing"/>
              <w:rPr>
                <w:rFonts w:ascii="Times New Roman" w:hAnsi="Times New Roman" w:cs="Times New Roman"/>
                <w:sz w:val="20"/>
                <w:szCs w:val="20"/>
              </w:rPr>
            </w:pPr>
          </w:p>
        </w:tc>
      </w:tr>
      <w:tr w:rsidR="00223F7A" w:rsidRPr="009867C1" w14:paraId="36C711A1" w14:textId="77777777" w:rsidTr="00BA6F95">
        <w:trPr>
          <w:trHeight w:val="300"/>
        </w:trPr>
        <w:tc>
          <w:tcPr>
            <w:tcW w:w="1413" w:type="dxa"/>
            <w:tcBorders>
              <w:top w:val="nil"/>
              <w:left w:val="single" w:sz="4" w:space="0" w:color="auto"/>
              <w:bottom w:val="nil"/>
              <w:right w:val="single" w:sz="4" w:space="0" w:color="auto"/>
            </w:tcBorders>
            <w:shd w:val="clear" w:color="auto" w:fill="FFFFFF" w:themeFill="background1"/>
            <w:noWrap/>
            <w:vAlign w:val="bottom"/>
          </w:tcPr>
          <w:p w14:paraId="4D087F90" w14:textId="77777777" w:rsidR="00223F7A" w:rsidRPr="009867C1" w:rsidRDefault="00223F7A" w:rsidP="00BA6F95">
            <w:pPr>
              <w:pStyle w:val="NoSpacing"/>
              <w:rPr>
                <w:rFonts w:ascii="Times New Roman" w:hAnsi="Times New Roman" w:cs="Times New Roman"/>
                <w:sz w:val="20"/>
                <w:szCs w:val="20"/>
              </w:rPr>
            </w:pPr>
          </w:p>
        </w:tc>
        <w:tc>
          <w:tcPr>
            <w:tcW w:w="992" w:type="dxa"/>
            <w:tcBorders>
              <w:left w:val="single" w:sz="4" w:space="0" w:color="auto"/>
            </w:tcBorders>
            <w:shd w:val="clear" w:color="auto" w:fill="FFFFFF" w:themeFill="background1"/>
            <w:noWrap/>
            <w:vAlign w:val="bottom"/>
          </w:tcPr>
          <w:p w14:paraId="5A1282EA"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Mn (ex)</w:t>
            </w:r>
          </w:p>
        </w:tc>
        <w:tc>
          <w:tcPr>
            <w:tcW w:w="992" w:type="dxa"/>
            <w:shd w:val="clear" w:color="auto" w:fill="auto"/>
          </w:tcPr>
          <w:p w14:paraId="13352F6A" w14:textId="77777777" w:rsidR="00223F7A" w:rsidRPr="009867C1" w:rsidRDefault="00223F7A" w:rsidP="00BA6F95">
            <w:pPr>
              <w:pStyle w:val="NoSpacing"/>
              <w:rPr>
                <w:rFonts w:ascii="Times New Roman" w:hAnsi="Times New Roman" w:cs="Times New Roman"/>
                <w:sz w:val="20"/>
                <w:szCs w:val="20"/>
              </w:rPr>
            </w:pPr>
          </w:p>
        </w:tc>
        <w:tc>
          <w:tcPr>
            <w:tcW w:w="1418" w:type="dxa"/>
            <w:shd w:val="clear" w:color="auto" w:fill="auto"/>
            <w:noWrap/>
          </w:tcPr>
          <w:p w14:paraId="7A68B844"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none</w:t>
            </w:r>
          </w:p>
        </w:tc>
        <w:tc>
          <w:tcPr>
            <w:tcW w:w="2701" w:type="dxa"/>
            <w:shd w:val="clear" w:color="auto" w:fill="FFFFFF" w:themeFill="background1"/>
            <w:noWrap/>
            <w:vAlign w:val="bottom"/>
          </w:tcPr>
          <w:p w14:paraId="1E7202D7" w14:textId="77777777" w:rsidR="00223F7A" w:rsidRPr="009867C1" w:rsidRDefault="00223F7A" w:rsidP="00BA6F95">
            <w:pPr>
              <w:pStyle w:val="NoSpacing"/>
              <w:rPr>
                <w:rFonts w:ascii="Times New Roman" w:hAnsi="Times New Roman" w:cs="Times New Roman"/>
                <w:sz w:val="20"/>
                <w:szCs w:val="20"/>
              </w:rPr>
            </w:pPr>
          </w:p>
        </w:tc>
        <w:tc>
          <w:tcPr>
            <w:tcW w:w="1834" w:type="dxa"/>
            <w:shd w:val="clear" w:color="auto" w:fill="FFFFFF" w:themeFill="background1"/>
            <w:noWrap/>
            <w:vAlign w:val="bottom"/>
          </w:tcPr>
          <w:p w14:paraId="16E3A895" w14:textId="77777777" w:rsidR="00223F7A" w:rsidRPr="009867C1" w:rsidRDefault="00223F7A" w:rsidP="00BA6F95">
            <w:pPr>
              <w:pStyle w:val="NoSpacing"/>
              <w:rPr>
                <w:rFonts w:ascii="Times New Roman" w:hAnsi="Times New Roman" w:cs="Times New Roman"/>
                <w:sz w:val="20"/>
                <w:szCs w:val="20"/>
              </w:rPr>
            </w:pPr>
          </w:p>
        </w:tc>
      </w:tr>
      <w:tr w:rsidR="00223F7A" w:rsidRPr="009867C1" w14:paraId="513F66EA" w14:textId="77777777" w:rsidTr="00BA6F95">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tcPr>
          <w:p w14:paraId="0DFC1B7E" w14:textId="77777777" w:rsidR="00223F7A" w:rsidRPr="009867C1" w:rsidRDefault="00223F7A" w:rsidP="00BA6F95">
            <w:pPr>
              <w:pStyle w:val="NoSpacing"/>
              <w:rPr>
                <w:rFonts w:ascii="Times New Roman" w:hAnsi="Times New Roman" w:cs="Times New Roman"/>
                <w:sz w:val="20"/>
                <w:szCs w:val="20"/>
              </w:rPr>
            </w:pPr>
          </w:p>
        </w:tc>
        <w:tc>
          <w:tcPr>
            <w:tcW w:w="992" w:type="dxa"/>
            <w:tcBorders>
              <w:left w:val="single" w:sz="4" w:space="0" w:color="auto"/>
            </w:tcBorders>
            <w:shd w:val="clear" w:color="auto" w:fill="FFFFFF" w:themeFill="background1"/>
            <w:noWrap/>
            <w:vAlign w:val="bottom"/>
          </w:tcPr>
          <w:p w14:paraId="1BB767A0"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B (ex)</w:t>
            </w:r>
          </w:p>
        </w:tc>
        <w:tc>
          <w:tcPr>
            <w:tcW w:w="992" w:type="dxa"/>
          </w:tcPr>
          <w:p w14:paraId="660F171A" w14:textId="77777777" w:rsidR="00223F7A" w:rsidRPr="009867C1" w:rsidRDefault="00223F7A" w:rsidP="00BA6F95">
            <w:pPr>
              <w:pStyle w:val="NoSpacing"/>
              <w:rPr>
                <w:rFonts w:ascii="Times New Roman" w:hAnsi="Times New Roman" w:cs="Times New Roman"/>
                <w:sz w:val="20"/>
                <w:szCs w:val="20"/>
              </w:rPr>
            </w:pPr>
          </w:p>
        </w:tc>
        <w:tc>
          <w:tcPr>
            <w:tcW w:w="1418" w:type="dxa"/>
            <w:shd w:val="clear" w:color="auto" w:fill="auto"/>
            <w:noWrap/>
          </w:tcPr>
          <w:p w14:paraId="6BF62034"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none</w:t>
            </w:r>
          </w:p>
        </w:tc>
        <w:tc>
          <w:tcPr>
            <w:tcW w:w="2701" w:type="dxa"/>
            <w:shd w:val="clear" w:color="auto" w:fill="FFFFFF" w:themeFill="background1"/>
            <w:noWrap/>
            <w:vAlign w:val="bottom"/>
          </w:tcPr>
          <w:p w14:paraId="5C3E49F9" w14:textId="77777777" w:rsidR="00223F7A" w:rsidRPr="009867C1" w:rsidRDefault="00223F7A" w:rsidP="00BA6F95">
            <w:pPr>
              <w:pStyle w:val="NoSpacing"/>
              <w:rPr>
                <w:rFonts w:ascii="Times New Roman" w:hAnsi="Times New Roman" w:cs="Times New Roman"/>
                <w:sz w:val="20"/>
                <w:szCs w:val="20"/>
              </w:rPr>
            </w:pPr>
          </w:p>
        </w:tc>
        <w:tc>
          <w:tcPr>
            <w:tcW w:w="1834" w:type="dxa"/>
            <w:shd w:val="clear" w:color="auto" w:fill="FFFFFF" w:themeFill="background1"/>
            <w:noWrap/>
            <w:vAlign w:val="bottom"/>
          </w:tcPr>
          <w:p w14:paraId="5CA8C2A0" w14:textId="77777777" w:rsidR="00223F7A" w:rsidRPr="009867C1" w:rsidRDefault="00223F7A" w:rsidP="00BA6F95">
            <w:pPr>
              <w:pStyle w:val="NoSpacing"/>
              <w:rPr>
                <w:rFonts w:ascii="Times New Roman" w:hAnsi="Times New Roman" w:cs="Times New Roman"/>
                <w:sz w:val="20"/>
                <w:szCs w:val="20"/>
              </w:rPr>
            </w:pPr>
          </w:p>
        </w:tc>
      </w:tr>
      <w:tr w:rsidR="00223F7A" w:rsidRPr="009867C1" w14:paraId="3E87336F" w14:textId="77777777" w:rsidTr="00BA6F95">
        <w:trPr>
          <w:trHeight w:val="132"/>
        </w:trPr>
        <w:tc>
          <w:tcPr>
            <w:tcW w:w="1413" w:type="dxa"/>
            <w:tcBorders>
              <w:top w:val="single" w:sz="4" w:space="0" w:color="auto"/>
            </w:tcBorders>
            <w:shd w:val="clear" w:color="auto" w:fill="FFFFFF" w:themeFill="background1"/>
            <w:noWrap/>
            <w:vAlign w:val="bottom"/>
            <w:hideMark/>
          </w:tcPr>
          <w:p w14:paraId="085C0357"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Ergosterol</w:t>
            </w:r>
          </w:p>
        </w:tc>
        <w:tc>
          <w:tcPr>
            <w:tcW w:w="992" w:type="dxa"/>
            <w:shd w:val="clear" w:color="auto" w:fill="FFFFFF" w:themeFill="background1"/>
            <w:noWrap/>
            <w:vAlign w:val="bottom"/>
          </w:tcPr>
          <w:p w14:paraId="4CF8DC66" w14:textId="77777777" w:rsidR="00223F7A" w:rsidRPr="009867C1" w:rsidRDefault="00223F7A" w:rsidP="00BA6F95">
            <w:pPr>
              <w:pStyle w:val="NoSpacing"/>
              <w:rPr>
                <w:rFonts w:ascii="Times New Roman" w:hAnsi="Times New Roman" w:cs="Times New Roman"/>
                <w:sz w:val="20"/>
                <w:szCs w:val="20"/>
              </w:rPr>
            </w:pPr>
          </w:p>
        </w:tc>
        <w:tc>
          <w:tcPr>
            <w:tcW w:w="992" w:type="dxa"/>
            <w:shd w:val="clear" w:color="auto" w:fill="FF7575"/>
          </w:tcPr>
          <w:p w14:paraId="022C0CF3"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negative</w:t>
            </w:r>
          </w:p>
        </w:tc>
        <w:tc>
          <w:tcPr>
            <w:tcW w:w="1418" w:type="dxa"/>
            <w:shd w:val="clear" w:color="auto" w:fill="FF7575"/>
            <w:noWrap/>
            <w:vAlign w:val="bottom"/>
          </w:tcPr>
          <w:p w14:paraId="6EF97C39" w14:textId="77777777" w:rsidR="00223F7A" w:rsidRPr="009867C1" w:rsidRDefault="00223F7A" w:rsidP="00BA6F95">
            <w:pPr>
              <w:rPr>
                <w:sz w:val="20"/>
                <w:szCs w:val="20"/>
              </w:rPr>
            </w:pPr>
            <w:r w:rsidRPr="009867C1">
              <w:rPr>
                <w:sz w:val="20"/>
                <w:szCs w:val="20"/>
                <w:lang w:val="en-CA" w:eastAsia="en-CA"/>
              </w:rPr>
              <w:t>decrease</w:t>
            </w:r>
          </w:p>
        </w:tc>
        <w:tc>
          <w:tcPr>
            <w:tcW w:w="2701" w:type="dxa"/>
            <w:shd w:val="clear" w:color="auto" w:fill="FFFFFF" w:themeFill="background1"/>
            <w:noWrap/>
            <w:vAlign w:val="bottom"/>
          </w:tcPr>
          <w:p w14:paraId="741F8E84" w14:textId="77777777"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t>Lower fungal biomass with increased fertility</w:t>
            </w:r>
          </w:p>
        </w:tc>
        <w:tc>
          <w:tcPr>
            <w:tcW w:w="1834" w:type="dxa"/>
            <w:shd w:val="clear" w:color="auto" w:fill="FFFFFF" w:themeFill="background1"/>
            <w:noWrap/>
            <w:vAlign w:val="bottom"/>
          </w:tcPr>
          <w:p w14:paraId="79AB5FCD" w14:textId="09D5D0E8" w:rsidR="00223F7A" w:rsidRPr="009867C1" w:rsidRDefault="00223F7A" w:rsidP="00BA6F95">
            <w:pPr>
              <w:pStyle w:val="NoSpacing"/>
              <w:rPr>
                <w:rFonts w:ascii="Times New Roman" w:hAnsi="Times New Roman" w:cs="Times New Roman"/>
                <w:sz w:val="20"/>
                <w:szCs w:val="20"/>
              </w:rPr>
            </w:pPr>
            <w:r w:rsidRPr="009867C1">
              <w:rPr>
                <w:rFonts w:ascii="Times New Roman" w:hAnsi="Times New Roman" w:cs="Times New Roman"/>
                <w:sz w:val="20"/>
                <w:szCs w:val="20"/>
              </w:rPr>
              <w:fldChar w:fldCharType="begin"/>
            </w:r>
            <w:r w:rsidR="00AC0205">
              <w:rPr>
                <w:rFonts w:ascii="Times New Roman" w:hAnsi="Times New Roman" w:cs="Times New Roman"/>
                <w:sz w:val="20"/>
                <w:szCs w:val="20"/>
              </w:rPr>
              <w:instrText xml:space="preserve"> ADDIN ZOTERO_ITEM CSL_CITATION {"citationID":"QG5g728K","properties":{"formattedCitation":"(Wallenstein et al., 2006)","plainCitation":"(Wallenstein et al., 2006)","noteIndex":0},"citationItems":[{"id":410,"uris":["http://zotero.org/users/2189142/items/93X49JFU"],"itemData":{"id":410,"type":"article-journal","abstract":"We examined the effects of N fertilization on forest soil fungal and bacterial biomass at three long-term experiments in New England (Harvard Forest, MA; Mt. Ascutney, VT; Bear Brook, ME). At Harvard Forest, chronic N fertilization has decreased organic soil microbial biomass C (MBC) by an average of 54% and substrate induced respiration (SIR) was decreased by an average of 45% in hardwood stands. In the pine stand, organic soil MBC was decreased by 40% and SIR decreased by an average of 35%. The fungal:bacterial activity ratio was also decreased in the hardwood stands from an average of 1.5 in the control plot to 1.0 in the High-N plot, and in the pine stands from 1.9 in control plot to 1.0 in the High-N stand. At Mt. Ascutney, MBC was reduced by an average of 59% and SIR by 52% in the High N plots relative to the unfertilized plots, and the fungal:bacterial activity ratio was only slightly decreased. The Bear Brook watershed is in an earlier stage of N saturation (Stage 0–1) and did not exhibit significant fertilization effects on microbial biomass. Across all three sites, MBC and SIR had negative relationships with total N inputs in both mineral soils and organic soils, though the effect was much stronger in organic soils. Both MBC and SIR were positively correlated with dissolved organic C, total soil C, and bulk soil C:N ratios. These results are consistent with the N saturation hypothesis, but do not indicate a strong role for microbial N immobilization in preventing N loss.","container-title":"Forest Ecology and Management","DOI":"10.1016/j.foreco.2005.11.002","ISSN":"0378-1127","issue":"1–3","journalAbbreviation":"Forest Ecology and Management","page":"459-468","source":"ScienceDirect","title":"Nitrogen fertilization decreases forest soil fungal and bacterial biomass in three long-term experiments","volume":"222","author":[{"family":"Wallenstein","given":"Matthew D."},{"family":"McNulty","given":"Steven"},{"family":"Fernandez","given":"Ivan J."},{"family":"Boggs","given":"Johnny"},{"family":"Schlesinger","given":"William H."}],"issued":{"date-parts":[["2006",2,15]]},"citation-key":"wallenstein_2006a"}}],"schema":"https://github.com/citation-style-language/schema/raw/master/csl-citation.json"} </w:instrText>
            </w:r>
            <w:r w:rsidRPr="009867C1">
              <w:rPr>
                <w:rFonts w:ascii="Times New Roman" w:hAnsi="Times New Roman" w:cs="Times New Roman"/>
                <w:sz w:val="20"/>
                <w:szCs w:val="20"/>
              </w:rPr>
              <w:fldChar w:fldCharType="separate"/>
            </w:r>
            <w:r w:rsidR="0042141C" w:rsidRPr="009867C1">
              <w:rPr>
                <w:rFonts w:ascii="Times New Roman" w:hAnsi="Times New Roman" w:cs="Times New Roman"/>
                <w:sz w:val="20"/>
              </w:rPr>
              <w:t>(Wallenstein et al., 2006)</w:t>
            </w:r>
            <w:r w:rsidRPr="009867C1">
              <w:rPr>
                <w:rFonts w:ascii="Times New Roman" w:hAnsi="Times New Roman" w:cs="Times New Roman"/>
                <w:sz w:val="20"/>
                <w:szCs w:val="20"/>
              </w:rPr>
              <w:fldChar w:fldCharType="end"/>
            </w:r>
          </w:p>
        </w:tc>
      </w:tr>
    </w:tbl>
    <w:p w14:paraId="24874AB2" w14:textId="77777777" w:rsidR="004D28B0" w:rsidRDefault="004D28B0" w:rsidP="008C26C1">
      <w:pPr>
        <w:pStyle w:val="Caption"/>
      </w:pPr>
      <w:bookmarkStart w:id="65" w:name="_Ref76483600"/>
    </w:p>
    <w:p w14:paraId="1963AF42" w14:textId="77777777" w:rsidR="004D28B0" w:rsidRDefault="004D28B0" w:rsidP="008C26C1">
      <w:pPr>
        <w:pStyle w:val="Caption"/>
      </w:pPr>
    </w:p>
    <w:p w14:paraId="662BAAB0" w14:textId="77777777" w:rsidR="004D28B0" w:rsidRDefault="004D28B0" w:rsidP="008C26C1">
      <w:pPr>
        <w:pStyle w:val="Caption"/>
      </w:pPr>
    </w:p>
    <w:p w14:paraId="19FAA14E" w14:textId="77777777" w:rsidR="004D28B0" w:rsidRDefault="004D28B0" w:rsidP="008C26C1">
      <w:pPr>
        <w:pStyle w:val="Caption"/>
      </w:pPr>
    </w:p>
    <w:p w14:paraId="239DEC5A" w14:textId="77777777" w:rsidR="004D28B0" w:rsidRDefault="004D28B0" w:rsidP="008C26C1">
      <w:pPr>
        <w:pStyle w:val="Caption"/>
      </w:pPr>
    </w:p>
    <w:p w14:paraId="7B248C4E" w14:textId="77777777" w:rsidR="004D28B0" w:rsidRDefault="004D28B0" w:rsidP="008C26C1">
      <w:pPr>
        <w:pStyle w:val="Caption"/>
      </w:pPr>
    </w:p>
    <w:p w14:paraId="3BEB6005" w14:textId="77777777" w:rsidR="004D28B0" w:rsidRDefault="004D28B0" w:rsidP="008C26C1">
      <w:pPr>
        <w:pStyle w:val="Caption"/>
      </w:pPr>
    </w:p>
    <w:p w14:paraId="63392DB2" w14:textId="77777777" w:rsidR="004D28B0" w:rsidRDefault="004D28B0" w:rsidP="008C26C1">
      <w:pPr>
        <w:pStyle w:val="Caption"/>
      </w:pPr>
    </w:p>
    <w:p w14:paraId="0AD2E321" w14:textId="77777777" w:rsidR="004D28B0" w:rsidRDefault="004D28B0" w:rsidP="008C26C1">
      <w:pPr>
        <w:pStyle w:val="Caption"/>
      </w:pPr>
    </w:p>
    <w:p w14:paraId="1DAC6D58" w14:textId="4C8B15FC" w:rsidR="004D28B0" w:rsidRDefault="004D28B0" w:rsidP="008C26C1">
      <w:pPr>
        <w:pStyle w:val="Caption"/>
      </w:pPr>
    </w:p>
    <w:p w14:paraId="0ED73BB1" w14:textId="7219B24A" w:rsidR="000373E1" w:rsidRDefault="000373E1" w:rsidP="000373E1"/>
    <w:p w14:paraId="5ED9BB8A" w14:textId="61FC844F" w:rsidR="000373E1" w:rsidRDefault="000373E1" w:rsidP="000373E1"/>
    <w:p w14:paraId="2F6CA91C" w14:textId="76A06BEA" w:rsidR="000373E1" w:rsidRDefault="000373E1" w:rsidP="000373E1"/>
    <w:p w14:paraId="0358DA8F" w14:textId="02C55ED1" w:rsidR="000373E1" w:rsidRDefault="000373E1" w:rsidP="000373E1"/>
    <w:p w14:paraId="68D33A9C" w14:textId="0A7C65D8" w:rsidR="000373E1" w:rsidRDefault="000373E1" w:rsidP="000373E1"/>
    <w:p w14:paraId="615BBA8D" w14:textId="17109E13" w:rsidR="000373E1" w:rsidRDefault="000373E1" w:rsidP="000373E1"/>
    <w:p w14:paraId="738CF320" w14:textId="77777777" w:rsidR="000373E1" w:rsidRPr="000373E1" w:rsidRDefault="000373E1" w:rsidP="000373E1"/>
    <w:p w14:paraId="39313AA5" w14:textId="77777777" w:rsidR="004D28B0" w:rsidRDefault="004D28B0" w:rsidP="008C26C1">
      <w:pPr>
        <w:pStyle w:val="Caption"/>
      </w:pPr>
    </w:p>
    <w:p w14:paraId="6D35A76B" w14:textId="56052BA9" w:rsidR="00764283" w:rsidRDefault="008C26C1" w:rsidP="008C26C1">
      <w:pPr>
        <w:pStyle w:val="Caption"/>
      </w:pPr>
      <w:bookmarkStart w:id="66" w:name="_Ref101783379"/>
      <w:r>
        <w:t xml:space="preserve">Table </w:t>
      </w:r>
      <w:r>
        <w:fldChar w:fldCharType="begin"/>
      </w:r>
      <w:r>
        <w:instrText xml:space="preserve"> STYLEREF 2 \s </w:instrText>
      </w:r>
      <w:r>
        <w:fldChar w:fldCharType="separate"/>
      </w:r>
      <w:r w:rsidR="000667DB">
        <w:rPr>
          <w:noProof/>
        </w:rPr>
        <w:t>2</w:t>
      </w:r>
      <w:r>
        <w:fldChar w:fldCharType="end"/>
      </w:r>
      <w:r>
        <w:noBreakHyphen/>
      </w:r>
      <w:r>
        <w:fldChar w:fldCharType="begin"/>
      </w:r>
      <w:r>
        <w:instrText xml:space="preserve"> SEQ Table \* ARABIC \s 2 </w:instrText>
      </w:r>
      <w:r>
        <w:fldChar w:fldCharType="separate"/>
      </w:r>
      <w:r w:rsidR="000667DB">
        <w:rPr>
          <w:noProof/>
        </w:rPr>
        <w:t>2</w:t>
      </w:r>
      <w:r>
        <w:fldChar w:fldCharType="end"/>
      </w:r>
      <w:bookmarkEnd w:id="65"/>
      <w:bookmarkEnd w:id="66"/>
      <w:r>
        <w:t xml:space="preserve">: </w:t>
      </w:r>
      <w:r w:rsidR="00764283">
        <w:t>Chemical compounds measured, their units, preparation methods, analytical methodology, and type of measurement. All tests were conducted by the British Columbia Ministry of Environment analytical laboratory.</w:t>
      </w:r>
    </w:p>
    <w:p w14:paraId="3E649B6C" w14:textId="77777777" w:rsidR="00764283" w:rsidRDefault="00764283" w:rsidP="00764283">
      <w:pPr>
        <w:keepNext/>
      </w:pPr>
      <w:r>
        <w:rPr>
          <w:noProof/>
          <w:lang w:val="en-CA" w:eastAsia="en-CA"/>
        </w:rPr>
        <w:drawing>
          <wp:inline distT="0" distB="0" distL="0" distR="0" wp14:anchorId="2C8CA082" wp14:editId="29F6590B">
            <wp:extent cx="6664983" cy="4185824"/>
            <wp:effectExtent l="0" t="0" r="0" b="5715"/>
            <wp:docPr id="28" name="Picture 28" descr="D:\[0] Sync\[0] Syncbox\[0] Thesis\[0] Data and Analyses\[2] E1 - Core-level data\2018 - MOE lab - Chemical data\chem_test_summary.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0] Sync\[0] Syncbox\[0] Thesis\[0] Data and Analyses\[2] E1 - Core-level data\2018 - MOE lab - Chemical data\chem_test_summary.png.pn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r="20641"/>
                    <a:stretch/>
                  </pic:blipFill>
                  <pic:spPr bwMode="auto">
                    <a:xfrm>
                      <a:off x="0" y="0"/>
                      <a:ext cx="6683440" cy="4197415"/>
                    </a:xfrm>
                    <a:prstGeom prst="rect">
                      <a:avLst/>
                    </a:prstGeom>
                    <a:noFill/>
                    <a:ln>
                      <a:noFill/>
                    </a:ln>
                    <a:extLst>
                      <a:ext uri="{53640926-AAD7-44D8-BBD7-CCE9431645EC}">
                        <a14:shadowObscured xmlns:a14="http://schemas.microsoft.com/office/drawing/2010/main"/>
                      </a:ext>
                    </a:extLst>
                  </pic:spPr>
                </pic:pic>
              </a:graphicData>
            </a:graphic>
          </wp:inline>
        </w:drawing>
      </w:r>
    </w:p>
    <w:p w14:paraId="34AB5946" w14:textId="77777777" w:rsidR="00764283" w:rsidRDefault="00764283" w:rsidP="00764283">
      <w:r>
        <w:br w:type="page"/>
      </w:r>
    </w:p>
    <w:p w14:paraId="65EE7C1C" w14:textId="77777777" w:rsidR="002C368C" w:rsidRPr="009867C1" w:rsidRDefault="00223F7A" w:rsidP="002C368C">
      <w:pPr>
        <w:keepNext/>
      </w:pPr>
      <w:r w:rsidRPr="009867C1">
        <w:rPr>
          <w:noProof/>
        </w:rPr>
        <w:drawing>
          <wp:inline distT="0" distB="0" distL="0" distR="0" wp14:anchorId="238EE7E4" wp14:editId="4E94511D">
            <wp:extent cx="5943600" cy="571682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3815"/>
                    <a:stretch/>
                  </pic:blipFill>
                  <pic:spPr bwMode="auto">
                    <a:xfrm>
                      <a:off x="0" y="0"/>
                      <a:ext cx="5943600" cy="5716829"/>
                    </a:xfrm>
                    <a:prstGeom prst="rect">
                      <a:avLst/>
                    </a:prstGeom>
                    <a:noFill/>
                    <a:ln>
                      <a:noFill/>
                    </a:ln>
                    <a:extLst>
                      <a:ext uri="{53640926-AAD7-44D8-BBD7-CCE9431645EC}">
                        <a14:shadowObscured xmlns:a14="http://schemas.microsoft.com/office/drawing/2010/main"/>
                      </a:ext>
                    </a:extLst>
                  </pic:spPr>
                </pic:pic>
              </a:graphicData>
            </a:graphic>
          </wp:inline>
        </w:drawing>
      </w:r>
    </w:p>
    <w:p w14:paraId="77F671B7" w14:textId="7C0E2773" w:rsidR="002C368C" w:rsidRPr="009867C1" w:rsidRDefault="00B673D4" w:rsidP="00B673D4">
      <w:pPr>
        <w:pStyle w:val="Caption"/>
        <w:rPr>
          <w:vanish/>
          <w:specVanish/>
        </w:rPr>
      </w:pPr>
      <w:bookmarkStart w:id="67" w:name="_Ref76483328"/>
      <w:bookmarkStart w:id="68" w:name="_Toc101783799"/>
      <w:r w:rsidRPr="009867C1">
        <w:t xml:space="preserve">Figure </w:t>
      </w:r>
      <w:r w:rsidR="008C26C1">
        <w:fldChar w:fldCharType="begin"/>
      </w:r>
      <w:r w:rsidR="008C26C1">
        <w:instrText xml:space="preserve"> STYLEREF 2 \s </w:instrText>
      </w:r>
      <w:r w:rsidR="008C26C1">
        <w:fldChar w:fldCharType="separate"/>
      </w:r>
      <w:r w:rsidR="000667DB">
        <w:rPr>
          <w:noProof/>
        </w:rPr>
        <w:t>2</w:t>
      </w:r>
      <w:r w:rsidR="008C26C1">
        <w:fldChar w:fldCharType="end"/>
      </w:r>
      <w:r w:rsidR="008C26C1">
        <w:noBreakHyphen/>
      </w:r>
      <w:r w:rsidR="008C26C1">
        <w:fldChar w:fldCharType="begin"/>
      </w:r>
      <w:r w:rsidR="008C26C1">
        <w:instrText xml:space="preserve"> SEQ Figure \* ARABIC \s 2 </w:instrText>
      </w:r>
      <w:r w:rsidR="008C26C1">
        <w:fldChar w:fldCharType="separate"/>
      </w:r>
      <w:r w:rsidR="000667DB">
        <w:rPr>
          <w:noProof/>
        </w:rPr>
        <w:t>1</w:t>
      </w:r>
      <w:r w:rsidR="008C26C1">
        <w:fldChar w:fldCharType="end"/>
      </w:r>
      <w:bookmarkEnd w:id="67"/>
      <w:r w:rsidRPr="009867C1">
        <w:t xml:space="preserve">: </w:t>
      </w:r>
      <w:r w:rsidR="002C368C" w:rsidRPr="009867C1">
        <w:t>Canonical correspondence ordination for aggregate soil chemistry.</w:t>
      </w:r>
      <w:bookmarkEnd w:id="68"/>
    </w:p>
    <w:p w14:paraId="44758320" w14:textId="787E2C9B" w:rsidR="002C368C" w:rsidRPr="009867C1" w:rsidRDefault="002C368C" w:rsidP="002C368C">
      <w:pPr>
        <w:pStyle w:val="Caption"/>
      </w:pPr>
      <w:r w:rsidRPr="009867C1">
        <w:t xml:space="preserve"> The initial set of chemical variables was constrained by salmon density, focal tree species, soil type, and the four vegetation PCA axes; the first tree PCA axis and the first herb PCA axis were not significant in initial models and dropped in the model shown here. 57% of the inertia was captured by the explanatory factors. Adjusted R</w:t>
      </w:r>
      <w:r w:rsidRPr="009867C1">
        <w:rPr>
          <w:vertAlign w:val="superscript"/>
        </w:rPr>
        <w:t>2</w:t>
      </w:r>
      <w:r w:rsidRPr="009867C1">
        <w:t xml:space="preserve"> for the whole model was 0.4</w:t>
      </w:r>
      <w:r w:rsidR="000527BB">
        <w:t>0</w:t>
      </w:r>
      <w:r w:rsidRPr="009867C1">
        <w:t xml:space="preserve"> and VIFs amongst explanatory variables was tolerable (&lt;3.2).</w:t>
      </w:r>
    </w:p>
    <w:p w14:paraId="3C817032" w14:textId="77777777" w:rsidR="00764283" w:rsidRDefault="00764283" w:rsidP="00764283">
      <w:pPr>
        <w:pStyle w:val="Caption"/>
        <w:keepNext/>
      </w:pPr>
    </w:p>
    <w:p w14:paraId="4CB9F33F" w14:textId="1213BC31" w:rsidR="00764283" w:rsidRDefault="00764283" w:rsidP="00764283">
      <w:pPr>
        <w:pStyle w:val="Caption"/>
        <w:keepNext/>
      </w:pPr>
      <w:bookmarkStart w:id="69" w:name="_Ref76483620"/>
      <w:r>
        <w:t xml:space="preserve">Table </w:t>
      </w:r>
      <w:r w:rsidR="008C26C1">
        <w:fldChar w:fldCharType="begin"/>
      </w:r>
      <w:r w:rsidR="008C26C1">
        <w:instrText xml:space="preserve"> STYLEREF 2 \s </w:instrText>
      </w:r>
      <w:r w:rsidR="008C26C1">
        <w:fldChar w:fldCharType="separate"/>
      </w:r>
      <w:r w:rsidR="000667DB">
        <w:rPr>
          <w:noProof/>
        </w:rPr>
        <w:t>2</w:t>
      </w:r>
      <w:r w:rsidR="008C26C1">
        <w:fldChar w:fldCharType="end"/>
      </w:r>
      <w:r w:rsidR="008C26C1">
        <w:noBreakHyphen/>
      </w:r>
      <w:r w:rsidR="008C26C1">
        <w:fldChar w:fldCharType="begin"/>
      </w:r>
      <w:r w:rsidR="008C26C1">
        <w:instrText xml:space="preserve"> SEQ Table \* ARABIC \s 2 </w:instrText>
      </w:r>
      <w:r w:rsidR="008C26C1">
        <w:fldChar w:fldCharType="separate"/>
      </w:r>
      <w:r w:rsidR="000667DB">
        <w:rPr>
          <w:noProof/>
        </w:rPr>
        <w:t>3</w:t>
      </w:r>
      <w:r w:rsidR="008C26C1">
        <w:fldChar w:fldCharType="end"/>
      </w:r>
      <w:bookmarkEnd w:id="69"/>
      <w:r>
        <w:t xml:space="preserve">: Summary table of the canonical correspondence analysis parameters. Salmon density, soil type, focal tree, the first moss PCA and the first shrub PCA were significant at a P &lt; 0.05 threshold. </w:t>
      </w:r>
      <w:bookmarkStart w:id="70" w:name="_Hlk73011929"/>
      <w:r>
        <w:t>The first tree PCA axis and the first herb PCA axis were not significant in initial models and dropped here.</w:t>
      </w:r>
      <w:bookmarkEnd w:id="70"/>
      <w:r>
        <w:t xml:space="preserve"> F-values are “pseudo-F values” sensu Legendre &amp; Legendre 2012, and P-values are based on distributions generated from 1000 random permutations. </w:t>
      </w:r>
    </w:p>
    <w:p w14:paraId="14B5A3DD" w14:textId="77777777" w:rsidR="00764283" w:rsidRDefault="00764283" w:rsidP="00764283">
      <w:r>
        <w:rPr>
          <w:noProof/>
        </w:rPr>
        <w:drawing>
          <wp:inline distT="0" distB="0" distL="0" distR="0" wp14:anchorId="5E7DB4D8" wp14:editId="178FB590">
            <wp:extent cx="5936615" cy="1535430"/>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36615" cy="1535430"/>
                    </a:xfrm>
                    <a:prstGeom prst="rect">
                      <a:avLst/>
                    </a:prstGeom>
                    <a:noFill/>
                    <a:ln>
                      <a:noFill/>
                    </a:ln>
                  </pic:spPr>
                </pic:pic>
              </a:graphicData>
            </a:graphic>
          </wp:inline>
        </w:drawing>
      </w:r>
    </w:p>
    <w:p w14:paraId="02EB25F7" w14:textId="6B343006" w:rsidR="002C368C" w:rsidRPr="009867C1" w:rsidRDefault="002C368C" w:rsidP="002C368C">
      <w:pPr>
        <w:pStyle w:val="Caption"/>
      </w:pPr>
    </w:p>
    <w:p w14:paraId="440E678D" w14:textId="77777777" w:rsidR="00223F7A" w:rsidRPr="009867C1" w:rsidRDefault="00223F7A" w:rsidP="00223F7A"/>
    <w:p w14:paraId="77A757D2" w14:textId="77777777" w:rsidR="00223F7A" w:rsidRPr="009867C1" w:rsidRDefault="00223F7A" w:rsidP="00223F7A"/>
    <w:p w14:paraId="69E11E0E" w14:textId="77777777" w:rsidR="00223F7A" w:rsidRPr="009867C1" w:rsidRDefault="00223F7A" w:rsidP="00223F7A"/>
    <w:p w14:paraId="7C4AE835" w14:textId="77777777" w:rsidR="00223F7A" w:rsidRPr="009867C1" w:rsidRDefault="00223F7A" w:rsidP="00223F7A"/>
    <w:p w14:paraId="60BB3363" w14:textId="620C34E9" w:rsidR="00223F7A" w:rsidRPr="009867C1" w:rsidRDefault="00636636" w:rsidP="00223F7A">
      <w:r>
        <w:rPr>
          <w:noProof/>
        </w:rPr>
        <w:drawing>
          <wp:inline distT="0" distB="0" distL="0" distR="0" wp14:anchorId="11D73A74" wp14:editId="18EA8C76">
            <wp:extent cx="4556097" cy="7289755"/>
            <wp:effectExtent l="0" t="0" r="0" b="698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58714" cy="7293943"/>
                    </a:xfrm>
                    <a:prstGeom prst="rect">
                      <a:avLst/>
                    </a:prstGeom>
                    <a:noFill/>
                    <a:ln>
                      <a:noFill/>
                    </a:ln>
                  </pic:spPr>
                </pic:pic>
              </a:graphicData>
            </a:graphic>
          </wp:inline>
        </w:drawing>
      </w:r>
    </w:p>
    <w:p w14:paraId="08AF39CE" w14:textId="77777777" w:rsidR="00223F7A" w:rsidRPr="009867C1" w:rsidRDefault="00223F7A" w:rsidP="00223F7A">
      <w:pPr>
        <w:keepNext/>
      </w:pPr>
    </w:p>
    <w:p w14:paraId="236C3AB5" w14:textId="6DF95CBE" w:rsidR="00C532E1" w:rsidRPr="009867C1" w:rsidRDefault="00223F7A" w:rsidP="00223F7A">
      <w:pPr>
        <w:pStyle w:val="Caption"/>
        <w:rPr>
          <w:vanish/>
          <w:specVanish/>
        </w:rPr>
      </w:pPr>
      <w:bookmarkStart w:id="71" w:name="_Ref37603035"/>
      <w:bookmarkStart w:id="72" w:name="_Toc101783800"/>
      <w:bookmarkStart w:id="73" w:name="_Toc74923549"/>
      <w:r w:rsidRPr="009867C1">
        <w:t xml:space="preserve">Figure </w:t>
      </w:r>
      <w:r w:rsidR="008C26C1">
        <w:fldChar w:fldCharType="begin"/>
      </w:r>
      <w:r w:rsidR="008C26C1">
        <w:instrText xml:space="preserve"> STYLEREF 2 \s </w:instrText>
      </w:r>
      <w:r w:rsidR="008C26C1">
        <w:fldChar w:fldCharType="separate"/>
      </w:r>
      <w:r w:rsidR="000667DB">
        <w:rPr>
          <w:noProof/>
        </w:rPr>
        <w:t>2</w:t>
      </w:r>
      <w:r w:rsidR="008C26C1">
        <w:fldChar w:fldCharType="end"/>
      </w:r>
      <w:r w:rsidR="008C26C1">
        <w:noBreakHyphen/>
      </w:r>
      <w:r w:rsidR="008C26C1">
        <w:fldChar w:fldCharType="begin"/>
      </w:r>
      <w:r w:rsidR="008C26C1">
        <w:instrText xml:space="preserve"> SEQ Figure \* ARABIC \s 2 </w:instrText>
      </w:r>
      <w:r w:rsidR="008C26C1">
        <w:fldChar w:fldCharType="separate"/>
      </w:r>
      <w:r w:rsidR="000667DB">
        <w:rPr>
          <w:noProof/>
        </w:rPr>
        <w:t>2</w:t>
      </w:r>
      <w:r w:rsidR="008C26C1">
        <w:fldChar w:fldCharType="end"/>
      </w:r>
      <w:bookmarkEnd w:id="71"/>
      <w:r w:rsidRPr="009867C1">
        <w:t>: Nitrogen GLM results for regional gradient data and boxplots for above/below waterfall data.</w:t>
      </w:r>
      <w:bookmarkEnd w:id="72"/>
    </w:p>
    <w:p w14:paraId="45494956" w14:textId="40BABDEE" w:rsidR="00223F7A" w:rsidRDefault="00223F7A" w:rsidP="00223F7A">
      <w:pPr>
        <w:pStyle w:val="Caption"/>
        <w:rPr>
          <w:noProof/>
          <w:lang w:val="en-CA" w:eastAsia="en-CA"/>
        </w:rPr>
      </w:pPr>
      <w:r w:rsidRPr="009867C1">
        <w:t xml:space="preserve"> The top row of each chemical are forest floors (0-5 cm) and second row are organic soil (10-15 cm). The first column are scatterplots for the global model of each chemical as a function of salmon density, with prediction lines and 95% confidence intervals indicating marginal responses to salmon density keeping all other explanatory variables at their mean values. The middle column indicates model-averaged standardized coefficient values for each explanatory variable, with significant (p&lt;0.05) values indicated by filled dots. Contrasts for focal tree coefficients (FT: Cedar, FT: Sitka Spruce, and FT: Hemlock) indicate differences relative to Amabilis Fir. The rightmost columns are boxplots of above falls (AF; grey coloured box) and below falls (BF; salmon coloured box) data, with P-values indicated for paired Wilcoxon tests. Top and bottom of each box denote 75</w:t>
      </w:r>
      <w:r w:rsidRPr="009867C1">
        <w:rPr>
          <w:vertAlign w:val="superscript"/>
        </w:rPr>
        <w:t>th</w:t>
      </w:r>
      <w:r w:rsidRPr="009867C1">
        <w:t xml:space="preserve"> and 25</w:t>
      </w:r>
      <w:r w:rsidRPr="009867C1">
        <w:rPr>
          <w:vertAlign w:val="superscript"/>
        </w:rPr>
        <w:t>th</w:t>
      </w:r>
      <w:r w:rsidRPr="009867C1">
        <w:t xml:space="preserve"> quantiles respectively; whiskers show 1.5*IQR; dark central line indicates median values. </w:t>
      </w:r>
      <w:bookmarkEnd w:id="73"/>
    </w:p>
    <w:p w14:paraId="57152D13" w14:textId="4EFF9DBC" w:rsidR="009F4AEB" w:rsidRDefault="009F4AEB" w:rsidP="009F4AEB">
      <w:pPr>
        <w:rPr>
          <w:lang w:val="en-CA" w:eastAsia="en-CA"/>
        </w:rPr>
      </w:pPr>
      <w:r>
        <w:rPr>
          <w:noProof/>
        </w:rPr>
        <w:drawing>
          <wp:inline distT="0" distB="0" distL="0" distR="0" wp14:anchorId="601EE2E5" wp14:editId="7CE84077">
            <wp:extent cx="5143500" cy="82296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43500" cy="8229600"/>
                    </a:xfrm>
                    <a:prstGeom prst="rect">
                      <a:avLst/>
                    </a:prstGeom>
                    <a:noFill/>
                    <a:ln>
                      <a:noFill/>
                    </a:ln>
                  </pic:spPr>
                </pic:pic>
              </a:graphicData>
            </a:graphic>
          </wp:inline>
        </w:drawing>
      </w:r>
    </w:p>
    <w:p w14:paraId="3F53088B" w14:textId="307D4591" w:rsidR="009F4AEB" w:rsidRDefault="009F4AEB" w:rsidP="009F4AEB">
      <w:pPr>
        <w:rPr>
          <w:lang w:val="en-CA" w:eastAsia="en-CA"/>
        </w:rPr>
      </w:pPr>
      <w:r>
        <w:rPr>
          <w:noProof/>
        </w:rPr>
        <w:drawing>
          <wp:inline distT="0" distB="0" distL="0" distR="0" wp14:anchorId="04BC5883" wp14:editId="6440E304">
            <wp:extent cx="5414838" cy="8663740"/>
            <wp:effectExtent l="0" t="0" r="0"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16341" cy="8666145"/>
                    </a:xfrm>
                    <a:prstGeom prst="rect">
                      <a:avLst/>
                    </a:prstGeom>
                    <a:noFill/>
                    <a:ln>
                      <a:noFill/>
                    </a:ln>
                  </pic:spPr>
                </pic:pic>
              </a:graphicData>
            </a:graphic>
          </wp:inline>
        </w:drawing>
      </w:r>
    </w:p>
    <w:p w14:paraId="5575C44D" w14:textId="77777777" w:rsidR="009F4AEB" w:rsidRPr="009F4AEB" w:rsidRDefault="009F4AEB" w:rsidP="009F4AEB">
      <w:pPr>
        <w:rPr>
          <w:lang w:val="en-CA" w:eastAsia="en-CA"/>
        </w:rPr>
      </w:pPr>
    </w:p>
    <w:p w14:paraId="5EADB9F9" w14:textId="2E134FDA" w:rsidR="00C532E1" w:rsidRPr="009867C1" w:rsidRDefault="00223F7A" w:rsidP="00223F7A">
      <w:pPr>
        <w:pStyle w:val="Caption"/>
        <w:rPr>
          <w:vanish/>
          <w:specVanish/>
        </w:rPr>
      </w:pPr>
      <w:bookmarkStart w:id="74" w:name="_Ref37697423"/>
      <w:bookmarkStart w:id="75" w:name="_Toc101783801"/>
      <w:bookmarkStart w:id="76" w:name="_Toc74923550"/>
      <w:r w:rsidRPr="009867C1">
        <w:t xml:space="preserve">Figure </w:t>
      </w:r>
      <w:r w:rsidR="008C26C1">
        <w:fldChar w:fldCharType="begin"/>
      </w:r>
      <w:r w:rsidR="008C26C1">
        <w:instrText xml:space="preserve"> STYLEREF 2 \s </w:instrText>
      </w:r>
      <w:r w:rsidR="008C26C1">
        <w:fldChar w:fldCharType="separate"/>
      </w:r>
      <w:r w:rsidR="000667DB">
        <w:rPr>
          <w:noProof/>
        </w:rPr>
        <w:t>2</w:t>
      </w:r>
      <w:r w:rsidR="008C26C1">
        <w:fldChar w:fldCharType="end"/>
      </w:r>
      <w:r w:rsidR="008C26C1">
        <w:noBreakHyphen/>
      </w:r>
      <w:r w:rsidR="008C26C1">
        <w:fldChar w:fldCharType="begin"/>
      </w:r>
      <w:r w:rsidR="008C26C1">
        <w:instrText xml:space="preserve"> SEQ Figure \* ARABIC \s 2 </w:instrText>
      </w:r>
      <w:r w:rsidR="008C26C1">
        <w:fldChar w:fldCharType="separate"/>
      </w:r>
      <w:r w:rsidR="000667DB">
        <w:rPr>
          <w:noProof/>
        </w:rPr>
        <w:t>3</w:t>
      </w:r>
      <w:r w:rsidR="008C26C1">
        <w:fldChar w:fldCharType="end"/>
      </w:r>
      <w:bookmarkEnd w:id="74"/>
      <w:r w:rsidRPr="009867C1">
        <w:t>: pH and organic substance GLM results for regional gradient data and boxplots for above/below waterfall data.</w:t>
      </w:r>
      <w:bookmarkEnd w:id="75"/>
    </w:p>
    <w:p w14:paraId="71CF6DF8" w14:textId="05DE81BB" w:rsidR="00223F7A" w:rsidRPr="009867C1" w:rsidRDefault="00223F7A" w:rsidP="00223F7A">
      <w:pPr>
        <w:pStyle w:val="Caption"/>
      </w:pPr>
      <w:r w:rsidRPr="009867C1">
        <w:t xml:space="preserve"> The top row of each chemical are forest floors (0-5 cm) and second row are organic soil (10-15 cm). The first column are scatterplots for the global model of each chemical as a function of salmon density, with prediction lines and 95% confidence intervals indicating marginal responses to salmon density keeping all other explanatory variables at their mean values. The middle column indicates model-averaged standardized coefficient values for each explanatory variable, with significant (p&lt;0.05) values indicated by filled dots. Contrasts for focal tree coefficients (FT: Cedar, FT: Sitka Spruce, and FT: Hemlock) indicate differences relative to Amabilis Fir. The rightmost columns are boxplots of above falls (AF; grey coloured box) and below falls (BF; salmon coloured box) data, with P-values indicated for paired Wilcoxon tests. Top and bottom of each box denote 75</w:t>
      </w:r>
      <w:r w:rsidRPr="009867C1">
        <w:rPr>
          <w:vertAlign w:val="superscript"/>
        </w:rPr>
        <w:t>th</w:t>
      </w:r>
      <w:r w:rsidRPr="009867C1">
        <w:t xml:space="preserve"> and 25</w:t>
      </w:r>
      <w:r w:rsidRPr="009867C1">
        <w:rPr>
          <w:vertAlign w:val="superscript"/>
        </w:rPr>
        <w:t>th</w:t>
      </w:r>
      <w:r w:rsidRPr="009867C1">
        <w:t xml:space="preserve"> quantiles respectively; whiskers show 1.5*IQR; dark central line indicates median values.</w:t>
      </w:r>
      <w:bookmarkEnd w:id="76"/>
    </w:p>
    <w:p w14:paraId="3DBAC88B" w14:textId="77777777" w:rsidR="00223F7A" w:rsidRPr="009867C1" w:rsidRDefault="00223F7A" w:rsidP="00223F7A"/>
    <w:p w14:paraId="41AC434E" w14:textId="2639E396" w:rsidR="00223F7A" w:rsidRPr="009867C1" w:rsidRDefault="009F4AEB" w:rsidP="00223F7A">
      <w:pPr>
        <w:keepNext/>
      </w:pPr>
      <w:r>
        <w:rPr>
          <w:noProof/>
        </w:rPr>
        <w:drawing>
          <wp:inline distT="0" distB="0" distL="0" distR="0" wp14:anchorId="639D11B6" wp14:editId="2C6B2A13">
            <wp:extent cx="5143500" cy="82296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43500" cy="8229600"/>
                    </a:xfrm>
                    <a:prstGeom prst="rect">
                      <a:avLst/>
                    </a:prstGeom>
                    <a:noFill/>
                    <a:ln>
                      <a:noFill/>
                    </a:ln>
                  </pic:spPr>
                </pic:pic>
              </a:graphicData>
            </a:graphic>
          </wp:inline>
        </w:drawing>
      </w:r>
    </w:p>
    <w:p w14:paraId="089ED3C4" w14:textId="0EE56AB8" w:rsidR="00223F7A" w:rsidRPr="009867C1" w:rsidRDefault="009F4AEB" w:rsidP="00223F7A">
      <w:pPr>
        <w:keepNext/>
      </w:pPr>
      <w:r>
        <w:rPr>
          <w:noProof/>
        </w:rPr>
        <w:drawing>
          <wp:inline distT="0" distB="0" distL="0" distR="0" wp14:anchorId="24693755" wp14:editId="6E01662C">
            <wp:extent cx="5943600" cy="6341745"/>
            <wp:effectExtent l="0" t="0" r="0" b="190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6341745"/>
                    </a:xfrm>
                    <a:prstGeom prst="rect">
                      <a:avLst/>
                    </a:prstGeom>
                    <a:noFill/>
                    <a:ln>
                      <a:noFill/>
                    </a:ln>
                  </pic:spPr>
                </pic:pic>
              </a:graphicData>
            </a:graphic>
          </wp:inline>
        </w:drawing>
      </w:r>
    </w:p>
    <w:p w14:paraId="12991DF5" w14:textId="11EE7821" w:rsidR="00C532E1" w:rsidRPr="009867C1" w:rsidRDefault="00223F7A" w:rsidP="00223F7A">
      <w:pPr>
        <w:pStyle w:val="Caption"/>
        <w:rPr>
          <w:vanish/>
          <w:specVanish/>
        </w:rPr>
      </w:pPr>
      <w:bookmarkStart w:id="77" w:name="_Ref37698445"/>
      <w:bookmarkStart w:id="78" w:name="_Toc101783802"/>
      <w:bookmarkStart w:id="79" w:name="_Toc74923551"/>
      <w:r w:rsidRPr="009867C1">
        <w:t xml:space="preserve">Figure </w:t>
      </w:r>
      <w:r w:rsidR="008C26C1">
        <w:fldChar w:fldCharType="begin"/>
      </w:r>
      <w:r w:rsidR="008C26C1">
        <w:instrText xml:space="preserve"> STYLEREF 2 \s </w:instrText>
      </w:r>
      <w:r w:rsidR="008C26C1">
        <w:fldChar w:fldCharType="separate"/>
      </w:r>
      <w:r w:rsidR="000667DB">
        <w:rPr>
          <w:noProof/>
        </w:rPr>
        <w:t>2</w:t>
      </w:r>
      <w:r w:rsidR="008C26C1">
        <w:fldChar w:fldCharType="end"/>
      </w:r>
      <w:r w:rsidR="008C26C1">
        <w:noBreakHyphen/>
      </w:r>
      <w:r w:rsidR="008C26C1">
        <w:fldChar w:fldCharType="begin"/>
      </w:r>
      <w:r w:rsidR="008C26C1">
        <w:instrText xml:space="preserve"> SEQ Figure \* ARABIC \s 2 </w:instrText>
      </w:r>
      <w:r w:rsidR="008C26C1">
        <w:fldChar w:fldCharType="separate"/>
      </w:r>
      <w:r w:rsidR="000667DB">
        <w:rPr>
          <w:noProof/>
        </w:rPr>
        <w:t>4</w:t>
      </w:r>
      <w:r w:rsidR="008C26C1">
        <w:fldChar w:fldCharType="end"/>
      </w:r>
      <w:bookmarkEnd w:id="77"/>
      <w:r w:rsidRPr="009867C1">
        <w:t>: Exchangeable cations GLM results for regional gradient data and boxplots for above/below waterfall data.</w:t>
      </w:r>
      <w:bookmarkEnd w:id="78"/>
    </w:p>
    <w:p w14:paraId="3122B51F" w14:textId="77777777" w:rsidR="009F4AEB" w:rsidRDefault="00223F7A" w:rsidP="00223F7A">
      <w:pPr>
        <w:pStyle w:val="Caption"/>
      </w:pPr>
      <w:r w:rsidRPr="009867C1">
        <w:t xml:space="preserve"> The top row of each chemical are forest floors (0-5 cm) and second row are organic soil (10-15 cm). The first column are scatterplots for the global model of each chemical as a function of salmon density, with prediction lines and 95% confidence intervals indicating marginal responses to salmon density keeping all other explanatory variables at their mean values. The middle column indicates model-averaged standardized coefficient values for each explanatory variable, with significant (p&lt;0.05) values indicated by filled dots. Contrasts for focal tree coefficients (FT: Cedar, FT: Sitka Spruce, and FT: Hemlock) indicate differences relative to Amabilis Fir. The rightmost columns are boxplots of above falls (AF; grey coloured box) and below falls (BF; salmon coloured box) data, with P-values indicated for paired Wilcoxon tests. Top and bottom of each box denote 75</w:t>
      </w:r>
      <w:r w:rsidRPr="009867C1">
        <w:rPr>
          <w:vertAlign w:val="superscript"/>
        </w:rPr>
        <w:t>th</w:t>
      </w:r>
      <w:r w:rsidRPr="009867C1">
        <w:t xml:space="preserve"> and 25</w:t>
      </w:r>
      <w:r w:rsidRPr="009867C1">
        <w:rPr>
          <w:vertAlign w:val="superscript"/>
        </w:rPr>
        <w:t>th</w:t>
      </w:r>
      <w:r w:rsidRPr="009867C1">
        <w:t xml:space="preserve"> quantiles respectively; whiskers show 1.5*IQR; dark central line indicates median values. </w:t>
      </w:r>
    </w:p>
    <w:p w14:paraId="502EC42B" w14:textId="5B915593" w:rsidR="00223F7A" w:rsidRPr="009867C1" w:rsidRDefault="009F4AEB" w:rsidP="00223F7A">
      <w:pPr>
        <w:pStyle w:val="Caption"/>
        <w:rPr>
          <w:noProof/>
          <w:lang w:val="en-CA" w:eastAsia="en-CA"/>
        </w:rPr>
      </w:pPr>
      <w:r>
        <w:rPr>
          <w:noProof/>
        </w:rPr>
        <w:drawing>
          <wp:inline distT="0" distB="0" distL="0" distR="0" wp14:anchorId="56824669" wp14:editId="718CD738">
            <wp:extent cx="5143500" cy="82296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43500" cy="8229600"/>
                    </a:xfrm>
                    <a:prstGeom prst="rect">
                      <a:avLst/>
                    </a:prstGeom>
                    <a:noFill/>
                    <a:ln>
                      <a:noFill/>
                    </a:ln>
                  </pic:spPr>
                </pic:pic>
              </a:graphicData>
            </a:graphic>
          </wp:inline>
        </w:drawing>
      </w:r>
      <w:r w:rsidR="00701094">
        <w:rPr>
          <w:noProof/>
        </w:rPr>
        <mc:AlternateContent>
          <mc:Choice Requires="wps">
            <w:drawing>
              <wp:anchor distT="45720" distB="45720" distL="114300" distR="114300" simplePos="0" relativeHeight="251668480" behindDoc="0" locked="0" layoutInCell="1" allowOverlap="1" wp14:anchorId="7E8A0F39" wp14:editId="1A00AE2A">
                <wp:simplePos x="0" y="0"/>
                <wp:positionH relativeFrom="column">
                  <wp:posOffset>475488</wp:posOffset>
                </wp:positionH>
                <wp:positionV relativeFrom="paragraph">
                  <wp:posOffset>2611526</wp:posOffset>
                </wp:positionV>
                <wp:extent cx="424282" cy="186868"/>
                <wp:effectExtent l="0" t="0" r="13970" b="2286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282" cy="186868"/>
                        </a:xfrm>
                        <a:prstGeom prst="rect">
                          <a:avLst/>
                        </a:prstGeom>
                        <a:solidFill>
                          <a:srgbClr val="FFFFFF"/>
                        </a:solidFill>
                        <a:ln w="9525">
                          <a:solidFill>
                            <a:schemeClr val="bg1"/>
                          </a:solidFill>
                          <a:miter lim="800000"/>
                          <a:headEnd/>
                          <a:tailEnd/>
                        </a:ln>
                      </wps:spPr>
                      <wps:txbx>
                        <w:txbxContent>
                          <w:p w14:paraId="4CD1DC38" w14:textId="1903B356" w:rsidR="00701094" w:rsidRPr="00701094" w:rsidRDefault="00701094" w:rsidP="00701094">
                            <w:pPr>
                              <w:rPr>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E8A0F39" id="_x0000_t202" coordsize="21600,21600" o:spt="202" path="m,l,21600r21600,l21600,xe">
                <v:stroke joinstyle="miter"/>
                <v:path gradientshapeok="t" o:connecttype="rect"/>
              </v:shapetype>
              <v:shape id="Text Box 2" o:spid="_x0000_s1026" type="#_x0000_t202" style="position:absolute;margin-left:37.45pt;margin-top:205.65pt;width:33.4pt;height:14.7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" strokecolor="white [3212]">
                <v:textbox>
                  <w:txbxContent>
                    <w:p w14:paraId="4CD1DC38" w14:textId="1903B356" w:rsidR="00701094" w:rsidRPr="00701094" w:rsidRDefault="00701094" w:rsidP="00701094">
                      <w:pPr>
                        <w:rPr>
                          <w:sz w:val="22"/>
                          <w:szCs w:val="22"/>
                        </w:rPr>
                      </w:pPr>
                    </w:p>
                  </w:txbxContent>
                </v:textbox>
              </v:shape>
            </w:pict>
          </mc:Fallback>
        </mc:AlternateContent>
      </w:r>
      <w:bookmarkEnd w:id="79"/>
    </w:p>
    <w:p w14:paraId="2D2887C7" w14:textId="076F2CB6" w:rsidR="00223F7A" w:rsidRPr="009867C1" w:rsidRDefault="009F4AEB" w:rsidP="00223F7A">
      <w:pPr>
        <w:keepNext/>
        <w:rPr>
          <w:noProof/>
          <w:lang w:val="en-CA" w:eastAsia="en-CA"/>
        </w:rPr>
      </w:pPr>
      <w:r>
        <w:rPr>
          <w:noProof/>
        </w:rPr>
        <w:drawing>
          <wp:inline distT="0" distB="0" distL="0" distR="0" wp14:anchorId="50EC5344" wp14:editId="59F0D6D9">
            <wp:extent cx="5143500" cy="82296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43500" cy="8229600"/>
                    </a:xfrm>
                    <a:prstGeom prst="rect">
                      <a:avLst/>
                    </a:prstGeom>
                    <a:noFill/>
                    <a:ln>
                      <a:noFill/>
                    </a:ln>
                  </pic:spPr>
                </pic:pic>
              </a:graphicData>
            </a:graphic>
          </wp:inline>
        </w:drawing>
      </w:r>
    </w:p>
    <w:p w14:paraId="06EDB530" w14:textId="482E48CB" w:rsidR="00223F7A" w:rsidRPr="009867C1" w:rsidRDefault="009F4AEB" w:rsidP="00223F7A">
      <w:pPr>
        <w:keepNext/>
        <w:rPr>
          <w:noProof/>
          <w:lang w:val="en-CA" w:eastAsia="en-CA"/>
        </w:rPr>
      </w:pPr>
      <w:r>
        <w:rPr>
          <w:noProof/>
        </w:rPr>
        <w:drawing>
          <wp:inline distT="0" distB="0" distL="0" distR="0" wp14:anchorId="06ABBE39" wp14:editId="05B7F130">
            <wp:extent cx="5943600" cy="1375258"/>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2">
                      <a:extLst>
                        <a:ext uri="{28A0092B-C50C-407E-A947-70E740481C1C}">
                          <a14:useLocalDpi xmlns:a14="http://schemas.microsoft.com/office/drawing/2010/main" val="0"/>
                        </a:ext>
                      </a:extLst>
                    </a:blip>
                    <a:srcRect b="49552"/>
                    <a:stretch/>
                  </pic:blipFill>
                  <pic:spPr bwMode="auto">
                    <a:xfrm>
                      <a:off x="0" y="0"/>
                      <a:ext cx="5943600" cy="1375258"/>
                    </a:xfrm>
                    <a:prstGeom prst="rect">
                      <a:avLst/>
                    </a:prstGeom>
                    <a:noFill/>
                    <a:ln>
                      <a:noFill/>
                    </a:ln>
                    <a:extLst>
                      <a:ext uri="{53640926-AAD7-44D8-BBD7-CCE9431645EC}">
                        <a14:shadowObscured xmlns:a14="http://schemas.microsoft.com/office/drawing/2010/main"/>
                      </a:ext>
                    </a:extLst>
                  </pic:spPr>
                </pic:pic>
              </a:graphicData>
            </a:graphic>
          </wp:inline>
        </w:drawing>
      </w:r>
    </w:p>
    <w:p w14:paraId="1C8BC389" w14:textId="231944E7" w:rsidR="00C532E1" w:rsidRPr="009867C1" w:rsidRDefault="00223F7A" w:rsidP="00223F7A">
      <w:pPr>
        <w:pStyle w:val="Caption"/>
        <w:rPr>
          <w:vanish/>
          <w:specVanish/>
        </w:rPr>
      </w:pPr>
      <w:bookmarkStart w:id="80" w:name="_Ref37603054"/>
      <w:bookmarkStart w:id="81" w:name="_Toc101783803"/>
      <w:bookmarkStart w:id="82" w:name="_Toc74923552"/>
      <w:r w:rsidRPr="009867C1">
        <w:t xml:space="preserve">Figure </w:t>
      </w:r>
      <w:r w:rsidR="008C26C1">
        <w:fldChar w:fldCharType="begin"/>
      </w:r>
      <w:r w:rsidR="008C26C1">
        <w:instrText xml:space="preserve"> STYLEREF 2 \s </w:instrText>
      </w:r>
      <w:r w:rsidR="008C26C1">
        <w:fldChar w:fldCharType="separate"/>
      </w:r>
      <w:r w:rsidR="000667DB">
        <w:rPr>
          <w:noProof/>
        </w:rPr>
        <w:t>2</w:t>
      </w:r>
      <w:r w:rsidR="008C26C1">
        <w:fldChar w:fldCharType="end"/>
      </w:r>
      <w:r w:rsidR="008C26C1">
        <w:noBreakHyphen/>
      </w:r>
      <w:r w:rsidR="008C26C1">
        <w:fldChar w:fldCharType="begin"/>
      </w:r>
      <w:r w:rsidR="008C26C1">
        <w:instrText xml:space="preserve"> SEQ Figure \* ARABIC \s 2 </w:instrText>
      </w:r>
      <w:r w:rsidR="008C26C1">
        <w:fldChar w:fldCharType="separate"/>
      </w:r>
      <w:r w:rsidR="000667DB">
        <w:rPr>
          <w:noProof/>
        </w:rPr>
        <w:t>5</w:t>
      </w:r>
      <w:r w:rsidR="008C26C1">
        <w:fldChar w:fldCharType="end"/>
      </w:r>
      <w:bookmarkEnd w:id="80"/>
      <w:r w:rsidRPr="009867C1">
        <w:t>: Metal GLM results for regional gradient data and boxplots for above/below waterfall data.</w:t>
      </w:r>
      <w:bookmarkEnd w:id="81"/>
    </w:p>
    <w:p w14:paraId="684CA862" w14:textId="251462E5" w:rsidR="00223F7A" w:rsidRPr="009867C1" w:rsidRDefault="00223F7A" w:rsidP="00223F7A">
      <w:pPr>
        <w:pStyle w:val="Caption"/>
      </w:pPr>
      <w:r w:rsidRPr="009867C1">
        <w:t xml:space="preserve"> The top row of each chemical are forest floors (0-5 cm) and second row are organic soil (10-15 cm). The first column are scatterplots for the global model of each chemical as a function of salmon density, with prediction lines and 95% confidence intervals indicating marginal responses to salmon density keeping all other explanatory variables at their mean values. The middle column indicates model-averaged standardized coefficient values for each explanatory variable, with significant (p&lt;0.05) values indicated by filled dots. Contrasts for focal tree coefficients (FT: Cedar, FT: Sitka Spruce, and FT: Hemlock) indicate differences relative to Amabilis Fir. The rightmost columns are boxplots of above falls (AF; grey coloured box) and below falls (BF; salmon coloured box) data, with P-values indicated for paired Wilcoxon tests. Top and bottom of each box denote 75</w:t>
      </w:r>
      <w:r w:rsidRPr="009867C1">
        <w:rPr>
          <w:vertAlign w:val="superscript"/>
        </w:rPr>
        <w:t>th</w:t>
      </w:r>
      <w:r w:rsidRPr="009867C1">
        <w:t xml:space="preserve"> and 25</w:t>
      </w:r>
      <w:r w:rsidRPr="009867C1">
        <w:rPr>
          <w:vertAlign w:val="superscript"/>
        </w:rPr>
        <w:t>th</w:t>
      </w:r>
      <w:r w:rsidRPr="009867C1">
        <w:t xml:space="preserve"> quantiles respectively; whiskers show 1.5*IQR; dark central line indicates median values.</w:t>
      </w:r>
      <w:bookmarkEnd w:id="82"/>
    </w:p>
    <w:p w14:paraId="5FE4AF69" w14:textId="77777777" w:rsidR="00223F7A" w:rsidRPr="009867C1" w:rsidRDefault="00223F7A" w:rsidP="00223F7A"/>
    <w:p w14:paraId="632A39FE" w14:textId="2C623C10" w:rsidR="00223F7A" w:rsidRPr="009867C1" w:rsidRDefault="009F4AEB" w:rsidP="00223F7A">
      <w:pPr>
        <w:keepNext/>
      </w:pPr>
      <w:r>
        <w:rPr>
          <w:noProof/>
        </w:rPr>
        <w:drawing>
          <wp:inline distT="0" distB="0" distL="0" distR="0" wp14:anchorId="4D1C4FB7" wp14:editId="673C8BF6">
            <wp:extent cx="5943600" cy="272605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2726055"/>
                    </a:xfrm>
                    <a:prstGeom prst="rect">
                      <a:avLst/>
                    </a:prstGeom>
                    <a:noFill/>
                    <a:ln>
                      <a:noFill/>
                    </a:ln>
                  </pic:spPr>
                </pic:pic>
              </a:graphicData>
            </a:graphic>
          </wp:inline>
        </w:drawing>
      </w:r>
    </w:p>
    <w:p w14:paraId="7BF3DD2A" w14:textId="5DFAEFB2" w:rsidR="00C532E1" w:rsidRPr="009867C1" w:rsidRDefault="00223F7A" w:rsidP="00223F7A">
      <w:pPr>
        <w:pStyle w:val="Caption"/>
        <w:rPr>
          <w:vanish/>
          <w:specVanish/>
        </w:rPr>
      </w:pPr>
      <w:bookmarkStart w:id="83" w:name="_Ref73042590"/>
      <w:bookmarkStart w:id="84" w:name="_Toc101783804"/>
      <w:bookmarkStart w:id="85" w:name="_Toc74923553"/>
      <w:r w:rsidRPr="009867C1">
        <w:t xml:space="preserve">Figure </w:t>
      </w:r>
      <w:r w:rsidR="008C26C1">
        <w:fldChar w:fldCharType="begin"/>
      </w:r>
      <w:r w:rsidR="008C26C1">
        <w:instrText xml:space="preserve"> STYLEREF 2 \s </w:instrText>
      </w:r>
      <w:r w:rsidR="008C26C1">
        <w:fldChar w:fldCharType="separate"/>
      </w:r>
      <w:r w:rsidR="000667DB">
        <w:rPr>
          <w:noProof/>
        </w:rPr>
        <w:t>2</w:t>
      </w:r>
      <w:r w:rsidR="008C26C1">
        <w:fldChar w:fldCharType="end"/>
      </w:r>
      <w:r w:rsidR="008C26C1">
        <w:noBreakHyphen/>
      </w:r>
      <w:r w:rsidR="008C26C1">
        <w:fldChar w:fldCharType="begin"/>
      </w:r>
      <w:r w:rsidR="008C26C1">
        <w:instrText xml:space="preserve"> SEQ Figure \* ARABIC \s 2 </w:instrText>
      </w:r>
      <w:r w:rsidR="008C26C1">
        <w:fldChar w:fldCharType="separate"/>
      </w:r>
      <w:r w:rsidR="000667DB">
        <w:rPr>
          <w:noProof/>
        </w:rPr>
        <w:t>6</w:t>
      </w:r>
      <w:r w:rsidR="008C26C1">
        <w:fldChar w:fldCharType="end"/>
      </w:r>
      <w:bookmarkEnd w:id="83"/>
      <w:r w:rsidRPr="009867C1">
        <w:t>:  Ergosterol GLM results for regional gradient data and boxplots for above/below waterfall data.</w:t>
      </w:r>
      <w:bookmarkEnd w:id="84"/>
    </w:p>
    <w:p w14:paraId="65FF9FDC" w14:textId="1A22B4C6" w:rsidR="00223F7A" w:rsidRDefault="00223F7A" w:rsidP="00223F7A">
      <w:pPr>
        <w:pStyle w:val="Caption"/>
      </w:pPr>
      <w:r w:rsidRPr="009867C1">
        <w:t xml:space="preserve"> The top row of each chemical are forest floors (0-5 cm) and second row are organic soil (10-15 cm). The first column are scatterplots for the global model of each chemical as a function of salmon density, with prediction lines and 95% confidence intervals indicating marginal responses to salmon density keeping all other explanatory variables at their mean values. The middle column indicates model-averaged standardized coefficient values for each explanatory variable, with significant (p&lt;0.05) values indicated by filled dots. Contrasts for focal tree coefficients (FT: Cedar, FT: Sitka Spruce, and FT: Hemlock) indicate differences relative to Amabilis Fir. The rightmost columns are boxplots of above falls (AF; grey coloured box) and below falls (BF; salmon coloured box) data, with P-values indicated for paired Wilcoxon tests. Top and bottom of each box denote 75</w:t>
      </w:r>
      <w:r w:rsidRPr="009867C1">
        <w:rPr>
          <w:vertAlign w:val="superscript"/>
        </w:rPr>
        <w:t>th</w:t>
      </w:r>
      <w:r w:rsidRPr="009867C1">
        <w:t xml:space="preserve"> and 25</w:t>
      </w:r>
      <w:r w:rsidRPr="009867C1">
        <w:rPr>
          <w:vertAlign w:val="superscript"/>
        </w:rPr>
        <w:t>th</w:t>
      </w:r>
      <w:r w:rsidRPr="009867C1">
        <w:t xml:space="preserve"> quantiles respectively; whiskers show 1.5*IQR; dark central line indicates median values.</w:t>
      </w:r>
      <w:bookmarkEnd w:id="85"/>
    </w:p>
    <w:p w14:paraId="251C1588" w14:textId="5EB92782" w:rsidR="004507DA" w:rsidRDefault="004507DA" w:rsidP="004507DA"/>
    <w:p w14:paraId="002D91FA" w14:textId="515FF2C7" w:rsidR="004507DA" w:rsidRDefault="004507DA" w:rsidP="004507DA"/>
    <w:p w14:paraId="68F1ABEF" w14:textId="35F4E545" w:rsidR="004507DA" w:rsidRDefault="004507DA" w:rsidP="004507DA"/>
    <w:p w14:paraId="0F0C5ED6" w14:textId="77777777" w:rsidR="004507DA" w:rsidRPr="004507DA" w:rsidRDefault="004507DA" w:rsidP="004507DA"/>
    <w:p w14:paraId="0774EF19" w14:textId="77777777" w:rsidR="009F4AEB" w:rsidRDefault="009F4AEB" w:rsidP="00223F7A">
      <w:pPr>
        <w:pStyle w:val="Caption"/>
        <w:keepNext/>
      </w:pPr>
      <w:bookmarkStart w:id="86" w:name="_Ref73024340"/>
      <w:bookmarkStart w:id="87" w:name="_Toc74949406"/>
    </w:p>
    <w:p w14:paraId="4407AA0B" w14:textId="669E22EF" w:rsidR="00C532E1" w:rsidRPr="009867C1" w:rsidRDefault="00223F7A" w:rsidP="00223F7A">
      <w:pPr>
        <w:pStyle w:val="Caption"/>
        <w:keepNext/>
        <w:rPr>
          <w:vanish/>
          <w:specVanish/>
        </w:rPr>
      </w:pPr>
      <w:r w:rsidRPr="009867C1">
        <w:t xml:space="preserve">Table </w:t>
      </w:r>
      <w:r w:rsidR="008C26C1">
        <w:fldChar w:fldCharType="begin"/>
      </w:r>
      <w:r w:rsidR="008C26C1">
        <w:instrText xml:space="preserve"> STYLEREF 2 \s </w:instrText>
      </w:r>
      <w:r w:rsidR="008C26C1">
        <w:fldChar w:fldCharType="separate"/>
      </w:r>
      <w:r w:rsidR="000667DB">
        <w:rPr>
          <w:noProof/>
        </w:rPr>
        <w:t>2</w:t>
      </w:r>
      <w:r w:rsidR="008C26C1">
        <w:fldChar w:fldCharType="end"/>
      </w:r>
      <w:r w:rsidR="008C26C1">
        <w:noBreakHyphen/>
      </w:r>
      <w:r w:rsidR="008C26C1">
        <w:fldChar w:fldCharType="begin"/>
      </w:r>
      <w:r w:rsidR="008C26C1">
        <w:instrText xml:space="preserve"> SEQ Table \* ARABIC \s 2 </w:instrText>
      </w:r>
      <w:r w:rsidR="008C26C1">
        <w:fldChar w:fldCharType="separate"/>
      </w:r>
      <w:r w:rsidR="000667DB">
        <w:rPr>
          <w:noProof/>
        </w:rPr>
        <w:t>4</w:t>
      </w:r>
      <w:r w:rsidR="008C26C1">
        <w:fldChar w:fldCharType="end"/>
      </w:r>
      <w:bookmarkEnd w:id="86"/>
      <w:r w:rsidRPr="009867C1">
        <w:t>: ANOVA table summary for above/below waterfall paired Wilcoxson tests.</w:t>
      </w:r>
      <w:bookmarkEnd w:id="87"/>
    </w:p>
    <w:p w14:paraId="3A64068D" w14:textId="3D44919F" w:rsidR="00223F7A" w:rsidRDefault="00223F7A" w:rsidP="00223F7A">
      <w:pPr>
        <w:pStyle w:val="Caption"/>
        <w:keepNext/>
      </w:pPr>
      <w:r w:rsidRPr="009867C1">
        <w:t xml:space="preserve"> For each response variable, the mean below falls (BF), the mean above falls (AF), the difference between them (∆, AF- BF), the V-statistic, and P-values are displayed. Green and red boxes highlight either positive or negative mean</w:t>
      </w:r>
      <w:r w:rsidR="005E4779">
        <w:t xml:space="preserve"> </w:t>
      </w:r>
      <w:r w:rsidR="005E4779" w:rsidRPr="005E4779">
        <w:t>differences (∆) or significant (P&lt;0.05) results. Yellow boxes highlight marginally significant results (0.1 &lt; P &lt; 0.05). 2 above/below pairs per site; 4 sites; n = 8.</w:t>
      </w:r>
    </w:p>
    <w:p w14:paraId="0A934327" w14:textId="77777777" w:rsidR="00F1214D" w:rsidRPr="00F1214D" w:rsidRDefault="00F1214D" w:rsidP="00F1214D"/>
    <w:p w14:paraId="2A5C2132" w14:textId="55382C3E" w:rsidR="00223F7A" w:rsidRPr="009867C1" w:rsidRDefault="00F1214D" w:rsidP="00223F7A">
      <w:r>
        <w:rPr>
          <w:noProof/>
        </w:rPr>
        <w:drawing>
          <wp:inline distT="0" distB="0" distL="0" distR="0" wp14:anchorId="670619FE" wp14:editId="41D5CC1E">
            <wp:extent cx="3072384" cy="7488826"/>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99957" cy="7556035"/>
                    </a:xfrm>
                    <a:prstGeom prst="rect">
                      <a:avLst/>
                    </a:prstGeom>
                    <a:noFill/>
                    <a:ln>
                      <a:noFill/>
                    </a:ln>
                  </pic:spPr>
                </pic:pic>
              </a:graphicData>
            </a:graphic>
          </wp:inline>
        </w:drawing>
      </w:r>
    </w:p>
    <w:p w14:paraId="2B724A11" w14:textId="77777777" w:rsidR="00223F7A" w:rsidRPr="009867C1" w:rsidRDefault="00223F7A" w:rsidP="00223F7A">
      <w:pPr>
        <w:pStyle w:val="Caption"/>
        <w:keepNext/>
      </w:pPr>
      <w:bookmarkStart w:id="88" w:name="_Ref46602660"/>
      <w:r w:rsidRPr="009867C1">
        <w:rPr>
          <w:noProof/>
        </w:rPr>
        <w:drawing>
          <wp:inline distT="0" distB="0" distL="0" distR="0" wp14:anchorId="15B01EA9" wp14:editId="2094EE12">
            <wp:extent cx="6553200" cy="65532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553200" cy="6553200"/>
                    </a:xfrm>
                    <a:prstGeom prst="rect">
                      <a:avLst/>
                    </a:prstGeom>
                    <a:noFill/>
                    <a:ln>
                      <a:noFill/>
                    </a:ln>
                  </pic:spPr>
                </pic:pic>
              </a:graphicData>
            </a:graphic>
          </wp:inline>
        </w:drawing>
      </w:r>
    </w:p>
    <w:p w14:paraId="7D3952C6" w14:textId="6F6AE7B5" w:rsidR="00C532E1" w:rsidRPr="009867C1" w:rsidRDefault="00223F7A" w:rsidP="00223F7A">
      <w:pPr>
        <w:pStyle w:val="Caption"/>
        <w:rPr>
          <w:vanish/>
          <w:specVanish/>
        </w:rPr>
      </w:pPr>
      <w:bookmarkStart w:id="89" w:name="_Ref73025934"/>
      <w:bookmarkStart w:id="90" w:name="_Toc101783805"/>
      <w:bookmarkStart w:id="91" w:name="_Toc74923554"/>
      <w:r w:rsidRPr="009867C1">
        <w:t xml:space="preserve">Figure </w:t>
      </w:r>
      <w:r w:rsidR="008C26C1">
        <w:fldChar w:fldCharType="begin"/>
      </w:r>
      <w:r w:rsidR="008C26C1">
        <w:instrText xml:space="preserve"> STYLEREF 2 \s </w:instrText>
      </w:r>
      <w:r w:rsidR="008C26C1">
        <w:fldChar w:fldCharType="separate"/>
      </w:r>
      <w:r w:rsidR="000667DB">
        <w:rPr>
          <w:noProof/>
        </w:rPr>
        <w:t>2</w:t>
      </w:r>
      <w:r w:rsidR="008C26C1">
        <w:fldChar w:fldCharType="end"/>
      </w:r>
      <w:r w:rsidR="008C26C1">
        <w:noBreakHyphen/>
      </w:r>
      <w:r w:rsidR="008C26C1">
        <w:fldChar w:fldCharType="begin"/>
      </w:r>
      <w:r w:rsidR="008C26C1">
        <w:instrText xml:space="preserve"> SEQ Figure \* ARABIC \s 2 </w:instrText>
      </w:r>
      <w:r w:rsidR="008C26C1">
        <w:fldChar w:fldCharType="separate"/>
      </w:r>
      <w:r w:rsidR="000667DB">
        <w:rPr>
          <w:noProof/>
        </w:rPr>
        <w:t>7</w:t>
      </w:r>
      <w:r w:rsidR="008C26C1">
        <w:fldChar w:fldCharType="end"/>
      </w:r>
      <w:bookmarkEnd w:id="89"/>
      <w:r w:rsidRPr="009867C1">
        <w:t>: Random forest model response for all chemical response variables as a function of an extended set of explanatory variables.</w:t>
      </w:r>
      <w:bookmarkEnd w:id="90"/>
    </w:p>
    <w:p w14:paraId="5A902BEA" w14:textId="75133731" w:rsidR="00223F7A" w:rsidRPr="009867C1" w:rsidRDefault="00223F7A" w:rsidP="00223F7A">
      <w:pPr>
        <w:pStyle w:val="Caption"/>
      </w:pPr>
      <w:r w:rsidRPr="009867C1">
        <w:t xml:space="preserve"> Focal tree importance values are relative to Amabilis fir.</w:t>
      </w:r>
      <w:bookmarkEnd w:id="91"/>
      <w:r w:rsidRPr="009867C1">
        <w:t xml:space="preserve"> </w:t>
      </w:r>
    </w:p>
    <w:p w14:paraId="67F1A39F" w14:textId="77777777" w:rsidR="00223F7A" w:rsidRPr="009867C1" w:rsidRDefault="00223F7A" w:rsidP="00223F7A"/>
    <w:p w14:paraId="3C1EEF04" w14:textId="77777777" w:rsidR="00223F7A" w:rsidRPr="009867C1" w:rsidRDefault="00223F7A" w:rsidP="00223F7A">
      <w:pPr>
        <w:keepNext/>
      </w:pPr>
      <w:r w:rsidRPr="009867C1">
        <w:rPr>
          <w:noProof/>
        </w:rPr>
        <w:drawing>
          <wp:inline distT="0" distB="0" distL="0" distR="0" wp14:anchorId="0C7DF69E" wp14:editId="576AC937">
            <wp:extent cx="4615739" cy="461573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618934" cy="4618934"/>
                    </a:xfrm>
                    <a:prstGeom prst="rect">
                      <a:avLst/>
                    </a:prstGeom>
                    <a:noFill/>
                    <a:ln>
                      <a:noFill/>
                    </a:ln>
                  </pic:spPr>
                </pic:pic>
              </a:graphicData>
            </a:graphic>
          </wp:inline>
        </w:drawing>
      </w:r>
    </w:p>
    <w:p w14:paraId="3A2A107D" w14:textId="405F39C9" w:rsidR="00C532E1" w:rsidRPr="009867C1" w:rsidRDefault="00223F7A" w:rsidP="00223F7A">
      <w:pPr>
        <w:pStyle w:val="Caption"/>
        <w:rPr>
          <w:vanish/>
          <w:specVanish/>
        </w:rPr>
      </w:pPr>
      <w:bookmarkStart w:id="92" w:name="_Ref73352626"/>
      <w:bookmarkStart w:id="93" w:name="_Toc101783806"/>
      <w:bookmarkStart w:id="94" w:name="_Toc74923555"/>
      <w:r w:rsidRPr="009867C1">
        <w:t xml:space="preserve">Figure </w:t>
      </w:r>
      <w:r w:rsidR="008C26C1">
        <w:fldChar w:fldCharType="begin"/>
      </w:r>
      <w:r w:rsidR="008C26C1">
        <w:instrText xml:space="preserve"> STYLEREF 2 \s </w:instrText>
      </w:r>
      <w:r w:rsidR="008C26C1">
        <w:fldChar w:fldCharType="separate"/>
      </w:r>
      <w:r w:rsidR="000667DB">
        <w:rPr>
          <w:noProof/>
        </w:rPr>
        <w:t>2</w:t>
      </w:r>
      <w:r w:rsidR="008C26C1">
        <w:fldChar w:fldCharType="end"/>
      </w:r>
      <w:r w:rsidR="008C26C1">
        <w:noBreakHyphen/>
      </w:r>
      <w:r w:rsidR="008C26C1">
        <w:fldChar w:fldCharType="begin"/>
      </w:r>
      <w:r w:rsidR="008C26C1">
        <w:instrText xml:space="preserve"> SEQ Figure \* ARABIC \s 2 </w:instrText>
      </w:r>
      <w:r w:rsidR="008C26C1">
        <w:fldChar w:fldCharType="separate"/>
      </w:r>
      <w:r w:rsidR="000667DB">
        <w:rPr>
          <w:noProof/>
        </w:rPr>
        <w:t>8</w:t>
      </w:r>
      <w:r w:rsidR="008C26C1">
        <w:fldChar w:fldCharType="end"/>
      </w:r>
      <w:bookmarkEnd w:id="92"/>
      <w:r w:rsidRPr="009867C1">
        <w:t>: Calcium to aluminum ratio along the salmon regional gradient and above and below waterfalls.</w:t>
      </w:r>
      <w:bookmarkEnd w:id="93"/>
    </w:p>
    <w:p w14:paraId="09C447A5" w14:textId="3F8A5D4C" w:rsidR="00223F7A" w:rsidRPr="009867C1" w:rsidRDefault="00223F7A" w:rsidP="00223F7A">
      <w:pPr>
        <w:pStyle w:val="Caption"/>
      </w:pPr>
      <w:r w:rsidRPr="009867C1">
        <w:t xml:space="preserve"> Top row are forest floor soils, and the bottom row organic soil. Blue lines are loess curves with span of 1.2.</w:t>
      </w:r>
      <w:bookmarkEnd w:id="94"/>
      <w:r w:rsidRPr="009867C1">
        <w:t xml:space="preserve"> </w:t>
      </w:r>
    </w:p>
    <w:p w14:paraId="505BC8E0" w14:textId="6EAB735F" w:rsidR="00F70853" w:rsidRPr="009867C1" w:rsidRDefault="00223F7A" w:rsidP="00B853DC">
      <w:pPr>
        <w:pStyle w:val="Caption"/>
        <w:keepNext/>
        <w:rPr>
          <w:vanish/>
          <w:specVanish/>
        </w:rPr>
      </w:pPr>
      <w:bookmarkStart w:id="95" w:name="_Ref73029173"/>
      <w:bookmarkStart w:id="96" w:name="_Toc74949407"/>
      <w:r w:rsidRPr="009867C1">
        <w:t xml:space="preserve">Table </w:t>
      </w:r>
      <w:r w:rsidR="008C26C1">
        <w:fldChar w:fldCharType="begin"/>
      </w:r>
      <w:r w:rsidR="008C26C1">
        <w:instrText xml:space="preserve"> STYLEREF 2 \s </w:instrText>
      </w:r>
      <w:r w:rsidR="008C26C1">
        <w:fldChar w:fldCharType="separate"/>
      </w:r>
      <w:r w:rsidR="000667DB">
        <w:rPr>
          <w:noProof/>
        </w:rPr>
        <w:t>2</w:t>
      </w:r>
      <w:r w:rsidR="008C26C1">
        <w:fldChar w:fldCharType="end"/>
      </w:r>
      <w:r w:rsidR="008C26C1">
        <w:noBreakHyphen/>
      </w:r>
      <w:r w:rsidR="008C26C1">
        <w:fldChar w:fldCharType="begin"/>
      </w:r>
      <w:r w:rsidR="008C26C1">
        <w:instrText xml:space="preserve"> SEQ Table \* ARABIC \s 2 </w:instrText>
      </w:r>
      <w:r w:rsidR="008C26C1">
        <w:fldChar w:fldCharType="separate"/>
      </w:r>
      <w:r w:rsidR="000667DB">
        <w:rPr>
          <w:noProof/>
        </w:rPr>
        <w:t>5</w:t>
      </w:r>
      <w:r w:rsidR="008C26C1">
        <w:fldChar w:fldCharType="end"/>
      </w:r>
      <w:bookmarkEnd w:id="95"/>
      <w:r w:rsidRPr="009867C1">
        <w:t xml:space="preserve">: </w:t>
      </w:r>
      <w:bookmarkStart w:id="97" w:name="_Ref73351837"/>
      <w:r w:rsidRPr="009867C1">
        <w:t xml:space="preserve">Summary of </w:t>
      </w:r>
      <w:r w:rsidR="00C532E1" w:rsidRPr="009867C1">
        <w:t xml:space="preserve">salmon-soil chemistry </w:t>
      </w:r>
      <w:r w:rsidRPr="009867C1">
        <w:t>results.</w:t>
      </w:r>
      <w:bookmarkEnd w:id="96"/>
      <w:bookmarkEnd w:id="97"/>
    </w:p>
    <w:p w14:paraId="74DAD0C0" w14:textId="791F93E6" w:rsidR="00223F7A" w:rsidRDefault="00F70853" w:rsidP="00B853DC">
      <w:pPr>
        <w:pStyle w:val="Caption"/>
        <w:keepNext/>
        <w:rPr>
          <w:noProof/>
        </w:rPr>
      </w:pPr>
      <w:r w:rsidRPr="009867C1">
        <w:rPr>
          <w:noProof/>
        </w:rPr>
        <w:t xml:space="preserve"> </w:t>
      </w:r>
      <w:r w:rsidR="004D28B0">
        <w:rPr>
          <w:noProof/>
        </w:rPr>
        <w:t>Single a</w:t>
      </w:r>
      <w:r w:rsidR="00751425">
        <w:rPr>
          <w:noProof/>
        </w:rPr>
        <w:t>sterix indicate</w:t>
      </w:r>
      <w:r w:rsidR="004D28B0">
        <w:rPr>
          <w:noProof/>
        </w:rPr>
        <w:t>s moderate</w:t>
      </w:r>
      <w:r w:rsidR="00751425">
        <w:rPr>
          <w:noProof/>
        </w:rPr>
        <w:t xml:space="preserve"> statistical significance (</w:t>
      </w:r>
      <w:r w:rsidR="004D28B0">
        <w:rPr>
          <w:noProof/>
        </w:rPr>
        <w:t>0.05&lt;</w:t>
      </w:r>
      <w:r w:rsidR="00751425">
        <w:rPr>
          <w:noProof/>
        </w:rPr>
        <w:t>P</w:t>
      </w:r>
      <w:r w:rsidR="004D28B0">
        <w:rPr>
          <w:noProof/>
        </w:rPr>
        <w:t>&lt;</w:t>
      </w:r>
      <w:r w:rsidR="00751425">
        <w:rPr>
          <w:noProof/>
        </w:rPr>
        <w:t>0.</w:t>
      </w:r>
      <w:r w:rsidR="004D28B0">
        <w:rPr>
          <w:noProof/>
        </w:rPr>
        <w:t>1</w:t>
      </w:r>
      <w:r w:rsidR="00751425">
        <w:rPr>
          <w:noProof/>
        </w:rPr>
        <w:t>)</w:t>
      </w:r>
      <w:r w:rsidR="004D28B0">
        <w:rPr>
          <w:noProof/>
        </w:rPr>
        <w:t>; double or more asterixes indicate significance (P&lt;0.05).</w:t>
      </w:r>
    </w:p>
    <w:p w14:paraId="4B79C5CE" w14:textId="66AF0DD9" w:rsidR="00570B6E" w:rsidRPr="00570B6E" w:rsidRDefault="00570B6E" w:rsidP="00570B6E">
      <w:r>
        <w:rPr>
          <w:noProof/>
        </w:rPr>
        <w:drawing>
          <wp:inline distT="0" distB="0" distL="0" distR="0" wp14:anchorId="1813B39D" wp14:editId="69ED7770">
            <wp:extent cx="6345141" cy="6953121"/>
            <wp:effectExtent l="0" t="0" r="0" b="63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7">
                      <a:extLst>
                        <a:ext uri="{28A0092B-C50C-407E-A947-70E740481C1C}">
                          <a14:useLocalDpi xmlns:a14="http://schemas.microsoft.com/office/drawing/2010/main" val="0"/>
                        </a:ext>
                      </a:extLst>
                    </a:blip>
                    <a:srcRect l="23813" r="24816"/>
                    <a:stretch/>
                  </pic:blipFill>
                  <pic:spPr bwMode="auto">
                    <a:xfrm>
                      <a:off x="0" y="0"/>
                      <a:ext cx="6353485" cy="6962265"/>
                    </a:xfrm>
                    <a:prstGeom prst="rect">
                      <a:avLst/>
                    </a:prstGeom>
                    <a:noFill/>
                    <a:ln>
                      <a:noFill/>
                    </a:ln>
                    <a:extLst>
                      <a:ext uri="{53640926-AAD7-44D8-BBD7-CCE9431645EC}">
                        <a14:shadowObscured xmlns:a14="http://schemas.microsoft.com/office/drawing/2010/main"/>
                      </a:ext>
                    </a:extLst>
                  </pic:spPr>
                </pic:pic>
              </a:graphicData>
            </a:graphic>
          </wp:inline>
        </w:drawing>
      </w:r>
    </w:p>
    <w:p w14:paraId="0987585B" w14:textId="77777777" w:rsidR="00223F7A" w:rsidRPr="009867C1" w:rsidRDefault="00223F7A" w:rsidP="00223F7A">
      <w:pPr>
        <w:pStyle w:val="Caption"/>
        <w:keepNext/>
      </w:pPr>
      <w:r w:rsidRPr="009867C1">
        <w:rPr>
          <w:noProof/>
        </w:rPr>
        <w:drawing>
          <wp:inline distT="0" distB="0" distL="0" distR="0" wp14:anchorId="0A2531F6" wp14:editId="387B97C4">
            <wp:extent cx="4535096" cy="680264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536609" cy="6804915"/>
                    </a:xfrm>
                    <a:prstGeom prst="rect">
                      <a:avLst/>
                    </a:prstGeom>
                    <a:noFill/>
                    <a:ln>
                      <a:noFill/>
                    </a:ln>
                  </pic:spPr>
                </pic:pic>
              </a:graphicData>
            </a:graphic>
          </wp:inline>
        </w:drawing>
      </w:r>
    </w:p>
    <w:p w14:paraId="20ADFF26" w14:textId="041D808A" w:rsidR="00C532E1" w:rsidRPr="009867C1" w:rsidRDefault="00223F7A" w:rsidP="00B853DC">
      <w:pPr>
        <w:pStyle w:val="Caption"/>
        <w:rPr>
          <w:vanish/>
          <w:specVanish/>
        </w:rPr>
      </w:pPr>
      <w:bookmarkStart w:id="98" w:name="_Ref73192803"/>
      <w:bookmarkStart w:id="99" w:name="_Toc101783807"/>
      <w:bookmarkStart w:id="100" w:name="_Toc74923556"/>
      <w:r w:rsidRPr="009867C1">
        <w:t xml:space="preserve">Figure </w:t>
      </w:r>
      <w:r w:rsidR="008C26C1">
        <w:fldChar w:fldCharType="begin"/>
      </w:r>
      <w:r w:rsidR="008C26C1">
        <w:instrText xml:space="preserve"> STYLEREF 2 \s </w:instrText>
      </w:r>
      <w:r w:rsidR="008C26C1">
        <w:fldChar w:fldCharType="separate"/>
      </w:r>
      <w:r w:rsidR="000667DB">
        <w:rPr>
          <w:noProof/>
        </w:rPr>
        <w:t>2</w:t>
      </w:r>
      <w:r w:rsidR="008C26C1">
        <w:fldChar w:fldCharType="end"/>
      </w:r>
      <w:r w:rsidR="008C26C1">
        <w:noBreakHyphen/>
      </w:r>
      <w:r w:rsidR="008C26C1">
        <w:fldChar w:fldCharType="begin"/>
      </w:r>
      <w:r w:rsidR="008C26C1">
        <w:instrText xml:space="preserve"> SEQ Figure \* ARABIC \s 2 </w:instrText>
      </w:r>
      <w:r w:rsidR="008C26C1">
        <w:fldChar w:fldCharType="separate"/>
      </w:r>
      <w:r w:rsidR="000667DB">
        <w:rPr>
          <w:noProof/>
        </w:rPr>
        <w:t>9</w:t>
      </w:r>
      <w:r w:rsidR="008C26C1">
        <w:fldChar w:fldCharType="end"/>
      </w:r>
      <w:bookmarkEnd w:id="98"/>
      <w:r w:rsidRPr="009867C1">
        <w:t xml:space="preserve">: A comparison of forest floor and organic soil values from across a regional gradient of salmon density for pH, </w:t>
      </w:r>
      <w:r w:rsidR="008D2EC7">
        <w:t>cation exchange capacity (</w:t>
      </w:r>
      <w:r w:rsidRPr="009867C1">
        <w:t>CEC</w:t>
      </w:r>
      <w:r w:rsidR="008D2EC7">
        <w:t>)</w:t>
      </w:r>
      <w:r w:rsidRPr="009867C1">
        <w:t xml:space="preserve">, </w:t>
      </w:r>
      <w:r w:rsidR="008D2EC7">
        <w:t>total soil organic carbon (</w:t>
      </w:r>
      <w:r w:rsidRPr="009867C1">
        <w:t>SOC</w:t>
      </w:r>
      <w:r w:rsidR="008D2EC7">
        <w:t>)</w:t>
      </w:r>
      <w:r w:rsidRPr="009867C1">
        <w:t>,</w:t>
      </w:r>
      <w:r w:rsidR="008D2EC7">
        <w:t xml:space="preserve"> soil organic nitrogen (</w:t>
      </w:r>
      <w:r w:rsidRPr="009867C1">
        <w:t>SON</w:t>
      </w:r>
      <w:r w:rsidR="008D2EC7">
        <w:t>)</w:t>
      </w:r>
      <w:r w:rsidRPr="009867C1">
        <w:t xml:space="preserve"> and</w:t>
      </w:r>
      <w:r w:rsidR="008D2EC7">
        <w:t xml:space="preserve"> the</w:t>
      </w:r>
      <w:r w:rsidRPr="009867C1">
        <w:t xml:space="preserve"> C:N</w:t>
      </w:r>
      <w:r w:rsidR="008D2EC7">
        <w:t xml:space="preserve"> ratio</w:t>
      </w:r>
      <w:r w:rsidR="00E01FC9">
        <w:t xml:space="preserve"> for forest floor soil from this study (FF), organic soil from this study (O) and regional averages</w:t>
      </w:r>
      <w:bookmarkEnd w:id="99"/>
    </w:p>
    <w:p w14:paraId="6B737249" w14:textId="436FEEAC" w:rsidR="00223F7A" w:rsidRPr="009867C1" w:rsidRDefault="00223F7A" w:rsidP="00B853DC">
      <w:pPr>
        <w:pStyle w:val="Caption"/>
      </w:pPr>
      <w:r w:rsidRPr="009867C1">
        <w:t xml:space="preserve"> for these values from a recent meta-analysis of regional coastal temperate rainforest soils </w:t>
      </w:r>
      <w:r w:rsidRPr="009867C1">
        <w:fldChar w:fldCharType="begin"/>
      </w:r>
      <w:r w:rsidR="00AC0205">
        <w:instrText xml:space="preserve"> ADDIN ZOTERO_ITEM CSL_CITATION {"citationID":"DBUNF3ya","properties":{"formattedCitation":"(Carpenter et al., 2014)","plainCitation":"(Carpenter et al., 2014)","noteIndex":0},"citationItems":[{"id":904,"uris":["http://zotero.org/users/2189142/items/AWEPCWBQ"],"itemData":{"id":904,"type":"article-journal","abstract":"Temperate rainforests have high conservation and natural resource value, but the soils of this bioregion have not previously been studied as a unit. Here we examine the soils of North America's Pacific coastal temperate rainforests, utilizing databases from the United States Natural Resources Conservation Service and the Canadian Centre for Land and Biological Resources Research to (i) identify the soil taxa, (ii) evaluate the soil properties, and (iii) compare soils in temperate and tropical rainforests. There are strong climate gradients within these temperate rainforests, with the mean temperature declining from 11.7 °C to 6.1 °C and the mean annual precipitation increasing from 1500 mm to around 3000 mm from northern California (CA) to northwestern British Columbia (BC) and southeastern Alaska (AK). There is also high pedodiversity in this region, with soils representing 8 orders and 31 suborders, and, in the US portion, 65 great-groups, 142 subgroups, and 482 soil series. Twenty-six percent of described soil series are endemic to temperate rainforests in the US portion of the region, with the proportion declining with latitude. Dominant soil suborders vary along the latitudinal gradient from Humults–Udalfs/Ustalfs–Udepts–Udults in CA, to Udands–Udepts–Udands Humults in western Oregon (OR) and Washington (WA), to Orthods–Folists in BC and Cryods–Saprists in AK. The dominant diagnostic horizons are ochric/argillic (CA), umbric/cambic (OR, WA), and albic–histic/spodic (BC, AK). Whereas soils in CA, BC, and AK tend to have a mixed mineralogy, those in northern OR and WA commonly are derived from volcaniclastic materials and have a ferrihydritic or isotic mineralogy. Soils in this region are generally deep, hold abundant moisture, are not subject to deep-freezing, and are enriched in extractable Fe and Al. Organic C and total N contents are high overall, but also variable, with right-skewed distributions. Compared to tropical rainforest soils in the Pacific Basin, Pacific temperate rainforest have greater weatherable minerals, cation-exchange capacities, soil organic C, and total exchangeable base cations. However, soils of both bioregions tend to be deep, acidic Al-saturated, and can have large N reservoirs. This investigation provides a foundation for a more unified understanding of the soils of a globally significant bioregion.","container-title":"Geoderma","DOI":"10.1016/j.geoderma.2014.04.023","ISSN":"0016-7061","journalAbbreviation":"Geoderma","page":"250-264","source":"ScienceDirect","title":"Soils of temperate rainforests of the North American Pacific Coast","volume":"230–231","author":[{"family":"Carpenter","given":"Dunbar N."},{"family":"Bockheim","given":"James G."},{"family":"Reich","given":"Paul F."}],"issued":{"date-parts":[["2014",10]]},"citation-key":"carpenter_2014"}}],"schema":"https://github.com/citation-style-language/schema/raw/master/csl-citation.json"} </w:instrText>
      </w:r>
      <w:r w:rsidRPr="009867C1">
        <w:fldChar w:fldCharType="separate"/>
      </w:r>
      <w:r w:rsidR="0042141C" w:rsidRPr="009867C1">
        <w:t>(Carpenter et al., 2014)</w:t>
      </w:r>
      <w:r w:rsidRPr="009867C1">
        <w:fldChar w:fldCharType="end"/>
      </w:r>
      <w:r w:rsidRPr="009867C1">
        <w:t>. SOC and SON are assuming a bulk density of 0.15 g/cm</w:t>
      </w:r>
      <w:r w:rsidRPr="009867C1">
        <w:rPr>
          <w:vertAlign w:val="superscript"/>
        </w:rPr>
        <w:t>3</w:t>
      </w:r>
      <w:r w:rsidRPr="009867C1">
        <w:t xml:space="preserve"> and a depth of 1m.</w:t>
      </w:r>
      <w:bookmarkEnd w:id="88"/>
      <w:bookmarkEnd w:id="100"/>
    </w:p>
    <w:p w14:paraId="690C5AEE" w14:textId="77777777" w:rsidR="00D80E10" w:rsidRPr="009867C1" w:rsidRDefault="00D80E10" w:rsidP="00D80E10">
      <w:pPr>
        <w:pStyle w:val="Heading2"/>
      </w:pPr>
      <w:bookmarkStart w:id="101" w:name="_Toc99385431"/>
      <w:r w:rsidRPr="009867C1">
        <w:rPr>
          <w:rStyle w:val="Heading1Char"/>
        </w:rPr>
        <w:t xml:space="preserve">Sporocarp </w:t>
      </w:r>
      <w:r w:rsidRPr="002E2D56">
        <w:rPr>
          <w:rStyle w:val="Heading1Char"/>
          <w:vertAlign w:val="superscript"/>
        </w:rPr>
        <w:t>15</w:t>
      </w:r>
      <w:r w:rsidRPr="009867C1">
        <w:rPr>
          <w:rStyle w:val="Heading1Char"/>
        </w:rPr>
        <w:t>N natural abundance along a gradient of salmon</w:t>
      </w:r>
      <w:r w:rsidRPr="009867C1">
        <w:t xml:space="preserve"> </w:t>
      </w:r>
      <w:r w:rsidRPr="009867C1">
        <w:rPr>
          <w:b w:val="0"/>
        </w:rPr>
        <w:t>density</w:t>
      </w:r>
      <w:bookmarkEnd w:id="101"/>
    </w:p>
    <w:p w14:paraId="4F505767" w14:textId="77777777" w:rsidR="00D80E10" w:rsidRPr="009867C1" w:rsidRDefault="00D80E10" w:rsidP="00D80E10">
      <w:pPr>
        <w:pStyle w:val="Heading3"/>
        <w:rPr>
          <w:lang w:val="en-CA"/>
        </w:rPr>
      </w:pPr>
      <w:bookmarkStart w:id="102" w:name="_Toc99385432"/>
      <w:r w:rsidRPr="009867C1">
        <w:rPr>
          <w:lang w:val="en-CA"/>
        </w:rPr>
        <w:t>Introduction</w:t>
      </w:r>
      <w:bookmarkEnd w:id="102"/>
    </w:p>
    <w:p w14:paraId="5835E169" w14:textId="04038BFF" w:rsidR="00D80E10" w:rsidRPr="009867C1" w:rsidRDefault="00D80E10" w:rsidP="00D80E10">
      <w:pPr>
        <w:ind w:firstLine="720"/>
      </w:pPr>
      <w:r w:rsidRPr="009867C1">
        <w:t>Every year, salmon return to their natal streams to spawn and die. Their return is attended to by terrestrial and aquatic animals, which consume, transform, and distribute the nutrients contained in salmon flesh throughout the riparian zone. These ‘marine-derived nutrients’ (MDN) include additions of nitrogen, phosphorus, calcium, and other elements to the ecosystem (</w:t>
      </w:r>
      <w:r w:rsidR="00474D69">
        <w:t>C</w:t>
      </w:r>
      <w:r w:rsidRPr="00474D69">
        <w:t>hapter 2</w:t>
      </w:r>
      <w:r w:rsidRPr="009867C1">
        <w:t xml:space="preserve">). These nutrients shape riparian plant </w:t>
      </w:r>
      <w:r w:rsidRPr="009867C1">
        <w:fldChar w:fldCharType="begin"/>
      </w:r>
      <w:r w:rsidR="00AC0205">
        <w:instrText xml:space="preserve"> ADDIN ZOTERO_ITEM CSL_CITATION {"citationID":"RU5PGggD","properties":{"formattedCitation":"(Hocking &amp; Reynolds, 2011)","plainCitation":"(Hocking &amp; Reynolds, 2011)","noteIndex":0},"citationItems":[{"id":550,"uris":["http://zotero.org/users/2189142/items/JR362H46"],"itemData":{"id":550,"type":"article-journal","abstract":"The study of natural gradients in nutrient subsidies between ecosystems allows for predictions of how changes in one system can affect biodiversity in another. We performed a large-scale empirical test of the role of Pacific salmon (Oncorhynchus spp.) in structuring riparian plant communities. A comparison of 50 watersheds in the remote Great Bear Rainforest of British Columbia’s central coast in Canada shows that salmon influence nutrient loading to plants, shifting plant communities toward nutrient-rich species, which in turn decreases plant diversity. These effects are mediated by interactions between salmon density and the physical characteristics of watersheds. Predicting how salmon affect terrestrial ecosystems is central to conservation plans that aim to better integrate ecosystem values into resource management.","container-title":"Science","DOI":"10.1126/science.1201079","ISSN":"0036-8075, 1095-9203","issue":"6024","journalAbbreviation":"Science","language":"en","note":"PMID: 21442794","page":"1609-1612","source":"www.sciencemag.org.ezproxy.library.ubc.ca","title":"Impacts of Salmon on Riparian Plant Diversity","volume":"331","author":[{"family":"Hocking","given":"Morgan D."},{"family":"Reynolds","given":"John D."}],"issued":{"date-parts":[["2011",3,25]]},"citation-key":"hocking_2011"}}],"schema":"https://github.com/citation-style-language/schema/raw/master/csl-citation.json"} </w:instrText>
      </w:r>
      <w:r w:rsidRPr="009867C1">
        <w:fldChar w:fldCharType="separate"/>
      </w:r>
      <w:r w:rsidR="0042141C" w:rsidRPr="009867C1">
        <w:t>(Hocking &amp; Reynolds, 2011)</w:t>
      </w:r>
      <w:r w:rsidRPr="009867C1">
        <w:fldChar w:fldCharType="end"/>
      </w:r>
      <w:r w:rsidRPr="009867C1">
        <w:t xml:space="preserve">, animal </w:t>
      </w:r>
      <w:r w:rsidRPr="009867C1">
        <w:fldChar w:fldCharType="begin"/>
      </w:r>
      <w:r w:rsidR="00AC0205">
        <w:instrText xml:space="preserve"> ADDIN ZOTERO_ITEM CSL_CITATION {"citationID":"udQpOGUk","properties":{"formattedCitation":"(Reimchen, 2017; Wagner &amp; Reynolds, 2019)","plainCitation":"(Reimchen, 2017; Wagner &amp; Reynolds, 2019)","noteIndex":0},"citationItems":[{"id":183,"uris":["http://zotero.org/users/2189142/items/5XY9XX4M"],"itemData":{"id":183,"type":"article-journal","abstract":"Based on five years of field studies (1992, 1993, 1994, 1998, 2000), I quantified bi-directional movement of salmon nutrients through an estuary, stream, and old growth forest in a large protected reserve on Haida Gwaii, British Columbia. In 1993, when most data were collected, about 6000 Chum Salmon (Oncorhynchus keta) entered the river of which 22% of the total biomass of senescent carcasses were swept downstream into the estuary and were scavenged by gulls (n = 350) and subtidal invertebrates. Of the 3700 salmon (10 000 kg) transferred by American Black Bear (Ursus americanus) to the riparian zone and partially consumed along the 800 m of stream channel, 5070 kg of salmon tissues abandoned by the bears were scavenged by Northwestern Crows (Corvus caurinus; n = 200) but mostly (4100 kg) by calliphorid blowfly larvae resulting in larval densities averaging 240/m2 throughout the riparian zone. Total nitrogen input to the soils from the combined effects of bear and scavenger activity as well as carcass input was 18 g/m2 within 10 m of the stream channel. δ15N of foliar tissues of Lanky Moss (Rhytidiadelphus loreus), Red Huckleberry (Vaccinium parvifolium), Salal (Gaultheria shallon), and Western Hemlock (Tsuga heterophylla) ranged about 15‰ to 20‰ among adjacent microsites in each species, with higher values occurring in salmon carcass zones. Total nitrogen in foliar tissues ranged from 1% to 2.4% among microsites and was best predicted by positive correlations with foliar 15N values and secondarily by presence/absence of salmon carcasses. This is the first study to integrate estuarine to riparian ecological processes in the cycling of salmonid nutrients and identifies a range of ecological baselines that can inform the multiple restoration programs underway in degraded watersheds in the North Pacific.","container-title":"Canadian Field Naturalist","ISSN":"0008-3550","language":"en","source":"pubag.nal.usda.gov","title":"Diverse Ecological Pathways of Salmon Nutrients Through an Intact Marine-terrestrial Interface","URL":"https://pubag.nal.usda.gov/catalog/6040059","author":[{"family":"Reimchen","given":"T.E."}],"accessed":{"date-parts":[["2019",8,4]]},"issued":{"date-parts":[["2017"]]},"citation-key":"reimchen_2017"}},{"id":1850,"uris":["http://zotero.org/users/2189142/items/AHUMBHEI"],"itemData":{"id":1850,"type":"article-journal","abstract":"Resource subsidies across ecosystems can have strong and unforeseen ecological impacts. Marine-derived nutrients from Pacific salmon (Onchorhycus spp.) can be transferred to streams and riparian forests through diverse food web pathways, fertilizing forests and increasing invertebrate abundance, which may in turn affect breeding birds. We quantified the influence of salmon on the abundance and composition of songbird communities across a wide range of salmon-spawning biomass on 14 streams along a remote coastal region of British Columbia, Canada. Point-count data spanning two years were combined with salmon biomass and 13 environmental covariates in riparian forests to test for correlates with bird abundance, foraging guilds, individual species, and avian diversity. We show that bird abundance and diversity increase with salmon biomass and that watershed size and forest composition are less important predictors. This work provides new evidence for the importance of salmon to terrestrial ecosystems and information that can inform ecosystem-based management.","container-title":"PLOS ONE","DOI":"10.1371/journal.pone.0210031","ISSN":"1932-6203","issue":"2","journalAbbreviation":"PLOS ONE","language":"en","page":"e0210031","source":"PLoS Journals","title":"Salmon increase forest bird abundance and diversity","volume":"14","author":[{"family":"Wagner","given":"Marlene A."},{"family":"Reynolds","given":"John D."}],"issued":{"date-parts":[["2019",2,6]]},"citation-key":"wagner_2019"}}],"schema":"https://github.com/citation-style-language/schema/raw/master/csl-citation.json"} </w:instrText>
      </w:r>
      <w:r w:rsidRPr="009867C1">
        <w:fldChar w:fldCharType="separate"/>
      </w:r>
      <w:r w:rsidR="0042141C" w:rsidRPr="009867C1">
        <w:t>(Reimchen, 2017; Wagner &amp; Reynolds, 2019)</w:t>
      </w:r>
      <w:r w:rsidRPr="009867C1">
        <w:fldChar w:fldCharType="end"/>
      </w:r>
      <w:r w:rsidRPr="009867C1">
        <w:t>, and soil (</w:t>
      </w:r>
      <w:r w:rsidR="00474D69">
        <w:t>C</w:t>
      </w:r>
      <w:r w:rsidRPr="00474D69">
        <w:t>hapter 4</w:t>
      </w:r>
      <w:r w:rsidRPr="009867C1">
        <w:t xml:space="preserve">) communities, and for these reasons salmon have been called keystone species in </w:t>
      </w:r>
      <w:r w:rsidR="00474D69">
        <w:t>terrestrial Pacific coast eco</w:t>
      </w:r>
      <w:r w:rsidRPr="009867C1">
        <w:t xml:space="preserve">systems </w:t>
      </w:r>
      <w:r w:rsidRPr="009867C1">
        <w:fldChar w:fldCharType="begin"/>
      </w:r>
      <w:r w:rsidR="00AC0205">
        <w:instrText xml:space="preserve"> ADDIN ZOTERO_ITEM CSL_CITATION {"citationID":"YoCrAZFC","properties":{"formattedCitation":"(Helfield &amp; Naiman, 2006; J. Walsh et al., in prep)","plainCitation":"(Helfield &amp; Naiman, 2006; J. Walsh et al., in prep)","noteIndex":0},"citationItems":[{"id":470,"uris":["http://zotero.org/users/2189142/items/2JVWJD44"],"itemData":{"id":470,"type":"article-journal","abstract":"The term “keystone species” is used to describe organisms that exert a disproportionately important influence on the ecosystems in which they live. Analogous concepts such as “keystone mutualism” and “mobile links” illustrate how, in many cases, the interactions of two or more species produce an effect greater than that of any one species individually. Because of their role in transporting nutrients from the ocean to river and riparian ecosystems, Pacific salmon (Oncorhynchus spp.) and brown bear (Ursus arctos) have been described as keystone species and mobile links, although few data are available to quantify the importance of this interaction relative to other nutrient vectors. Application of a mass balance model to data from a southwestern Alaskan stream suggests that nitrogen (N) influx to the riparian forest is significantly increased in the presence of both salmon and bear, but not by either species individually. The interactions of salmon and bear may provide up to 24% of riparian N budgets, but this percentage varies in time and space according to variations in salmon escapement, channel morphology and watershed vegetation characteristics, suggesting interdependence and functional redundancy among N sources. These findings illustrate the complexity of interspecific interactions, the importance of linkages across ecosystem boundaries and the necessity of examining the processes and interactions that shape ecological communities, rather than their specific component parts.","container-title":"Ecosystems","DOI":"10.1007/s10021-004-0063-5","ISSN":"1432-9840, 1435-0629","issue":"2","journalAbbreviation":"Ecosystems","language":"en","page":"167-180","source":"link.springer.com.ezproxy.library.ubc.ca","title":"Keystone Interactions: Salmon and Bear in Riparian Forests of Alaska","title-short":"Keystone Interactions","volume":"9","author":[{"family":"Helfield","given":"James M."},{"family":"Naiman","given":"Robert J."}],"issued":{"date-parts":[["2006",3,15]]},"citation-key":"helfield_2006"}},{"id":"Mdw2eqP8/aneK1j1d","uris":["http://zotero.org/users/2189142/items/PYVPGC5D"],"itemData":{"id":4814,"type":"article-journal","title":"A quantitative review of relationships between Pacific salmon and aquatic and terrestrial ecosystems","author":[{"family":"Walsh","given":"Jessica"},{"family":"Pendray","given":"Jane"},{"family":"Godwin","given":"Sean"},{"family":"Artelle","given":"Kyle"},{"family":"Kindsvater","given":"Holly"},{"family":"Field","given":"Rachel"},{"family":"Harding","given":"Jennifer"},{"family":"Swain","given":"Noel"},{"family":"Reynolds","given":"John"}],"issued":{"literal":"in prep"}}}],"schema":"https://github.com/citation-style-language/schema/raw/master/csl-citation.json"} </w:instrText>
      </w:r>
      <w:r w:rsidRPr="009867C1">
        <w:fldChar w:fldCharType="separate"/>
      </w:r>
      <w:r w:rsidR="0042141C" w:rsidRPr="009867C1">
        <w:t>(Helfield &amp; Naiman, 2006; J. Walsh et al., in prep)</w:t>
      </w:r>
      <w:r w:rsidRPr="009867C1">
        <w:fldChar w:fldCharType="end"/>
      </w:r>
      <w:r w:rsidRPr="009867C1">
        <w:t xml:space="preserve">.  </w:t>
      </w:r>
    </w:p>
    <w:p w14:paraId="26154E91" w14:textId="2AC0D51B" w:rsidR="00D80E10" w:rsidRPr="009867C1" w:rsidRDefault="00D80E10" w:rsidP="00D80E10">
      <w:pPr>
        <w:ind w:firstLine="720"/>
      </w:pPr>
      <w:r w:rsidRPr="009867C1">
        <w:t xml:space="preserve">Nitrogen has been the primary response variable investigated in studies examining salmon effects on terrestrial ecosystems due to its role as a limiting nutrient in temperate forests and agricultural settings </w:t>
      </w:r>
      <w:r w:rsidRPr="009867C1">
        <w:fldChar w:fldCharType="begin"/>
      </w:r>
      <w:r w:rsidR="00AC0205">
        <w:instrText xml:space="preserve"> ADDIN ZOTERO_ITEM CSL_CITATION {"citationID":"h3crFSg0","properties":{"formattedCitation":"(LeBauer &amp; Treseder, 2008)","plainCitation":"(LeBauer &amp; Treseder, 2008)","noteIndex":0},"citationItems":[{"id":1626,"uris":["http://zotero.org/users/2189142/items/ZKW6XXHR"],"itemData":{"id":1626,"type":"article-journal","abstract":"Our meta-analysis of 126 nitrogen addition experiments evaluated nitrogen (N) limitation of net primary production (NPP) in terrestrial ecosystems. We tested the hypothesis that N limitation is widespread among biomes and influenced by geography and climate. We used the response ratio (R </w:instrText>
      </w:r>
      <w:r w:rsidR="00AC0205">
        <w:rPr>
          <w:rFonts w:ascii="Cambria Math" w:hAnsi="Cambria Math" w:cs="Cambria Math"/>
        </w:rPr>
        <w:instrText>≅</w:instrText>
      </w:r>
      <w:r w:rsidR="00AC0205">
        <w:instrText xml:space="preserve"> ANPPN/ANPPctrl) of aboveground plant growth in fertilized to control plots and found that most ecosystems are nitrogen limited with an average 29% growth response to nitrogen (i.e., R = 1.29). The response ratio was significant within temperate forests (R = 1.19), tropical forests (R = 1.60), temperate grasslands (R = 1.53), tropical grasslands (R = 1.26), wetlands (R = 1.16), and tundra (R = 1.35), but not deserts. Eight tropical forest studies had been conducted on very young volcanic soils in Hawaii, and this subgroup was strongly N limited (R = 2.13), which resulted in a negative correlation between forest R and latitude. The degree of N limitation in the remainder of the tropical forest studies (R = 1.20) was comparable to that of temperate forests, and when the young Hawaiian subgroup was excluded, forest R did not vary with latitude. Grassland response increased with latitude, but was independent of temperature and precipitation. These results suggest that the global N and C cycles interact strongly and that geography can mediate ecosystem response to N within certain biome types.","container-title":"Ecology","DOI":"10.1890/06-2057.1","ISSN":"1939-9170","issue":"2","language":"en","page":"371-379","source":"Wiley Online Library","title":"Nitrogen Limitation of Net Primary Productivity in Terrestrial Ecosystems Is Globally Distributed","volume":"89","author":[{"family":"LeBauer","given":"David S."},{"family":"Treseder","given":"Kathleen K."}],"issued":{"date-parts":[["2008"]]},"citation-key":"lebauer_2008"}}],"schema":"https://github.com/citation-style-language/schema/raw/master/csl-citation.json"} </w:instrText>
      </w:r>
      <w:r w:rsidRPr="009867C1">
        <w:fldChar w:fldCharType="separate"/>
      </w:r>
      <w:r w:rsidR="0042141C" w:rsidRPr="009867C1">
        <w:t>(LeBauer &amp; Treseder, 2008)</w:t>
      </w:r>
      <w:r w:rsidRPr="009867C1">
        <w:fldChar w:fldCharType="end"/>
      </w:r>
      <w:r w:rsidRPr="009867C1">
        <w:t xml:space="preserve">. Nitrogen has a well-characterized stable isotope chemistry commonly used in ecological applications </w:t>
      </w:r>
      <w:r w:rsidRPr="009867C1">
        <w:fldChar w:fldCharType="begin"/>
      </w:r>
      <w:r w:rsidR="00AC0205">
        <w:instrText xml:space="preserve"> ADDIN ZOTERO_ITEM CSL_CITATION {"citationID":"xkqdLZ85","properties":{"formattedCitation":"(Fry, 2007)","plainCitation":"(Fry, 2007)","noteIndex":0},"citationItems":[{"id":475,"uris":["http://zotero.org/users/2189142/items/RFHXKG2M"],"itemData":{"id":475,"type":"book","abstract":"A solid introduction to stable isotopes that can also be used as an instructive review for more experienced researchers and professionals. The book approaches the use of isotopes from the perspective of ecological and biological research, but its concepts can be applied within other disciplines. A novel, step-by-step spreadsheet modeling approach is also presented for circulating tracers in any ecological system, including any favorite system an ecologist might dream up while sitting at a computer. The author’s humorous and lighthearted style painlessly imparts the principles of isotope ecology. The online material contains color illustrations, spreadsheet models, technical appendices, and problems and answers.","edition":"1st ed. 2006. 3rd. Corr. printing 2007 edition","event-place":"New York, NY","ISBN":"978-0-387-30513-4","language":"English","number-of-pages":"308","publisher":"Springer","publisher-place":"New York, NY","source":"Amazon","title":"Stable Isotope Ecology","author":[{"family":"Fry","given":"Brian"}],"issued":{"date-parts":[["2007",12,21]]},"citation-key":"fry_2007"}}],"schema":"https://github.com/citation-style-language/schema/raw/master/csl-citation.json"} </w:instrText>
      </w:r>
      <w:r w:rsidRPr="009867C1">
        <w:fldChar w:fldCharType="separate"/>
      </w:r>
      <w:r w:rsidR="0042141C" w:rsidRPr="009867C1">
        <w:t>(Fry, 2007)</w:t>
      </w:r>
      <w:r w:rsidRPr="009867C1">
        <w:fldChar w:fldCharType="end"/>
      </w:r>
      <w:r w:rsidRPr="009867C1">
        <w:t>, and measurement</w:t>
      </w:r>
      <w:r w:rsidR="00474D69">
        <w:t xml:space="preserve"> of </w:t>
      </w:r>
      <w:r w:rsidR="00474D69" w:rsidRPr="00474D69">
        <w:rPr>
          <w:vertAlign w:val="superscript"/>
        </w:rPr>
        <w:t>15</w:t>
      </w:r>
      <w:r w:rsidR="00474D69">
        <w:t>N</w:t>
      </w:r>
      <w:r w:rsidRPr="009867C1">
        <w:t xml:space="preserve"> is inexpensive enough to permit regional, temporal, and experimental comparisons under conditions of high natural variability. Due to being predators of marine origin, salmon are enriched in </w:t>
      </w:r>
      <w:r w:rsidRPr="009867C1">
        <w:rPr>
          <w:vertAlign w:val="superscript"/>
        </w:rPr>
        <w:t>15</w:t>
      </w:r>
      <w:r w:rsidRPr="009867C1">
        <w:t xml:space="preserve">N, a fact </w:t>
      </w:r>
      <w:r w:rsidR="00474D69">
        <w:t>that</w:t>
      </w:r>
      <w:r w:rsidRPr="009867C1">
        <w:t xml:space="preserve"> presents a natural δ</w:t>
      </w:r>
      <w:r w:rsidRPr="009867C1">
        <w:rPr>
          <w:vertAlign w:val="superscript"/>
        </w:rPr>
        <w:t>15</w:t>
      </w:r>
      <w:r w:rsidRPr="009867C1">
        <w:t xml:space="preserve">N signal that has been exploited as a means to infer MDN contributions to the nitrogen budgets of riparian zones </w:t>
      </w:r>
      <w:r w:rsidRPr="009867C1">
        <w:fldChar w:fldCharType="begin"/>
      </w:r>
      <w:r w:rsidR="00AC0205">
        <w:instrText xml:space="preserve"> ADDIN ZOTERO_ITEM CSL_CITATION {"citationID":"FqAMOinq","properties":{"formattedCitation":"(Gende et al., 2004; Hocking &amp; Reimchen, 2006; Reimchen et al., 2003)","plainCitation":"(Gende et al., 2004; Hocking &amp; Reimchen, 2006; Reimchen et al., 2003)","noteIndex":0},"citationItems":[{"id":872,"uris":["http://zotero.org/users/2189142/items/7F4T2KF6"],"itemData":{"id":872,"type":"article-journal","abstract":"We quantified the energy and mineral (nitrogen, phosphorous) composition of live pink salmon (Oncorhynchus gorbuscha) and chum salmon (O. keta), their eggs, and carcasses, and tracked the fate of chum salmon spawning in a small Alaskan coastal stream. On average, salmon entered streams with 5.3 kJ·g-−1, 3.3% N, 0.48% P. Much of the energy in female salmon was stored in the gametes because the gonads were both large (20% of their wet body mass) and high in energy density (11 kJ/g). Carcasses following senescent death had lower mass-specific energy and N (but not P) compared to fish at stream entrance. Bears removed nearly 50% of the salmon-derived nutrients and energy from the stream by capturing salmon and dragging the carcasses from the stream. Much of the salmon biomass was made available to riparian scavengers because bears partially consumed the fish. Nutrients bound in salmon tissue at senescent death were quickly exported to the estuary after only a few days because of periodic high flows and low rates of scavenging by bears.","container-title":"Journal of Freshwater Ecology","DOI":"10.1080/02705060.2004.9664522","ISSN":"0270-5060","issue":"1","page":"149-160","source":"Taylor and Francis+NEJM","title":"Magnitude and Fate of Salmon-Derived Nutrients and Energy in a Coastal Stream Ecosystem","volume":"19","author":[{"family":"Gende","given":"Scott M."},{"family":"Quinn","given":"Thomas P."},{"family":"Willson","given":"Mary F."},{"family":"Heintz","given":"Ron"},{"family":"Scott","given":"Thomas M."}],"issued":{"date-parts":[["2004",3,1]]},"citation-key":"gende_2004"}},{"id":190,"uris":["http://zotero.org/users/2189142/items/7ZS6NZ37"],"itemData":{"id":190,"type":"article-journal","abstract":"Anadromous Pacific salmon (Oncorhynchus spp.) subsidize terrestrial food webs with their nutrients and carcasses, a process driven largely by selective foraging by bears (Ursus spp.). We quantify wildlife transfer of salmon carcasses to riparian zones on two watersheds in coastal British Columbia and estimate total terrestrial fly production from remnant carcasses. Large-bodied chum salmon (Oncorhynchus keta) were transferred into the forest at a greater rate than were pink salmon (Oncorhynchus gorbuscha) (chum salmon mass = 6089–11 031 kg, 16%–48% of salmon run; pink salmon mass = 2266–2808 kg, 4%–6% of salmon run). Blow flies (genus Calliphora) and other Diptera dominated colonization (&gt;90% of salmon carcasses). Between the two watersheds, 196 and 265 g of Calliphora larvae per metre of spawning length (4 and 7 million larvae for whole watersheds) were generated from salmon carcass transfer. Stable isotope analysis of δ15N and δ13C of spring-emerging adult Calliphora revealed that &gt;80% of individuals ha..., Les saumons du Pacifique (Oncorhynchus spp.) anadromes enrichissent les réseaux alimentaires terrestres avec leurs nutriments et leurs carcasses, un processus grandement contrôlé par l'alimentation sélective des ours (Ursus spp.). Nous mesurons le transfert par l'intermédiaire de la faune sauvage des carcasses de saumons aux zones de rivage dans deux bassins versants de la côte de la Colombie-Britannique et nous estimons la production totale de mouches terrestres dans les carcasses abandonnées. Le transfert des saumons kéta (Oncorhynchus keta) plus corpulents se fait à un rythme plus élevé que celui des saumons roses (Oncorhynchus gorbuscha) (masse des saumons kéta = 6089–11 031 kg: 16–48 % de la montaison; masse des saumons roses = 2226–2808 kg: 4–6 % de la montaison). Les mouches de la viande (le genre Calliphora) et les autres diptères sont les principaux colonisateurs des carcasses (&gt;90 %) de saumons. Dans les deux bassins, respectivement 196 et 265 g de larves de Calliphora sont produits par mètre de...","container-title":"Canadian Journal of Fisheries and Aquatic Sciences","DOI":"10.1139/f06-110","ISSN":"0706-652X","issue":"9","journalAbbreviation":"Can. J. Fish. Aquat. Sci.","page":"2076-2086","source":"NRC Research Press","title":"Consumption and distribution of salmon (Oncorhynchus spp.) nutrients and energy by terrestrial flies","volume":"63","author":[{"family":"Hocking","given":"Morgan D"},{"family":"Reimchen","given":"T.E."}],"issued":{"date-parts":[["2006",9,1]]},"citation-key":"hocking_2006"}},{"id":224,"uris":["http://zotero.org/users/2189142/items/JAJXMVKC"],"itemData":{"id":224,"type":"paper-conference","container-title":"American Fisheries Society Symposium","page":"59–70","publisher":"American Fisheries Society","source":"Google Scholar","title":"Isotopic evidence for enrichment of salmon-derived nutrients in vegetation, soil, and insects in riparian zones in coastal British Columbia","author":[{"family":"Reimchen","given":"T. E."},{"family":"Mathewson","given":"D. D."},{"family":"Hocking","given":"M. D."},{"family":"Moran","given":"J."},{"family":"Harris","given":"D."}],"issued":{"date-parts":[["2003"]]},"citation-key":"reimchen_2003"}}],"schema":"https://github.com/citation-style-language/schema/raw/master/csl-citation.json"} </w:instrText>
      </w:r>
      <w:r w:rsidRPr="009867C1">
        <w:fldChar w:fldCharType="separate"/>
      </w:r>
      <w:r w:rsidR="0042141C" w:rsidRPr="009867C1">
        <w:t>(Gende et al., 2004; Hocking &amp; Reimchen, 2006; Reimchen et al., 2003)</w:t>
      </w:r>
      <w:r w:rsidRPr="009867C1">
        <w:fldChar w:fldCharType="end"/>
      </w:r>
      <w:r w:rsidRPr="009867C1">
        <w:t xml:space="preserve">. </w:t>
      </w:r>
    </w:p>
    <w:p w14:paraId="1A73C6DA" w14:textId="0EF819F3" w:rsidR="00D80E10" w:rsidRPr="009867C1" w:rsidRDefault="00D80E10" w:rsidP="00D80E10">
      <w:pPr>
        <w:ind w:firstLine="720"/>
      </w:pPr>
      <w:r w:rsidRPr="009867C1">
        <w:t xml:space="preserve">Inferences about salmon and MDN effects on nitrogen budgets commonly compare a reference site without MDN inputs to sites with MDN inputs, allowing confounding variance between sites to be statistically eliminated </w:t>
      </w:r>
      <w:r w:rsidRPr="009867C1">
        <w:fldChar w:fldCharType="begin"/>
      </w:r>
      <w:r w:rsidR="00AC0205">
        <w:instrText xml:space="preserve"> ADDIN ZOTERO_ITEM CSL_CITATION {"citationID":"T7XLXvMR","properties":{"formattedCitation":"(Bilby et al., 2003; Helfield &amp; Naiman, 2002; Kline et al., 1990; Reimchen, 2017)","plainCitation":"(Bilby et al., 2003; Helfield &amp; Naiman, 2002; Kline et al., 1990; Reimchen, 2017)","noteIndex":0},"citationItems":[{"id":"Mdw2eqP8/g0PPVrCP","uris":["http://zotero.org/users/2189142/items/XNJZDUA2"],"itemData":{"id":6368,"type":"article-journal","abstract":"The extent to which nutrients from Pacific salmon are transported to riparian areas may be influenced by differences in spawning behavior among species. Chum salmon Oncorhynchus keta, pink salmon O. gorbuscha, and sockeye salmon O. nerka typically spawn in dense aggregations, while species like steelhead O. mykiss and coho salmon O. kisutch spawn at lower densities. The contribution of nutrients to riparian vegetation was compared at two watersheds in western Washington, Griffin Creek (used by coho salmon) and Kennedy Creek (used by chum salmon). Salmonberry Rubus spectabilis foliage was collected at the channel edge above and below barriers to spawning salmon and at 20, 50, and 100 m upslope from the stream and analyzed for nitrogen stable isotope ratio (δ15N, an indicator of salmon-derived nitrogen), total nitrogen (N), and phosphorus (P) content. Cover, plant density, and the species richness of shrub and understory vegetation were compared between sites with and without salmon. The δ15N values in salmonberry leaves were higher at sites with salmon than at corresponding distances from the channel at sites without salmon at Kennedy Creek but not Griffin Creek. Salmonberry foliage adjacent to salmon spawning reaches possessed significantly higher levels of total N and P in both watersheds. Nitrogen content was positively associated with δ15N values at the Kennedy Creek sites but not at the Griffin Creek sites. At Kennedy Creek, shrub species diversity and understory plant density and species diversity were higher at sites with salmon than at sites without salmon. These results suggest that areas bordering streams utilized by high-density-spawning species like chum salmon receive a substantial nutrient contribution from the fish and that this subsidy influences the vegetation. We did not see clear evidence for a similar nutrient contribution from coho salmon.","container-title":"Transactions of the American Fisheries Society","DOI":"10.1577/T02-089","ISSN":"0002-8487","issue":"4","note":"publisher: Taylor &amp; Francis\n_eprint: https://doi.org/10.1577/T02-089","page":"733-745","source":"Taylor and Francis+NEJM","title":"Transfer of Nutrients from Spawning Salmon to Riparian Vegetation in Western Washington","volume":"132","author":[{"family":"Bilby","given":"Robert E."},{"family":"Beach","given":"Eric W."},{"family":"Fransen","given":"Brian R."},{"family":"Walter","given":"Jason K."},{"family":"Bisson","given":"Peter A."}],"issued":{"date-parts":[["2003",7,1]]}}},{"id":473,"uris":["http://zotero.org/users/2189142/items/CRR4MCZM"],"itemData":{"id":473,"type":"article-journal","abstract":"Anadromous Pacific salmon (Oncorhynchus spp.) transport marine-derived nitrogen (MDN) to the rivers in which they spawn. Isotopic analyses of riparian vegetation in a boreal Alaskan watershed indicate that trees and shrubs near spawning streams derive ~24–26% of their foliar nitrogen (N) from salmon. Basal area growth of white spruce (Picea glauca) is enhanced at sites receiving MDN inputs. This marine N subsidy appears to be less important to riparian ecosystems where symbiotic N fixation by alder (Alnus crispa) is prevalent, although salmon carcasses may nonetheless be an important source of other marine-derived nutrients affecting productivity in these forests. These findings illustrate the complexity of interactions surrounding riparian forests and the interconnectedness of river and riparian ecosystems.","container-title":"Oecologia","DOI":"10.1007/s00442-002-1070-x","ISSN":"0029-8549, 1432-1939","issue":"4","journalAbbreviation":"Oecologia","language":"en","page":"573-582","source":"link.springer.com.ezproxy.library.ubc.ca","title":"Salmon and alder as nitrogen sources to riparian forests in a boreal Alaskan watershed","volume":"133","author":[{"family":"Helfield","given":"James M."},{"family":"Naiman","given":"Robert J."}],"issued":{"date-parts":[["2002",12,1]]},"citation-key":"helfield_2002"}},{"id":2485,"uris":["http://zotero.org/users/2189142/items/GJ826TAH"],"itemData":{"id":2485,"type":"article-journal","abstract":"Values of δ15N and δ13C (the per mil deviation from the recognized isotope standard) from biota of a southeastern Alaska stream (Sashin Creek) that receives an annual run of 30 000 anadromous pink salmon (Oncorhynchus gorbuscha) were measured to determine sources of nitrogen (N) and carbon (C). Marine-derived nitrogen (MDN) is the predominant source of N for food webs found in the lower 1200 m of the stream which, due to a waterfall, is the only portion of the stream available to salmon returning to spawn. Comparable spawning section biota were enriched by about 5 per mil relative to the salmon-free control section, corresponding to the difference between 0 and 100% MDN in a mixing model. Food webs of resident rainbow trout (O. mykiss), at the outlet of one of the source lakes, Sashin Lake, have very low δ13C, suggesting the importance of a respired C pool in the lake. The source of C in the remainder of the stream is C fixation by autochthonous producers and marine organic C (within the salmon spawning s..., On a quantifié les concentrations de δN15 et de δC13 (la déviation par millième par rapport à l'isotope étalon reconnu) chez la biote d'un cours d'eau du sud-est de l'Alaska (ruisseau Sashin) fréquenté par une remontée annuelle de 30 000 saumons roses (Oncorhynchus gorbuscha) anadromes afin de déterminer l'origine de l'azote (N) et du carbone (C). L'azote d'origine marine (MDN) est la principale source de N des réseaux alimentaires présents dans les premiers 1 200 m du cours d'eau qui, à cause d'une chute, est la seule partie fréquentée par les saumons reproducteurs. La biote analogue peuplant les frayères était enrichie d'environ 5 par millième par rapport au tronçon témoin libre de saumon, ce qui correspond à une différence du MDN allant de 0 à 100% dans le modèle de brassage. Les réseaux alimentaires de la truite arc-en-ciel (O. mykiss) résidente, à l'émissaire d'un des lacs d'origine (lac Sashin) montrent une très faible concentration de δC13. Ceci laisse supposer un important apport de C par respirat...","container-title":"Canadian Journal of Fisheries and Aquatic Sciences","DOI":"10.1139/f90-014","ISSN":"0706-652X","issue":"1","journalAbbreviation":"Can. J. Fish. Aquat. Sci.","page":"136-144","source":"NRC Research Press","title":"Recycling of Elements Transported Upstream by Runs of Pacific Salmon: I, δ15N and δ13C Evidence in Sashin Creek, Southeastern Alaska","title-short":"Recycling of Elements Transported Upstream by Runs of Pacific Salmon","volume":"47","author":[{"family":"Kline","given":"Thomas C. Jr."},{"family":"Goering","given":"John J."},{"family":"Mathisen","given":"O.A."},{"family":"Poe","given":"Patrick H."},{"family":"Parker","given":"Patrick L."}],"issued":{"date-parts":[["1990",1,1]]},"citation-key":"kline_1990"}},{"id":183,"uris":["http://zotero.org/users/2189142/items/5XY9XX4M"],"itemData":{"id":183,"type":"article-journal","abstract":"Based on five years of field studies (1992, 1993, 1994, 1998, 2000), I quantified bi-directional movement of salmon nutrients through an estuary, stream, and old growth forest in a large protected reserve on Haida Gwaii, British Columbia. In 1993, when most data were collected, about 6000 Chum Salmon (Oncorhynchus keta) entered the river of which 22% of the total biomass of senescent carcasses were swept downstream into the estuary and were scavenged by gulls (n = 350) and subtidal invertebrates. Of the 3700 salmon (10 000 kg) transferred by American Black Bear (Ursus americanus) to the riparian zone and partially consumed along the 800 m of stream channel, 5070 kg of salmon tissues abandoned by the bears were scavenged by Northwestern Crows (Corvus caurinus; n = 200) but mostly (4100 kg) by calliphorid blowfly larvae resulting in larval densities averaging 240/m2 throughout the riparian zone. Total nitrogen input to the soils from the combined effects of bear and scavenger activity as well as carcass input was 18 g/m2 within 10 m of the stream channel. δ15N of foliar tissues of Lanky Moss (Rhytidiadelphus loreus), Red Huckleberry (Vaccinium parvifolium), Salal (Gaultheria shallon), and Western Hemlock (Tsuga heterophylla) ranged about 15‰ to 20‰ among adjacent microsites in each species, with higher values occurring in salmon carcass zones. Total nitrogen in foliar tissues ranged from 1% to 2.4% among microsites and was best predicted by positive correlations with foliar 15N values and secondarily by presence/absence of salmon carcasses. This is the first study to integrate estuarine to riparian ecological processes in the cycling of salmonid nutrients and identifies a range of ecological baselines that can inform the multiple restoration programs underway in degraded watersheds in the North Pacific.","container-title":"Canadian Field Naturalist","ISSN":"0008-3550","language":"en","source":"pubag.nal.usda.gov","title":"Diverse Ecological Pathways of Salmon Nutrients Through an Intact Marine-terrestrial Interface","URL":"https://pubag.nal.usda.gov/catalog/6040059","author":[{"family":"Reimchen","given":"T.E."}],"accessed":{"date-parts":[["2019",8,4]]},"issued":{"date-parts":[["2017"]]},"citation-key":"reimchen_2017"}}],"schema":"https://github.com/citation-style-language/schema/raw/master/csl-citation.json"} </w:instrText>
      </w:r>
      <w:r w:rsidRPr="009867C1">
        <w:fldChar w:fldCharType="separate"/>
      </w:r>
      <w:r w:rsidR="0042141C" w:rsidRPr="009867C1">
        <w:t>(Bilby et al., 2003; Helfield &amp; Naiman, 2002; Kline et al., 1990; Reimchen, 2017)</w:t>
      </w:r>
      <w:r w:rsidRPr="009867C1">
        <w:fldChar w:fldCharType="end"/>
      </w:r>
      <w:r w:rsidRPr="009867C1">
        <w:t>. Typical values of estimated MDN contribution to N budgets are around 20%, but range from 0% to 98% depending on ecological context and which ecosystem compartment is being measured (i</w:t>
      </w:r>
      <w:r w:rsidR="00474D69">
        <w:t>.</w:t>
      </w:r>
      <w:r w:rsidRPr="009867C1">
        <w:t>e. taxonomic identity of plant or animal, soil, water column, etc</w:t>
      </w:r>
      <w:r w:rsidR="00474D69">
        <w:t>.</w:t>
      </w:r>
      <w:r w:rsidRPr="009867C1">
        <w:t>)</w:t>
      </w:r>
      <w:r w:rsidR="00474D69">
        <w:t>.</w:t>
      </w:r>
      <w:r w:rsidRPr="009867C1">
        <w:t xml:space="preserve"> These ‘two-member mixing models’ make two assumptions: 1. reference sites are biogeochemically similar to sample sites; and 2. no fractionation occurs along the biochemical pathway between salmon and sample. These models have been shown to be particularly sensitive to the former, with error in reference sample choice and/or measurement having disproportionate effects on estimates </w:t>
      </w:r>
      <w:r w:rsidRPr="009867C1">
        <w:fldChar w:fldCharType="begin"/>
      </w:r>
      <w:r w:rsidR="00AC0205">
        <w:instrText xml:space="preserve"> ADDIN ZOTERO_ITEM CSL_CITATION {"citationID":"0kwK6tYb","properties":{"formattedCitation":"(A. E. Morris et al., 2005b; Reimchen, 2017)","plainCitation":"(A. E. Morris et al., 2005b; Reimchen, 2017)","noteIndex":0},"citationItems":[{"id":"Mdw2eqP8/sFyk2AGZ","uris":["http://zotero.org/users/2189142/items/VQN2DZQ5"],"itemData":{"id":"E64OCSfg/bH48cDlB","type":"article-journal","abstract":"Pacific salmon (Oncorhynchus spp.) transport nitrogen (N) from oceans to inland ecosystems. Salmon δ15N is higher than δ15N expected in terrestrial plants, so linear two-source mixing models have commonly been used to quantify contributions of marine-derived N (MDN) to riparian ecosystems based on riparian plant δ15N. However, isotopic fractionation potentially contributes to error in MDN estimates by changing δ15N of salmon-derived N appearing in soil and plants. We used a simulation model to examine potential effects of fractionation on MDN estimates. We also measured changes in δ15N and δ13C as N and carbon (C) moved from bear feces into soil, and compared MDN estimates using three different estimates for the marine endmember of a linear mixing model. Simulation demonstrated that fractionation during soil N losses could lead to large overestimations of MDN when δ15N of salmon tissue is used as the marine endmember. δ15N of bear feces was significantly enriched (by 1.9) relative to salmon tissue, but d..., Le saumon du Pacifique (Oncorhynchus spp.) transporte de l'azote (N) des océans vers les écosystèmes continentaux. Comme le δ15N du saumon est plus élevé que le δ15N anticipé pour les plantes terrestres, des modèles linéaires de mélange de deux sources de fluides ont souvent été utilisés pour quantifier les contributions de N dérivé du milieu marin (ADMM) aux écosystèmes riverains en se basant sur le δ15N des plantes riveraines. Toutefois, le fractionnement isotopique peut contribuer à fausser les estimations de l'ADMM en changeant le δ15N de N du saumon apparaissant dans le sol et les plantes. Les auteurs ont utilisé un modèle de simulation pour examiner les effets potentiels du fractionnement sur les estimations de l'ADMM. Ils ont aussi mesuré les changements dans le δ15N et le δ13C étant donné que le N et le carbone (C) passent des fèces d'ours au sol, et ils ont comparé les estimations de l'ADMM en utilisant trois estimés différents pour le pôle marin d'un modèle linéaire de mélange de fluides. Les si...","container-title":"Canadian Journal of Forest Research","DOI":"10.1139/x05-094","ISSN":"0045-5067","issue":"7","journalAbbreviation":"Can. J. For. Res.","page":"1604-1616","source":"NRC Research Press","title":"Evaluation of isotopic fractionation error on calculations of marine-derived nitrogen in terrestrial ecosystems","volume":"35","author":[{"family":"Morris","given":"Arthur EL"},{"family":"Stark","given":"John M"},{"family":"Gilbert","given":"Barrie K"}],"issued":{"date-parts":[["2005",7,1]]}}},{"id":183,"uris":["http://zotero.org/users/2189142/items/5XY9XX4M"],"itemData":{"id":183,"type":"article-journal","abstract":"Based on five years of field studies (1992, 1993, 1994, 1998, 2000), I quantified bi-directional movement of salmon nutrients through an estuary, stream, and old growth forest in a large protected reserve on Haida Gwaii, British Columbia. In 1993, when most data were collected, about 6000 Chum Salmon (Oncorhynchus keta) entered the river of which 22% of the total biomass of senescent carcasses were swept downstream into the estuary and were scavenged by gulls (n = 350) and subtidal invertebrates. Of the 3700 salmon (10 000 kg) transferred by American Black Bear (Ursus americanus) to the riparian zone and partially consumed along the 800 m of stream channel, 5070 kg of salmon tissues abandoned by the bears were scavenged by Northwestern Crows (Corvus caurinus; n = 200) but mostly (4100 kg) by calliphorid blowfly larvae resulting in larval densities averaging 240/m2 throughout the riparian zone. Total nitrogen input to the soils from the combined effects of bear and scavenger activity as well as carcass input was 18 g/m2 within 10 m of the stream channel. δ15N of foliar tissues of Lanky Moss (Rhytidiadelphus loreus), Red Huckleberry (Vaccinium parvifolium), Salal (Gaultheria shallon), and Western Hemlock (Tsuga heterophylla) ranged about 15‰ to 20‰ among adjacent microsites in each species, with higher values occurring in salmon carcass zones. Total nitrogen in foliar tissues ranged from 1% to 2.4% among microsites and was best predicted by positive correlations with foliar 15N values and secondarily by presence/absence of salmon carcasses. This is the first study to integrate estuarine to riparian ecological processes in the cycling of salmonid nutrients and identifies a range of ecological baselines that can inform the multiple restoration programs underway in degraded watersheds in the North Pacific.","container-title":"Canadian Field Naturalist","ISSN":"0008-3550","language":"en","source":"pubag.nal.usda.gov","title":"Diverse Ecological Pathways of Salmon Nutrients Through an Intact Marine-terrestrial Interface","URL":"https://pubag.nal.usda.gov/catalog/6040059","author":[{"family":"Reimchen","given":"T.E."}],"accessed":{"date-parts":[["2019",8,4]]},"issued":{"date-parts":[["2017"]]},"citation-key":"reimchen_2017"}}],"schema":"https://github.com/citation-style-language/schema/raw/master/csl-citation.json"} </w:instrText>
      </w:r>
      <w:r w:rsidRPr="009867C1">
        <w:fldChar w:fldCharType="separate"/>
      </w:r>
      <w:r w:rsidR="0042141C" w:rsidRPr="009867C1">
        <w:t>(A. E. Morris et al., 2005b; Reimchen, 2017)</w:t>
      </w:r>
      <w:r w:rsidRPr="009867C1">
        <w:fldChar w:fldCharType="end"/>
      </w:r>
      <w:r w:rsidRPr="009867C1">
        <w:t>. With regards to the latter, N</w:t>
      </w:r>
      <w:r w:rsidR="00291654">
        <w:t xml:space="preserve"> isotope</w:t>
      </w:r>
      <w:r w:rsidRPr="009867C1">
        <w:t xml:space="preserve"> fractionation is likely to be the rule rather than the exception in soil and plant processes </w:t>
      </w:r>
      <w:r w:rsidRPr="009867C1">
        <w:fldChar w:fldCharType="begin"/>
      </w:r>
      <w:r w:rsidR="00AC0205">
        <w:instrText xml:space="preserve"> ADDIN ZOTERO_ITEM CSL_CITATION {"citationID":"TzZHrRnx","properties":{"formattedCitation":"(Craine et al., 2015)","plainCitation":"(Craine et al., 2015)","noteIndex":0},"citationItems":[{"id":1883,"uris":["http://zotero.org/users/2189142/items/FEYM7R68"],"itemData":{"id":1883,"type":"article-journal","container-title":"Plant and Soil","issue":"1-2","note":"publisher: Springer","page":"1–26","source":"Google Scholar","title":"Ecological interpretations of nitrogen isotope ratios of terrestrial plants and soils","volume":"396","author":[{"family":"Craine","given":"Joseph M."},{"family":"Brookshire","given":"E. N. J."},{"family":"Cramer","given":"Michael D."},{"family":"Hasselquist","given":"Niles J."},{"family":"Koba","given":"Keisuke"},{"family":"Marin-Spiotta","given":"Erika"},{"family":"Wang","given":"Lixin"}],"issued":{"date-parts":[["2015"]]},"citation-key":"craine_2015"}}],"schema":"https://github.com/citation-style-language/schema/raw/master/csl-citation.json"} </w:instrText>
      </w:r>
      <w:r w:rsidRPr="009867C1">
        <w:fldChar w:fldCharType="separate"/>
      </w:r>
      <w:r w:rsidR="0042141C" w:rsidRPr="009867C1">
        <w:t>(Craine et al., 2015)</w:t>
      </w:r>
      <w:r w:rsidRPr="009867C1">
        <w:fldChar w:fldCharType="end"/>
      </w:r>
      <w:r w:rsidRPr="009867C1">
        <w:t xml:space="preserve"> and should be accounted for to have confidence in estimates of MDN contributions to nitrogen budgets. </w:t>
      </w:r>
    </w:p>
    <w:p w14:paraId="66A0592F" w14:textId="06D778CF" w:rsidR="00D80E10" w:rsidRPr="009867C1" w:rsidRDefault="00D80E10" w:rsidP="00D80E10">
      <w:pPr>
        <w:ind w:firstLine="720"/>
      </w:pPr>
      <w:r w:rsidRPr="009867C1">
        <w:t xml:space="preserve">One process known to fractionate N is the transfer of N to plants by mycorrhizal fungi </w:t>
      </w:r>
      <w:r w:rsidRPr="009867C1">
        <w:fldChar w:fldCharType="begin"/>
      </w:r>
      <w:r w:rsidR="00AC0205">
        <w:instrText xml:space="preserve"> ADDIN ZOTERO_ITEM CSL_CITATION {"citationID":"DfxaAXJB","properties":{"formattedCitation":"(E. A. Hobbie &amp; Ouimette, 2009)","plainCitation":"(E. A. Hobbie &amp; Ouimette, 2009)","noteIndex":0},"citationItems":[{"id":880,"uris":["http://zotero.org/users/2189142/items/E92P3RV4"],"itemData":{"id":880,"type":"article-journal","abstract":"To determine the dominant processes controlling nitrogen (N) dynamics in soils and increase insights into soil N cycling from nitrogen isotope (δ15N) data, patterns of 15N enrichment in soil profiles were compiled from studies on tropical, temperate, and boreal systems. The maximum 15N enrichment between litter and deeper soil layers varied strongly with mycorrhizal fungal association, averaging 9.6 ± 0.4‰ in ectomycorrhizal systems and 4.6 ± 0.5‰ in arbuscular mycorrhizal systems. The 15N enrichment varied little with mean annual temperature, precipitation, or nitrification rates. One main factor controlling 15N in soil profiles, fractionation against 15N during N transfer by mycorrhizal fungi to host plants, leads to 15N-depleted plant litter at the soil surface and 15N-enriched nitrogen of fungal origin at depth. The preferential preservation of 15N-enriched compounds during decomposition and stabilization is a second important factor. A third mechanism, N loss during nitrification and denitrification, may account for large 15N enrichments with depth in less N-limited forests and may account for soil profiles where maximum δ15N is at intermediate depths. Mixing among soil horizons should also decrease differences among soil horizons. We suggest that dynamic models of isotope distributions within soil profiles that can incorporate multiple processes could provide additional information about the history of nitrogen movements and transformations at a site.","container-title":"Biogeochemistry","DOI":"10.1007/s10533-009-9328-6","ISSN":"0168-2563, 1573-515X","issue":"2-3","journalAbbreviation":"Biogeochemistry","language":"en","page":"355-371","source":"link.springer.com.ezproxy.library.ubc.ca","title":"Controls of nitrogen isotope patterns in soil profiles","volume":"95","author":[{"family":"Hobbie","given":"Erik A."},{"family":"Ouimette","given":"Andrew P."}],"issued":{"date-parts":[["2009",5,26]]},"citation-key":"hobbie_2009a"}}],"schema":"https://github.com/citation-style-language/schema/raw/master/csl-citation.json"} </w:instrText>
      </w:r>
      <w:r w:rsidRPr="009867C1">
        <w:fldChar w:fldCharType="separate"/>
      </w:r>
      <w:r w:rsidR="0042141C" w:rsidRPr="009867C1">
        <w:t>(E. A. Hobbie &amp; Ouimette, 2009)</w:t>
      </w:r>
      <w:r w:rsidRPr="009867C1">
        <w:fldChar w:fldCharType="end"/>
      </w:r>
      <w:r w:rsidRPr="009867C1">
        <w:t xml:space="preserve">. Mycorrhizal fungi scavenge nitrogen and other nutrients from the soil and exchange these products for energy-rich carbon compounds provided by associated plants. This exchange can account for large proportions of plant budgets for both </w:t>
      </w:r>
      <w:r w:rsidR="00291654">
        <w:t xml:space="preserve">C and N </w:t>
      </w:r>
      <w:r w:rsidRPr="009867C1">
        <w:fldChar w:fldCharType="begin"/>
      </w:r>
      <w:r w:rsidR="00AC0205">
        <w:instrText xml:space="preserve"> ADDIN ZOTERO_ITEM CSL_CITATION {"citationID":"cKtrvESb","properties":{"formattedCitation":"(S. E. Smith &amp; Read, 2008)","plainCitation":"(S. E. Smith &amp; Read, 2008)","noteIndex":0},"citationItems":[{"id":1004,"uris":["http://zotero.org/users/2189142/items/E7A637MD"],"itemData":{"id":1004,"type":"book","abstract":"The roots of most plants are colonized by symbiotic fungi to form mycorrhiza, which play a critical role in the capture of nutrients from the soil and therefore in plant nutrition. Mycorrhizal Symbiosis is recognized as the definitive work in this area. Since the last edition was published there have been major advances in the field, particularly in the area of molecular biology, and the new edition has been fully revised and updated to incorporate these exciting new developments.                                       • Over 50% new material• Includes expanded color plate section• Covers all aspects of mycorrhiza• Presents new taxonomy• Discusses the impact of proteomics and genomics on research in this area","edition":"3 edition","event-place":"Amsterdam","ISBN":"978-0-12-370526-6","language":"English","number-of-pages":"800","publisher":"Academic Press","publisher-place":"Amsterdam","source":"Amazon","title":"Mycorrhizal Symbiosis, Third Edition","author":[{"family":"Smith","given":"Sally E."},{"family":"Read","given":"David J."}],"issued":{"date-parts":[["2008",5,7]]},"citation-key":"smith_2008a"}}],"schema":"https://github.com/citation-style-language/schema/raw/master/csl-citation.json"} </w:instrText>
      </w:r>
      <w:r w:rsidRPr="009867C1">
        <w:fldChar w:fldCharType="separate"/>
      </w:r>
      <w:r w:rsidR="0042141C" w:rsidRPr="009867C1">
        <w:t>(S. E. Smith &amp; Read, 2008)</w:t>
      </w:r>
      <w:r w:rsidRPr="009867C1">
        <w:fldChar w:fldCharType="end"/>
      </w:r>
      <w:r w:rsidRPr="009867C1">
        <w:t>. Mycorrhiza</w:t>
      </w:r>
      <w:r w:rsidR="00474D69">
        <w:t>l fungi</w:t>
      </w:r>
      <w:r w:rsidRPr="009867C1">
        <w:t xml:space="preserve"> have traditionally been separated by ‘guild’, based on their physiology (e</w:t>
      </w:r>
      <w:r w:rsidR="00291654">
        <w:t>.</w:t>
      </w:r>
      <w:r w:rsidRPr="009867C1">
        <w:t>g. ectomycorrhizal, arbuscular, ericoid), and the guild and taxonomic identity of the fungal partner explains large proportions of variation in δ</w:t>
      </w:r>
      <w:r w:rsidRPr="009867C1">
        <w:rPr>
          <w:vertAlign w:val="superscript"/>
        </w:rPr>
        <w:t>15</w:t>
      </w:r>
      <w:r w:rsidRPr="009867C1">
        <w:t xml:space="preserve">N of host plant foliar N </w:t>
      </w:r>
      <w:r w:rsidRPr="009867C1">
        <w:fldChar w:fldCharType="begin"/>
      </w:r>
      <w:r w:rsidR="00AC0205">
        <w:instrText xml:space="preserve"> ADDIN ZOTERO_ITEM CSL_CITATION {"citationID":"NkDqt3mN","properties":{"formattedCitation":"(Craine et al., 2009)","plainCitation":"(Craine et al., 2009)","noteIndex":0},"citationItems":[{"id":878,"uris":["http://zotero.org/users/2189142/items/Q3EXBIMA"],"itemData":{"id":878,"type":"article-journal","abstract":"Ratios of nitrogen (N) isotopes in leaves could elucidate underlying patterns of N cycling across ecological gradients. To better understand global-scale patterns of N cycling, we compiled data on foliar N isotope ratios (δ15N), foliar N concentrations, mycorrhizal type and climate for over 11 000 plants worldwide. Arbuscular mycorrhizal, ectomycorrhizal, and ericoid mycorrhizal plants were depleted in foliar δ15N by 2‰, 3.2‰, 5.9‰, respectively, relative to nonmycorrhizal plants. Foliar δ15N increased with decreasing mean annual precipitation and with increasing mean annual temperature (MAT) across sites with MAT ≥ −0.5°C, but was invariant with MAT across sites with MAT &lt; −0.5°C. In independent landscape-level to regional-level studies, foliar δ15N increased with increasing N availability; at the global scale, foliar δ15N increased with increasing foliar N concentrations and decreasing foliar phosphorus (P) concentrations. Together, these results suggest that warm, dry ecosystems have the highest N availability, while plants with high N concentrations, on average, occupy sites with higher N availability than plants with low N concentrations. Global-scale comparisons of other components of the N cycle are still required for better mechanistic understanding of the determinants of variation in foliar δ15N and ultimately global patterns in N cycling.","container-title":"New Phytologist","DOI":"10.1111/j.1469-8137.2009.02917.x","ISSN":"1469-8137","issue":"4","language":"en","page":"980-992","source":"Wiley Online Library","title":"Global patterns of foliar nitrogen isotopes and their relationships with climate, mycorrhizal fungi, foliar nutrient concentrations, and nitrogen availability","volume":"183","author":[{"family":"Craine","given":"Joseph M."},{"family":"Elmore","given":"Andrew J."},{"family":"Aidar","given":"Marcos P. M."},{"family":"Bustamante","given":"Mercedes"},{"family":"Dawson","given":"Todd E."},{"family":"Hobbie","given":"Erik A."},{"family":"Kahmen","given":"Ansgar"},{"family":"Mack","given":"Michelle C."},{"family":"McLauchlan","given":"Kendra K."},{"family":"Michelsen","given":"Anders"},{"family":"Nardoto","given":"Gabriela B."},{"family":"Pardo","given":"Linda H."},{"family":"Peñuelas","given":"Josep"},{"family":"Reich","given":"Peter B."},{"family":"Schuur","given":"Edward A. G."},{"family":"Stock","given":"William D."},{"family":"Templer","given":"Pamela H."},{"family":"Virginia","given":"Ross A."},{"family":"Welker","given":"Jeffrey M."},{"family":"Wright","given":"Ian J."}],"issued":{"date-parts":[["2009",9,1]]},"citation-key":"craine_2009"}}],"schema":"https://github.com/citation-style-language/schema/raw/master/csl-citation.json"} </w:instrText>
      </w:r>
      <w:r w:rsidRPr="009867C1">
        <w:fldChar w:fldCharType="separate"/>
      </w:r>
      <w:r w:rsidR="0042141C" w:rsidRPr="009867C1">
        <w:t>(Craine et al., 2009)</w:t>
      </w:r>
      <w:r w:rsidRPr="009867C1">
        <w:fldChar w:fldCharType="end"/>
      </w:r>
      <w:r w:rsidRPr="009867C1">
        <w:t xml:space="preserve">. As N is absorbed by fungi, </w:t>
      </w:r>
      <w:r w:rsidRPr="009867C1">
        <w:rPr>
          <w:vertAlign w:val="superscript"/>
        </w:rPr>
        <w:t>15</w:t>
      </w:r>
      <w:r w:rsidRPr="009867C1">
        <w:t xml:space="preserve">N-enriched N is preferentially incorporated into fungal protein and remains belowground </w:t>
      </w:r>
      <w:r w:rsidRPr="009867C1">
        <w:fldChar w:fldCharType="begin"/>
      </w:r>
      <w:r w:rsidR="00AC0205">
        <w:instrText xml:space="preserve"> ADDIN ZOTERO_ITEM CSL_CITATION {"citationID":"DvfVYkyx","properties":{"formattedCitation":"(E. A. Hobbie &amp; Colpaert, 2003; A. Taylor et al., 1997)","plainCitation":"(E. A. Hobbie &amp; Colpaert, 2003; A. Taylor et al., 1997)","noteIndex":0},"citationItems":[{"id":1078,"uris":["http://zotero.org/users/2189142/items/965U5CQ5"],"itemData":{"id":1078,"type":"article-journal","container-title":"New Phytologist","issue":"1","page":"115–126","source":"Google Scholar","title":"Nitrogen availability and colonization by mycorrhizal fungi correlate with nitrogen isotope patterns in plants","volume":"157","author":[{"family":"Hobbie","given":"Erik A."},{"family":"Colpaert","given":"Jan V."}],"issued":{"date-parts":[["2003"]]},"citation-key":"hobbie_2003a"}},{"id":2109,"uris":["http://zotero.org/users/2189142/items/D5PK5BVD"],"itemData":{"id":2109,"type":"article-journal","container-title":"New Phytologist","issue":"4","note":"publisher: Wiley Online Library","page":"713–720","source":"Google Scholar","title":"Natural 15N abundance in fruit bodies of ectomycorrhizal fungi from boreal forests","volume":"136","author":[{"family":"Taylor","given":"Andy"},{"family":"Högbom","given":"Lars"},{"family":"Högberg","given":"Mona"},{"family":"Lyon","given":"Anthony JE"},{"family":"Näsholm","given":"Torgny"},{"family":"Högberg","given":"Peter"}],"issued":{"date-parts":[["1997"]]},"citation-key":"taylor_1997"}}],"schema":"https://github.com/citation-style-language/schema/raw/master/csl-citation.json"} </w:instrText>
      </w:r>
      <w:r w:rsidRPr="009867C1">
        <w:fldChar w:fldCharType="separate"/>
      </w:r>
      <w:r w:rsidR="0042141C" w:rsidRPr="009867C1">
        <w:t>(E. A. Hobbie &amp; Colpaert, 2003; A. Taylor et al., 1997)</w:t>
      </w:r>
      <w:r w:rsidRPr="009867C1">
        <w:fldChar w:fldCharType="end"/>
      </w:r>
      <w:r w:rsidRPr="009867C1">
        <w:t xml:space="preserve">, </w:t>
      </w:r>
      <w:r w:rsidR="0054470B">
        <w:t>resulting in</w:t>
      </w:r>
      <w:r w:rsidRPr="009867C1">
        <w:t xml:space="preserve"> N translocated to the plant</w:t>
      </w:r>
      <w:r w:rsidR="0054470B">
        <w:t xml:space="preserve"> being</w:t>
      </w:r>
      <w:r w:rsidRPr="009867C1">
        <w:t xml:space="preserve"> isotopically depleted. Over time, this results in </w:t>
      </w:r>
      <w:r w:rsidRPr="009867C1">
        <w:rPr>
          <w:vertAlign w:val="superscript"/>
        </w:rPr>
        <w:t>15</w:t>
      </w:r>
      <w:r w:rsidRPr="009867C1">
        <w:t xml:space="preserve">N-depletion of plant hosts, and an isotopic divergence between plant </w:t>
      </w:r>
      <w:r w:rsidRPr="009867C1">
        <w:rPr>
          <w:vertAlign w:val="superscript"/>
        </w:rPr>
        <w:t>15</w:t>
      </w:r>
      <w:r w:rsidRPr="009867C1">
        <w:t xml:space="preserve">N and fungal and soil </w:t>
      </w:r>
      <w:r w:rsidRPr="009867C1">
        <w:rPr>
          <w:vertAlign w:val="superscript"/>
        </w:rPr>
        <w:t>15</w:t>
      </w:r>
      <w:r w:rsidRPr="009867C1">
        <w:t xml:space="preserve">N </w:t>
      </w:r>
      <w:r w:rsidRPr="009867C1">
        <w:fldChar w:fldCharType="begin"/>
      </w:r>
      <w:r w:rsidR="00AC0205">
        <w:instrText xml:space="preserve"> ADDIN ZOTERO_ITEM CSL_CITATION {"citationID":"rxwcDJpz","properties":{"formattedCitation":"(E. A. Hobbie et al., 2005)","plainCitation":"(E. A. Hobbie et al., 2005)","noteIndex":0},"citationItems":[{"id":2085,"uris":["http://zotero.org/users/2189142/items/VM3ILX7Q"],"itemData":{"id":2085,"type":"article-journal","container-title":"Oecologia","issue":"2","note":"publisher: Springer","page":"258–268","source":"Google Scholar","title":"Foliar and fungal 15 N: 14 N ratios reflect development of mycorrhizae and nitrogen supply during primary succession: testing analytical models","title-short":"Foliar and fungal 15 N","volume":"146","author":[{"family":"Hobbie","given":"Erik A."},{"family":"Jumpponen","given":"Ari"},{"family":"Trappe","given":"Jim"}],"issued":{"date-parts":[["2005"]]},"citation-key":"hobbie_2005"}}],"schema":"https://github.com/citation-style-language/schema/raw/master/csl-citation.json"} </w:instrText>
      </w:r>
      <w:r w:rsidRPr="009867C1">
        <w:fldChar w:fldCharType="separate"/>
      </w:r>
      <w:r w:rsidR="0042141C" w:rsidRPr="009867C1">
        <w:t>(E. A. Hobbie et al., 2005)</w:t>
      </w:r>
      <w:r w:rsidRPr="009867C1">
        <w:fldChar w:fldCharType="end"/>
      </w:r>
      <w:r w:rsidRPr="009867C1">
        <w:t xml:space="preserve">. Due to this process, isotope comparisons between foliar, fungal, and soil samples have been used to estimate levels </w:t>
      </w:r>
      <w:r w:rsidR="00474D69">
        <w:t xml:space="preserve">of </w:t>
      </w:r>
      <w:r w:rsidRPr="009867C1">
        <w:t xml:space="preserve">mycorrhiza-mediated N flux </w:t>
      </w:r>
      <w:r w:rsidRPr="009867C1">
        <w:fldChar w:fldCharType="begin"/>
      </w:r>
      <w:r w:rsidR="00AC0205">
        <w:instrText xml:space="preserve"> ADDIN ZOTERO_ITEM CSL_CITATION {"citationID":"zVvwkLjk","properties":{"formattedCitation":"(J. E. Hobbie &amp; Hobbie, 2006)","plainCitation":"(J. E. Hobbie &amp; Hobbie, 2006)","noteIndex":0},"citationItems":[{"id":1895,"uris":["http://zotero.org/users/2189142/items/MTZBPUS7"],"itemData":{"id":1895,"type":"article-journal","abstract":"When soil nitrogen is in short supply, most terrestrial plants form symbioses with fungi (mycorrhizae): hyphae take up soil nitrogen, transport it into plant roots, and receive plant sugars in return. In ecosystems, the transfers within the pathway fractionate nitrogen isotopes so that the natural abundance of 15N in fungi differs from that in their host plants by as much as 12‰. Here we present a new method to quantify carbon and nitrogen fluxes in the symbiosis based on the fractionation against 15N during transfer of nitrogen from fungi to plant roots. We tested this method, which is based on the mass balance of 15N, with data from arctic Alaska where the nitrogen cycle is well studied. Mycorrhizal fungi provided 61–86% of the nitrogen in plants; plants provided 8–17% of their photosynthetic carbon to the fungi for growth and respiration. This method of analysis avoids the disturbance of the soil–microbe–root relationship caused by collecting samples, mixing the soil, or changing substrate concentrations. This analytical technique also can be applied to other nitrogen-limited ecosystems, such as many temperate and boreal forests, to quantify the importance for terrestrial carbon and nitrogen cycling of nutrient transfers mediated by mycorrhizae at the plant–soil interface.","container-title":"Ecology","DOI":"10.1890/0012-9658(2006)87[816:NISFAP]2.0.CO;2","ISSN":"1939-9170","issue":"4","language":"en","note":"_eprint: https://onlinelibrary.wiley.com/doi/pdf/10.1890/0012-9658%282006%2987%5B816%3ANISFAP%5D2.0.CO%3B2","page":"816-822","source":"Wiley Online Library","title":"15n in Symbiotic Fungi and Plants Estimates Nitrogen and Carbon Flux Rates in Arctic Tundra","volume":"87","author":[{"family":"Hobbie","given":"John E."},{"family":"Hobbie","given":"Erik A."}],"issued":{"date-parts":[["2006"]]},"citation-key":"hobbie_2006"}}],"schema":"https://github.com/citation-style-language/schema/raw/master/csl-citation.json"} </w:instrText>
      </w:r>
      <w:r w:rsidRPr="009867C1">
        <w:fldChar w:fldCharType="separate"/>
      </w:r>
      <w:r w:rsidR="0042141C" w:rsidRPr="009867C1">
        <w:t>(J. E. Hobbie &amp; Hobbie, 2006)</w:t>
      </w:r>
      <w:r w:rsidRPr="009867C1">
        <w:fldChar w:fldCharType="end"/>
      </w:r>
      <w:r w:rsidRPr="009867C1">
        <w:t xml:space="preserve">, with </w:t>
      </w:r>
      <w:r w:rsidRPr="009867C1">
        <w:rPr>
          <w:vertAlign w:val="superscript"/>
        </w:rPr>
        <w:t>15</w:t>
      </w:r>
      <w:r w:rsidRPr="009867C1">
        <w:t>N divergence between foliar and fungal samples correlated with rates of mycorrhizal transfer.</w:t>
      </w:r>
    </w:p>
    <w:p w14:paraId="308A3E8F" w14:textId="4B5ED7CF" w:rsidR="00D80E10" w:rsidRPr="009867C1" w:rsidRDefault="00D80E10" w:rsidP="00D80E10">
      <w:pPr>
        <w:ind w:firstLine="720"/>
      </w:pPr>
      <w:r w:rsidRPr="009867C1">
        <w:t xml:space="preserve">Nitrogen addition studies show that rates of mycorrhizal transfer </w:t>
      </w:r>
      <w:r w:rsidR="00C6743A">
        <w:t xml:space="preserve">tend to </w:t>
      </w:r>
      <w:r w:rsidRPr="009867C1">
        <w:t xml:space="preserve">decline with nitrogen </w:t>
      </w:r>
      <w:r w:rsidR="00474D69">
        <w:t>input</w:t>
      </w:r>
      <w:r w:rsidR="00CD1F99">
        <w:t>s</w:t>
      </w:r>
      <w:r w:rsidRPr="009867C1">
        <w:t xml:space="preserve"> </w:t>
      </w:r>
      <w:r w:rsidRPr="009867C1">
        <w:fldChar w:fldCharType="begin"/>
      </w:r>
      <w:r w:rsidR="00AC0205">
        <w:instrText xml:space="preserve"> ADDIN ZOTERO_ITEM CSL_CITATION {"citationID":"hHpuBo5S","properties":{"formattedCitation":"(Nylund &amp; Wallander, 1992)","plainCitation":"(Nylund &amp; Wallander, 1992)","noteIndex":0},"citationItems":[{"id":1299,"uris":["http://zotero.org/users/2189142/items/JEVG7GI6"],"itemData":{"id":1299,"type":"article-journal","abstract":"This chapter describes the ergosterol analysis as a means of quantifying mycorrhizal biomass. A fundamental problem concerns the concept of fungal biomass: while the chitin content may be assumed to be roughly proportional to the total amount of cell wall, the amount of cell wall is certainly not proportional to the amount of cytoplasm, which is normally concentrated at the tips, leaving the bulk of the hyphae highly vacuolated. Another fungus-specific compound, ergosterol, is a principal component of membranes, and should therefore provide a better correlation with the metabolically active biomass of a fungus. The chapter briefly discusses development and current procedure technique. The chapter also evaluates the methods—namely, sensitivity and replicability, variation in ergosterol levels within the same species, and applications in mycorrhiza research. The basic shortcomings of the method are those of variation in the ergosterol content depending on growing conditions, and interspecies variation.","container-title":"Methods in Microbiology","DOI":"10.1016/S0580-9517(08)70088-6","ISSN":"0580-9517","journalAbbreviation":"Methods in Microbiology","page":"77-88","source":"ScienceDirect","title":"5 Ergosterol Analysis as a Means of Quantifying Mycorrhizal Biomass","volume":"24","author":[{"family":"Nylund","given":"Jan-Erik"},{"family":"Wallander","given":"Håkan"}],"issued":{"date-parts":[["1992",1,1]]},"citation-key":"nylund_1992"}}],"schema":"https://github.com/citation-style-language/schema/raw/master/csl-citation.json"} </w:instrText>
      </w:r>
      <w:r w:rsidRPr="009867C1">
        <w:fldChar w:fldCharType="separate"/>
      </w:r>
      <w:r w:rsidR="0042141C" w:rsidRPr="009867C1">
        <w:t>(Nylund &amp; Wallander, 1992)</w:t>
      </w:r>
      <w:r w:rsidRPr="009867C1">
        <w:fldChar w:fldCharType="end"/>
      </w:r>
      <w:r w:rsidRPr="009867C1">
        <w:t xml:space="preserve">. As N concentration increases, plants are able to uptake labile-N directly, and hence obviate the need to invest photosynthate in their fungal partners </w:t>
      </w:r>
      <w:r w:rsidRPr="009867C1">
        <w:fldChar w:fldCharType="begin"/>
      </w:r>
      <w:r w:rsidR="00AC0205">
        <w:instrText xml:space="preserve"> ADDIN ZOTERO_ITEM CSL_CITATION {"citationID":"PVfZhYvU","properties":{"formattedCitation":"(M. N. H\\uc0\\u246{}gberg et al., 2010; Kranabetter &amp; MacKenzie, 2009)","plainCitation":"(M. N. Högberg et al., 2010; Kranabetter &amp; MacKenzie, 2009)","noteIndex":0},"citationItems":[{"id":923,"uris":["http://zotero.org/users/2189142/items/6R4Z7WJW"],"itemData":{"id":923,"type":"article-journal","abstract":"* •The flux of carbon from tree photosynthesis through roots to ectomycorrhizal (ECM) fungi and other soil organisms is assumed to vary with season and with edaphic factors such as nitrogen availability, but these effects have not been quantified directly in the field.\n* •To address this deficiency, we conducted high temporal-resolution tracing of 13C from canopy photosynthesis to different groups of soil organisms in a young boreal Pinus sylvestris forest.\n* •There was a 500% higher below-ground allocation of plant C in the late (August) season compared with the early season (June). Labelled C was primarily found in fungal fatty acid biomarkers (and rarely in bacterial biomarkers), and in Collembola, but not in Acari and Enchytraeidae. The production of sporocarps of ECM fungi was totally dependent on allocation of recent photosynthate in the late season. There was no short-term (2 wk) effect of additions of N to the soil, but after 1 yr, there was a 60% reduction of below-ground C allocation to soil biota.\n* •Thus, organisms in forest soils, and their roles in ecosystem functions, appear highly sensitive to plant physiological responses to two major aspects of global change: changes in seasonal weather patterns and N eutrophication.","container-title":"New Phytologist","DOI":"10.1111/j.1469-8137.2010.03274.x","ISSN":"1469-8137","issue":"2","language":"en","page":"485-493","source":"Wiley Online Library","title":"Quantification of effects of season and nitrogen supply on tree below-ground carbon transfer to ectomycorrhizal fungi and other soil organisms in a boreal pine forest","volume":"187","author":[{"family":"Högberg","given":"Mona N."},{"family":"Briones","given":"Maria J. I."},{"family":"Keel","given":"Sonja G."},{"family":"Metcalfe","given":"Daniel B."},{"family":"Campbell","given":"Catherine"},{"family":"Midwood","given":"Andrew J."},{"family":"Thornton","given":"Barry"},{"family":"Hurry","given":"Vaughan"},{"family":"Linder","given":"Sune"},{"family":"Näsholm","given":"Torgny"},{"family":"Högberg","given":"Peter"}],"issued":{"date-parts":[["2010",7,1]]},"citation-key":"hogberg_2010"}},{"id":940,"uris":["http://zotero.org/users/2189142/items/C3JSWJ6N"],"itemData":{"id":940,"type":"article-journal","abstract":"The distribution of plant species in boreal forest understories is hypothesized to reflect mycorrhizal guilds and associated adaptations for organic nitrogen (N) acquisition. In this study of a natural edaphic gradient, where supply rates of inorganic N increase with site productivity, we noted a decline in understory ectomycorrhizal, ericoid, and arbutoid plant communities on productive sites, in contrast to a positive response by most arbuscular species. We then assessed the rate of change in foliar N concentration (Nconc) and abundance of 15N (δ15N) of select plants from these mycorrhizal guilds. Two arbuscular plant species (Rubus parviflorus and Viburnum edule) had the sharpest increases in foliar Nconc with enhanced supplies of NH4 + and NO3 −, but with no differences in foliar δ15N. An ectomycorrhizal species, Abies lasiocarpa, and ericoid species, Vaccinium membranaceum, had parallel increases in both Nconc and δ15N with soil N supply. The foliar δ15N of two arbutoid plants (Orthilia secunda and Pyrola asarifolia) were as enriched as ectomycorrhizal sporocarps, likely indicating N transfer from mycorrhizal networks. The depletion of foliar δ15N by ectomycorrhizal and ericoid plants on poorer sites likely reflected a high degree of N retention and photosynthate demand by fungi, whereas arbuscular plants may have had a less significant δ15N response because of a more passive role by fungi in scavenging organic N. The results suggest differences in how mycorrhiza exploit diverse soil N supplies (recalcitrant and labile organic N, NH4 +, NO3 −, and parasitized N) could be an important factor in boreal plant community composition.","container-title":"Ecosystems","DOI":"10.1007/s10021-009-9304-y","ISSN":"1432-9840, 1435-0629","issue":"1","journalAbbreviation":"Ecosystems","language":"en","page":"108-117","source":"link.springer.com.ezproxy.library.ubc.ca","title":"Contrasts Among Mycorrhizal Plant Guilds in Foliar Nitrogen Concentration and δ15N Along Productivity Gradients of a Boreal Forest","volume":"13","author":[{"family":"Kranabetter","given":"J. M."},{"family":"MacKenzie","given":"W. H."}],"issued":{"date-parts":[["2009",12,5]]},"citation-key":"kranabetter_2009"}}],"schema":"https://github.com/citation-style-language/schema/raw/master/csl-citation.json"} </w:instrText>
      </w:r>
      <w:r w:rsidRPr="009867C1">
        <w:fldChar w:fldCharType="separate"/>
      </w:r>
      <w:r w:rsidR="0042141C" w:rsidRPr="009867C1">
        <w:t>(M. N. Högberg et al., 2010; Kranabetter &amp; MacKenzie, 2009)</w:t>
      </w:r>
      <w:r w:rsidRPr="009867C1">
        <w:fldChar w:fldCharType="end"/>
      </w:r>
      <w:r w:rsidRPr="009867C1">
        <w:t xml:space="preserve">. This predicts a decline in mycorrhizal activity along MDN gradients, and hence a convergence in </w:t>
      </w:r>
      <w:r w:rsidRPr="009867C1">
        <w:rPr>
          <w:vertAlign w:val="superscript"/>
        </w:rPr>
        <w:t>15</w:t>
      </w:r>
      <w:r w:rsidRPr="009867C1">
        <w:t xml:space="preserve">N difference between </w:t>
      </w:r>
      <w:r w:rsidR="00C6743A">
        <w:t>belowground compartments (</w:t>
      </w:r>
      <w:r w:rsidRPr="009867C1">
        <w:t>sporocarps and soil</w:t>
      </w:r>
      <w:r w:rsidR="00C6743A">
        <w:t>)</w:t>
      </w:r>
      <w:r w:rsidRPr="009867C1">
        <w:t xml:space="preserve"> on the one hand, and</w:t>
      </w:r>
      <w:r w:rsidR="00C6743A">
        <w:t xml:space="preserve"> aboveground compartments (</w:t>
      </w:r>
      <w:r w:rsidRPr="009867C1">
        <w:t>plants and litter</w:t>
      </w:r>
      <w:r w:rsidR="00C6743A">
        <w:t>)</w:t>
      </w:r>
      <w:r w:rsidRPr="009867C1">
        <w:t xml:space="preserve"> on the other. This prediction assumes an even distribution of nutrients on the landscape</w:t>
      </w:r>
      <w:r w:rsidR="00CD1F99">
        <w:t>. A</w:t>
      </w:r>
      <w:r w:rsidRPr="009867C1">
        <w:t>n alternative prediction arises</w:t>
      </w:r>
      <w:r w:rsidR="00CD1F99">
        <w:t>, however,</w:t>
      </w:r>
      <w:r w:rsidRPr="009867C1">
        <w:t xml:space="preserve"> when nutrient patches are unevenly distributed: mycorrhizal-mediated N transfer is predicted to increase since the higher search efficiency and lower metabolic maintenance costs of fungal hyphae relative to plant roots encourages carbon partitioning to fungal partners </w:t>
      </w:r>
      <w:r w:rsidRPr="009867C1">
        <w:fldChar w:fldCharType="begin"/>
      </w:r>
      <w:r w:rsidR="00AC0205">
        <w:instrText xml:space="preserve"> ADDIN ZOTERO_ITEM CSL_CITATION {"citationID":"qEpCbXUc","properties":{"formattedCitation":"(Bending &amp; Read, 1995; Peay et al., 2011)","plainCitation":"(Bending &amp; Read, 1995; Peay et al., 2011)","noteIndex":0},"citationItems":[{"id":2112,"uris":["http://zotero.org/users/2189142/items/3B32Z2ID"],"itemData":{"id":2112,"type":"article-journal","abstract":"The nutrient mobilizing activities of mycelia of two ectomycorrhizal fungi, Suillus bovinus (Fr.) O. Kuntze and Thelephora terrestris (Ehrh.), were investigated in transparent root observation chambers to which were added discrete weighed samples of organic matter collected from the fermentation horizon of a pine-forest soil. The mycelia grew from mycorrhizal plants of Pinus sylvestris L. over a homogeneous humified peat and colonized the introduced fermentation horizon organic matter (FHOM). The chronology of intensive mycelial exploitation of the FHOM was followed, and its nutrient status was monitored before and after colonization by the fungal mycelia. The time from initial colonization to early senescence of mycelial patches was c. 40 d. Colonization by S. bovinus reduced concentrations of nitrogen (N), phosphorus (P) and potassium (K.) in FHOM by 23, 22 and 30%, respectively, whereas colonization by T. terrestris led to decreases of N and K of 13 and 21 % respectively, but did not change P concentration. There were increases in calcium and magnesium concentration following colonization by terrestris. Analyses of the inorganic N pool of uncolonized FHOM incubated separately suggested that mineralization rates were inadequate to explain the loss of N from the colonized material. The carbon to nitrogen ratio of material colonized by both fungi increased greatly relative to that in uncolonized material. The significance of these nutrient transfer processes is discussed in relation to element cycling processes in boreal forest ecosystems.","container-title":"New Phytologist","DOI":"10.1111/j.1469-8137.1995.tb01834.x","ISSN":"1469-8137","issue":"3","language":"en","note":"_eprint: https://onlinelibrary.wiley.com/doi/pdf/10.1111/j.1469-8137.1995.tb01834.x","page":"401-409","source":"Wiley Online Library","title":"The structure and function of the vegetative mycelium of ectomycorrhizal plants","volume":"130","author":[{"family":"Bending","given":"Gary D."},{"family":"Read","given":"David J."}],"issued":{"date-parts":[["1995"]]},"citation-key":"bending_1995"}},{"id":816,"uris":["http://zotero.org/users/2189142/items/MDP4MPZV"],"itemData":{"id":816,"type":"article-journal","abstract":"Ectomycorrhizal exploration types have become an increasingly popular functional explanation for observed patterns of fungal community structure. In this study, we examined the relationship between exploration types of ectomycorrhizal fungi and root density. We did so by sampling across a root density gradient formed by the edge-interior transition on ‘tree islands’, patches of ectomycorrhizal forest in a non-ectomycorrhizal vegetation matrix. We found evidence that long-distance exploration types were more prevalent in areas of low root density while short-distance exploration types were more common in areas of high root density. Gradients in root density are common in ectomycorrhizal forests and change predictably at forest edges, within a soil profile, or over early succession. Based on these results, we propose a general model using the concept of exploration types that could explain some of the spatial or temporal patterns commonly observed in ectomycorrhizal assemblages.","container-title":"Fungal Ecology","DOI":"10.1016/j.funeco.2010.09.010","ISSN":"1754-5048","issue":"3","journalAbbreviation":"Fungal Ecology","page":"233-240","source":"ScienceDirect","title":"Rethinking ectomycorrhizal succession: are root density and hyphal exploration types drivers of spatial and temporal zonation?","title-short":"Rethinking ectomycorrhizal succession","volume":"4","author":[{"family":"Peay","given":"Kabir G."},{"family":"Kennedy","given":"Peter G."},{"family":"Bruns","given":"Thomas D."}],"issued":{"date-parts":[["2011",6]]},"citation-key":"peay_2011"}}],"schema":"https://github.com/citation-style-language/schema/raw/master/csl-citation.json"} </w:instrText>
      </w:r>
      <w:r w:rsidRPr="009867C1">
        <w:fldChar w:fldCharType="separate"/>
      </w:r>
      <w:r w:rsidR="0042141C" w:rsidRPr="009867C1">
        <w:t>(Bending &amp; Read, 1995; Peay et al., 2011)</w:t>
      </w:r>
      <w:r w:rsidRPr="009867C1">
        <w:fldChar w:fldCharType="end"/>
      </w:r>
      <w:r w:rsidRPr="009867C1">
        <w:t>.  Given the spatially and temporally over</w:t>
      </w:r>
      <w:r w:rsidR="00291654">
        <w:t>-</w:t>
      </w:r>
      <w:r w:rsidRPr="009867C1">
        <w:t xml:space="preserve">dispersed nutrient patch distribution associated with both salmon carcasses and animal feces and urine </w:t>
      </w:r>
      <w:r w:rsidRPr="009867C1">
        <w:fldChar w:fldCharType="begin"/>
      </w:r>
      <w:r w:rsidR="00AC0205">
        <w:instrText xml:space="preserve"> ADDIN ZOTERO_ITEM CSL_CITATION {"citationID":"3NIZaOxc","properties":{"formattedCitation":"(Hilderbrand et al., 1999)","plainCitation":"(Hilderbrand et al., 1999)","noteIndex":0},"citationItems":[{"id":609,"uris":["http://zotero.org/users/2189142/items/N3KW8IHA"],"itemData":{"id":609,"type":"article-journal","abstract":"We quantified the amount, spatial distribution, and importance of salmon (Oncorhynchus spp.)-derived nitrogen (N) by brown bears (Ursus arctos) on the Kenai Peninsula, Alaska. We tested and confirmed the hypothesis that the stable isotope signature (δ15N) of N in foliage of white spruce (Picea glauca) was inversely proportional to the distance from salmon-spawning streams (r=–0.99 and P&lt;0.05 in two separate watersheds). Locations of radio-collared brown bears, relative to their distance from a stream, were highly correlated with δ15N depletion of foliage across the same gradient (r=–0.98 and –0.96 and P&lt;0.05 in the same two separate watersheds). Mean rates of redistribution of salmon-derived N by adult female brown bears were 37.2±2.9 kg/year per bear (range 23.1–56.3), of which 96% (35.7±2.7 kg/year per bear) was excreted in urine, 3% (1.1±0.1 kg/year per bear) was excreted in feces, and &lt;1% (0.3± 0.1 kg/year per bear) was retained in the body. On an area basis, salmon-N redistribution rates were as high as 5.1±0.7 mg/m2 per year per bear within 500 m of the stream but dropped off greatly with increasing distance. We estimated that 15.5–17.8% of the total N in spruce foliage within 500 m of the stream was derived from salmon. Of that, bears had distributed 83–84%. Thus, brown bears can be an important vector of salmon-derived N into riparian ecosystems, but their effects are highly variable spatially and a function of bear density.","container-title":"Oecologia","DOI":"10.1007/s004420050961","ISSN":"0029-8549, 1432-1939","issue":"4","journalAbbreviation":"Oecologia","language":"en","page":"546-550","source":"link.springer.com.ezproxy.library.ubc.ca","title":"Role of brown bears (Ursus arctos) in the flow of marine nitrogen into a terrestrial ecosystem","volume":"121","author":[{"family":"Hilderbrand","given":"G. V."},{"family":"Hanley","given":"Thomas A."},{"family":"Robbins","given":"Charles T."},{"family":"Schwartz","given":"C. C."}],"issued":{"date-parts":[["1999",12,1]]},"citation-key":"hilderbrand_1999"}}],"schema":"https://github.com/citation-style-language/schema/raw/master/csl-citation.json"} </w:instrText>
      </w:r>
      <w:r w:rsidRPr="009867C1">
        <w:fldChar w:fldCharType="separate"/>
      </w:r>
      <w:r w:rsidR="0042141C" w:rsidRPr="009867C1">
        <w:t>(Hilderbrand et al., 1999)</w:t>
      </w:r>
      <w:r w:rsidRPr="009867C1">
        <w:fldChar w:fldCharType="end"/>
      </w:r>
      <w:r w:rsidRPr="009867C1">
        <w:t xml:space="preserve">, this alternative prediction </w:t>
      </w:r>
      <w:r w:rsidR="00CD1F99">
        <w:t>supposes</w:t>
      </w:r>
      <w:r w:rsidRPr="009867C1">
        <w:t xml:space="preserve"> that </w:t>
      </w:r>
      <w:r w:rsidR="00CD1F99">
        <w:t xml:space="preserve">if </w:t>
      </w:r>
      <w:r w:rsidRPr="009867C1">
        <w:t>mycorrhizal partners</w:t>
      </w:r>
      <w:r w:rsidR="00CD1F99">
        <w:t xml:space="preserve"> are</w:t>
      </w:r>
      <w:r w:rsidRPr="009867C1">
        <w:t xml:space="preserve"> able to rapidly capture, immobilize, and transfer MDN</w:t>
      </w:r>
      <w:r w:rsidR="00CD1F99">
        <w:t>, this</w:t>
      </w:r>
      <w:r w:rsidRPr="009867C1">
        <w:t xml:space="preserve"> would be beneficial for host plants</w:t>
      </w:r>
      <w:r w:rsidR="00CD1F99">
        <w:t>,</w:t>
      </w:r>
      <w:r w:rsidRPr="009867C1">
        <w:t xml:space="preserve"> and thus mycorrhizal transfer </w:t>
      </w:r>
      <w:r w:rsidR="00CD1F99">
        <w:t xml:space="preserve">rates </w:t>
      </w:r>
      <w:r w:rsidRPr="009867C1">
        <w:t xml:space="preserve">would increase along MDN gradients. These circumstances are thought to favour fungal diversity and biomass </w:t>
      </w:r>
      <w:r w:rsidRPr="009867C1">
        <w:fldChar w:fldCharType="begin"/>
      </w:r>
      <w:r w:rsidR="00AC0205">
        <w:instrText xml:space="preserve"> ADDIN ZOTERO_ITEM CSL_CITATION {"citationID":"sF8W9FUl","properties":{"formattedCitation":"(Moeller, 2014)","plainCitation":"(Moeller, 2014)","noteIndex":0},"citationItems":[{"id":1755,"uris":["http://zotero.org/users/2189142/items/M4R4W8J3"],"itemData":{"id":1755,"type":"book","title":"The role and maintenance of diversity in a multi-partner mutualism trees and ectomycorrhizal fungi","author":[{"family":"Moeller","given":"Holly Villacorta"}],"issued":{"date-parts":[["2014"]]},"citation-key":"moeller_2014a"}}],"schema":"https://github.com/citation-style-language/schema/raw/master/csl-citation.json"} </w:instrText>
      </w:r>
      <w:r w:rsidRPr="009867C1">
        <w:fldChar w:fldCharType="separate"/>
      </w:r>
      <w:r w:rsidR="0042141C" w:rsidRPr="009867C1">
        <w:t>(Moeller, 2014)</w:t>
      </w:r>
      <w:r w:rsidRPr="009867C1">
        <w:fldChar w:fldCharType="end"/>
      </w:r>
      <w:r w:rsidRPr="009867C1">
        <w:t xml:space="preserve">, and predict a divergence in </w:t>
      </w:r>
      <w:r w:rsidRPr="009867C1">
        <w:rPr>
          <w:vertAlign w:val="superscript"/>
        </w:rPr>
        <w:t>15</w:t>
      </w:r>
      <w:r w:rsidRPr="009867C1">
        <w:t>N values between belowground and aboveground compartments. By measuring δ</w:t>
      </w:r>
      <w:r w:rsidRPr="009867C1">
        <w:rPr>
          <w:vertAlign w:val="superscript"/>
        </w:rPr>
        <w:t>15</w:t>
      </w:r>
      <w:r w:rsidRPr="009867C1">
        <w:t xml:space="preserve">N of these ecosystem compartments these predictions may be compared and tested.       </w:t>
      </w:r>
    </w:p>
    <w:p w14:paraId="428ECFA9" w14:textId="03437FD6" w:rsidR="00D80E10" w:rsidRPr="009867C1" w:rsidRDefault="00D80E10" w:rsidP="00D80E10">
      <w:pPr>
        <w:ind w:firstLine="720"/>
      </w:pPr>
      <w:r w:rsidRPr="009867C1">
        <w:t xml:space="preserve">Covariates to these considerations are fungal phylogenetic identity </w:t>
      </w:r>
      <w:r w:rsidRPr="009867C1">
        <w:fldChar w:fldCharType="begin"/>
      </w:r>
      <w:r w:rsidR="00AC0205">
        <w:instrText xml:space="preserve"> ADDIN ZOTERO_ITEM CSL_CITATION {"citationID":"xG1YSQn2","properties":{"formattedCitation":"(Mayor et al., 2009; A. Taylor et al., 1997, 2003)","plainCitation":"(Mayor et al., 2009; A. Taylor et al., 1997, 2003)","noteIndex":0},"citationItems":[{"id":854,"uris":["http://zotero.org/users/2189142/items/MSGRD9ZB"],"itemData":{"id":854,"type":"article-journal","container-title":"Ecology letters","issue":"2","page":"171–183","source":"Google Scholar","title":"Elucidating the nutritional dynamics of fungi using stable isotopes","volume":"12","author":[{"family":"Mayor","given":"Jordan R."},{"family":"Schuur","given":"Edward AG"},{"family":"Henkel","given":"Terry W."}],"issued":{"date-parts":[["2009"]]},"citation-key":"mayor_2009"}},{"id":2109,"uris":["http://zotero.org/users/2189142/items/D5PK5BVD"],"itemData":{"id":2109,"type":"article-journal","container-title":"New Phytologist","issue":"4","note":"publisher: Wiley Online Library","page":"713–720","source":"Google Scholar","title":"Natural 15N abundance in fruit bodies of ectomycorrhizal fungi from boreal forests","volume":"136","author":[{"family":"Taylor","given":"Andy"},{"family":"Högbom","given":"Lars"},{"family":"Högberg","given":"Mona"},{"family":"Lyon","given":"Anthony JE"},{"family":"Näsholm","given":"Torgny"},{"family":"Högberg","given":"Peter"}],"issued":{"date-parts":[["1997"]]},"citation-key":"taylor_1997"}},{"id":2110,"uris":["http://zotero.org/users/2189142/items/89B9Q75V"],"itemData":{"id":2110,"type":"article-journal","abstract":"• The natural abundance of 13C (δ13C) and 15N (δ15N) of saprotrophic and ectomycorrhizal (ECM) fungi has been investigated on a number of occasions, but the significance of observed differences within and between the two trophic groups remains unclear. • Here, we examine the influence of taxonomy, site, host and time upon isotopic data from 135 fungal species collected at two forest sites in Sweden. • Mean δ13C and δ15N values differed significantly between ECM and saprotrophic fungi, with only a small degree of overlap even at the species level. Among ECM fungi, intraspecific variation in δ15N was low compared with interspecific and intergeneric variation. Significant variation due to site, year and host association was found. • At broad scales a number of factors clearly influence δ13C and δ15N values making interpretation problematic. We suggest that values are essentially site-specific within the two trophic groups, but that species-level patterns exist potentially reflecting ecophysiological attributes of species. The species is therefore highlighted as the taxonomic level at which most information may be obtained from fungal δ13C and δ15N data.","container-title":"New Phytologist","DOI":"10.1046/j.1469-8137.2003.00838.x","ISSN":"1469-8137","issue":"3","language":"en","note":"_eprint: https://onlinelibrary.wiley.com/doi/pdf/10.1046/j.1469-8137.2003.00838.x","page":"757-774","source":"Wiley Online Library","title":"Species level patterns in 13C and 15N abundance of ectomycorrhizal and saprotrophic fungal sporocarps","volume":"159","author":[{"family":"Taylor","given":"Andy"},{"family":"Fransson","given":"Petra M."},{"family":"Högberg","given":"Peter"},{"family":"Högberg","given":"Mona N."},{"family":"Plamboeck","given":"Agneta H."}],"issued":{"date-parts":[["2003"]]},"citation-key":"taylor_2003"}}],"schema":"https://github.com/citation-style-language/schema/raw/master/csl-citation.json"} </w:instrText>
      </w:r>
      <w:r w:rsidRPr="009867C1">
        <w:fldChar w:fldCharType="separate"/>
      </w:r>
      <w:r w:rsidR="0042141C" w:rsidRPr="009867C1">
        <w:t>(Mayor et al., 2009; A. Taylor et al., 1997, 2003)</w:t>
      </w:r>
      <w:r w:rsidRPr="009867C1">
        <w:fldChar w:fldCharType="end"/>
      </w:r>
      <w:r w:rsidRPr="009867C1">
        <w:t xml:space="preserve">, the depth and source of nutrient acquisition </w:t>
      </w:r>
      <w:r w:rsidRPr="009867C1">
        <w:fldChar w:fldCharType="begin"/>
      </w:r>
      <w:r w:rsidR="00AC0205">
        <w:instrText xml:space="preserve"> ADDIN ZOTERO_ITEM CSL_CITATION {"citationID":"AYEMGXds","properties":{"formattedCitation":"(E. A. Hobbie et al., 2019)","plainCitation":"(E. A. Hobbie et al., 2019)","noteIndex":0},"citationItems":[{"id":1663,"uris":["http://zotero.org/users/2189142/items/V3262PM4"],"itemData":{"id":1663,"type":"article-journal","abstract":"To assess how nitrogen (N) availability affected ectomycorrhizal functioning and to test a theoretical model of ectomycorrhizal 15N partitioning, we measured C/N and δ15N in soils and nine fungal taxa in two Swedish N addition experiments. Sporocarp C/N and soil C/N decreased with fertilization, implying that N uptake per unit fungal growth increased. The S horizon was more responsive than the F and H horizons to changes in N addition, with N turnover for these horizons of 24, 57, and 57 y, respectively. Fungal and soil δ15N patterns identified fungal N sources, with N acquisition primarily from the S, F, or H horizon for two, five, and two taxa, respectively. With increasing N availability, sporocarp 15N enrichment increased in five taxa, in agreement with our model of fungal-plant N partitioning. However, it decreased in Lactarius rufus and Russula aeruginea, perhaps indicating shifts towards greater inorganic N uptake in these two taxa. This may relate to the generally lower sensitivity of these taxa to N deposition compared to the Cortinarius and Suillus taxa that fit our model of 15N partitioning.","container-title":"Fungal Ecology","DOI":"10.1016/j.funeco.2018.12.013","ISSN":"1754-5048","journalAbbreviation":"Fungal Ecology","language":"en","page":"267-275","source":"ScienceDirect","title":"Fertilization alters nitrogen isotopes and concentrations in ectomycorrhizal fungi and soil in pine forests","volume":"39","author":[{"family":"Hobbie","given":"Erik A."},{"family":"Chen","given":"Janet"},{"family":"Hasselquist","given":"Niles J."}],"issued":{"date-parts":[["2019",6,1]]},"citation-key":"hobbie_2019"}}],"schema":"https://github.com/citation-style-language/schema/raw/master/csl-citation.json"} </w:instrText>
      </w:r>
      <w:r w:rsidRPr="009867C1">
        <w:fldChar w:fldCharType="separate"/>
      </w:r>
      <w:r w:rsidR="0042141C" w:rsidRPr="009867C1">
        <w:t>(E. A. Hobbie et al., 2019)</w:t>
      </w:r>
      <w:r w:rsidRPr="009867C1">
        <w:fldChar w:fldCharType="end"/>
      </w:r>
      <w:r w:rsidRPr="009867C1">
        <w:t xml:space="preserve">, and how much plant </w:t>
      </w:r>
      <w:r w:rsidR="00CD1F99">
        <w:t xml:space="preserve">carbon </w:t>
      </w:r>
      <w:r w:rsidRPr="009867C1">
        <w:t xml:space="preserve">export is occurring </w:t>
      </w:r>
      <w:r w:rsidRPr="009867C1">
        <w:fldChar w:fldCharType="begin"/>
      </w:r>
      <w:r w:rsidR="00AC0205">
        <w:instrText xml:space="preserve"> ADDIN ZOTERO_ITEM CSL_CITATION {"citationID":"31AGq7uB","properties":{"formattedCitation":"(E. A. Hobbie &amp; H\\uc0\\u246{}gberg, 2012)","plainCitation":"(E. A. Hobbie &amp; Högberg, 2012)","noteIndex":0},"citationItems":[{"id":406,"uris":["http://zotero.org/users/2189142/items/MDGJ6QDZ"],"itemData":{"id":406,"type":"article-journal","abstract":"Contents\n\n\n\n\n\n\n\n\n\n\n\nSummary\n367\n\n\nI.\nIntroduction\n367\n\n\nII.\nBackground on isotopes\n368\n\n\nIII.\nPatterns of soil δ15N\n370\n\n\nIV.\nPatterns of fungal δ15N\n372\n\n\nV.\nBiochemical basis for the influence of fungi on δ15N patterns in plant–soil systems 373\n\n\nVI.\nPatterns of δ15N in plant and fungal culture studies\n374\n\n\nVII.\nMycoheterotrophic and parasitic plants\n375\n\n\nVIII.\nPatterns of foliar δ15N in autotrophic plants\n376\n\n\nIX.\nControls over plant δ15N\n377\n\n\nX.\nConclusions and research needs\n378\n\n\n\nAcknowledgements\n379\n\n\n\nReferences\n379\n\n\n\n\n\n\n\n\nSummary\n\nIn this review, we synthesize field and culture studies of the 15N/14N (expressed as δ15N) of autotrophic plants, mycoheterotrophic plants, parasitic plants, soil, and mycorrhizal fungi to assess the major controls of isotopic patterns. One major control for plants and fungi is the partitioning of nitrogen (N) into either 15N-depleted chitin, ammonia, or transfer compounds or 15N-enriched proteinaceous N. For example, parasitic plants and autotrophic hosts are similar in δ15N (with no partitioning between chitin and protein), mycoheterotrophic plants are higher in δ15N than their fungal hosts, presumably with preferential assimilation of fungal protein, and autotrophic, mycorrhizal plants are lower in 15N than their fungal symbionts, with saprotrophic fungi intermediate, because mycorrhizal fungi transfer 15N-depleted ammonia or amino acids to plants. Similarly, nodules of N2-fixing bacteria transferring ammonia are often higher in δ15N than their plant hosts. N losses via denitrification greatly influence bulk soil δ15N, whereas δ15N patterns within soil profiles are influenced both by vertical patterns of N losses and by N transfers within the soil–plant system. Climate correlates poorly with soil δ15N; climate may primarily influence δ15N patterns in soils and plants by determining the primary loss mechanisms and which types of mycorrhizal fungi and associated vegetation dominate across climatic gradients.","container-title":"New Phytologist","DOI":"10.1111/j.1469-8137.2012.04300.x","ISSN":"1469-8137","issue":"2","journalAbbreviation":"New Phytol","language":"en","page":"367-382","source":"Wiley Online Library","title":"Nitrogen isotopes link mycorrhizal fungi and plants to nitrogen dynamics","volume":"196","author":[{"family":"Hobbie","given":"Erik A."},{"family":"Högberg","given":"Peter"}],"issued":{"date-parts":[["2012",10,1]]},"citation-key":"hobbie_2012a"}}],"schema":"https://github.com/citation-style-language/schema/raw/master/csl-citation.json"} </w:instrText>
      </w:r>
      <w:r w:rsidRPr="009867C1">
        <w:fldChar w:fldCharType="separate"/>
      </w:r>
      <w:r w:rsidR="0042141C" w:rsidRPr="009867C1">
        <w:t>(E. A. Hobbie &amp; Högberg, 2012)</w:t>
      </w:r>
      <w:r w:rsidRPr="009867C1">
        <w:fldChar w:fldCharType="end"/>
      </w:r>
      <w:r w:rsidRPr="009867C1">
        <w:t xml:space="preserve">. Nutrient acquisition functional types that extend nutrient acquisition range, such as exploration type, hydrophobicity, and the presence of rhizomorphs, all tend to increase fungal </w:t>
      </w:r>
      <w:r w:rsidRPr="009867C1">
        <w:rPr>
          <w:vertAlign w:val="superscript"/>
        </w:rPr>
        <w:t>15</w:t>
      </w:r>
      <w:r w:rsidRPr="009867C1">
        <w:t xml:space="preserve">N </w:t>
      </w:r>
      <w:r w:rsidRPr="009867C1">
        <w:fldChar w:fldCharType="begin"/>
      </w:r>
      <w:r w:rsidR="00AC0205">
        <w:instrText xml:space="preserve"> ADDIN ZOTERO_ITEM CSL_CITATION {"citationID":"oj3OAMs0","properties":{"formattedCitation":"(E. A. Hobbie &amp; Agerer, 2009)","plainCitation":"(E. A. Hobbie &amp; Agerer, 2009)","noteIndex":0},"citationItems":[{"id":867,"uris":["http://zotero.org/users/2189142/items/P6PI5GMV"],"itemData":{"id":867,"type":"article-journal","abstract":"Nitrogen isotope values (δ15N) are higher in ectomycorrhizal fungi than in their plant hosts but the wide variability in δ15N among sporocarps of different fungal taxa is unexplained. We propose that fungal δ15N reflects sequestration of fungal nitrogen to build fungal biomass, and should accordingly reflect fungal exploration strategies and hyphal properties. To test this, we compared δ15N to exploration types, hyphal hydrophobicity, and the presence of rhizomorphs in ectomycorrhizal species from surveys at four sites in temperate and boreal coniferous forests. Fungi with exploration types of high biomass, such as long-distance (e.g., Suillus), medium-distance mat (e.g., Hydnellum), and medium-distance fringe (e.g., Cortinarius) were 4–7‰ more enriched in 15N than fungi with exploration types of low biomass [medium-distance smooth (e.g., Amanita), short-distance (e.g., Inocybe), and contact (e.g., Hygrophorus)]. High biomass types comprised 79% (Åheden, northern Sweden), 65% (Deer Park, Pacific Northwest, USA), 45% (Stadsskogen, central Sweden), and 39% (Hoh, Pacific Northwest, USA) of ectomycorrhizal species, with these types more prevalent at sites of lower nitrogen availability. Species with hydrophobic hyphae or with rhizomorphs were 3–4‰ more enriched in 15N than taxa with hydrophilic hyphae or without rhizomorphs. The consistency of these patterns suggest that δ15N measurements could provide insights into belowground functioning of poorly known taxa of ectomycorrhizal fungi and into relative fungal biomass across ectomycorrhizal communities.","container-title":"Plant and Soil","DOI":"10.1007/s11104-009-0032-z","ISSN":"0032-079X, 1573-5036","issue":"1-2","journalAbbreviation":"Plant Soil","language":"en","page":"71-83","source":"link.springer.com.ezproxy.library.ubc.ca","title":"Nitrogen isotopes in ectomycorrhizal sporocarps correspond to belowground exploration types","volume":"327","author":[{"family":"Hobbie","given":"Erik A."},{"family":"Agerer","given":"Reinhard"}],"issued":{"date-parts":[["2009",6,16]]},"citation-key":"hobbie_2009"}}],"schema":"https://github.com/citation-style-language/schema/raw/master/csl-citation.json"} </w:instrText>
      </w:r>
      <w:r w:rsidRPr="009867C1">
        <w:fldChar w:fldCharType="separate"/>
      </w:r>
      <w:r w:rsidR="0042141C" w:rsidRPr="009867C1">
        <w:t>(E. A. Hobbie &amp; Agerer, 2009)</w:t>
      </w:r>
      <w:r w:rsidRPr="009867C1">
        <w:fldChar w:fldCharType="end"/>
      </w:r>
      <w:r w:rsidRPr="009867C1">
        <w:t xml:space="preserve"> and may be expected in nutrient environments with patchy resources </w:t>
      </w:r>
      <w:r w:rsidRPr="009867C1">
        <w:fldChar w:fldCharType="begin"/>
      </w:r>
      <w:r w:rsidR="00AC0205">
        <w:instrText xml:space="preserve"> ADDIN ZOTERO_ITEM CSL_CITATION {"citationID":"ehlTEIwy","properties":{"formattedCitation":"(Peay et al., 2011)","plainCitation":"(Peay et al., 2011)","noteIndex":0},"citationItems":[{"id":816,"uris":["http://zotero.org/users/2189142/items/MDP4MPZV"],"itemData":{"id":816,"type":"article-journal","abstract":"Ectomycorrhizal exploration types have become an increasingly popular functional explanation for observed patterns of fungal community structure. In this study, we examined the relationship between exploration types of ectomycorrhizal fungi and root density. We did so by sampling across a root density gradient formed by the edge-interior transition on ‘tree islands’, patches of ectomycorrhizal forest in a non-ectomycorrhizal vegetation matrix. We found evidence that long-distance exploration types were more prevalent in areas of low root density while short-distance exploration types were more common in areas of high root density. Gradients in root density are common in ectomycorrhizal forests and change predictably at forest edges, within a soil profile, or over early succession. Based on these results, we propose a general model using the concept of exploration types that could explain some of the spatial or temporal patterns commonly observed in ectomycorrhizal assemblages.","container-title":"Fungal Ecology","DOI":"10.1016/j.funeco.2010.09.010","ISSN":"1754-5048","issue":"3","journalAbbreviation":"Fungal Ecology","page":"233-240","source":"ScienceDirect","title":"Rethinking ectomycorrhizal succession: are root density and hyphal exploration types drivers of spatial and temporal zonation?","title-short":"Rethinking ectomycorrhizal succession","volume":"4","author":[{"family":"Peay","given":"Kabir G."},{"family":"Kennedy","given":"Peter G."},{"family":"Bruns","given":"Thomas D."}],"issued":{"date-parts":[["2011",6]]},"citation-key":"peay_2011"}}],"schema":"https://github.com/citation-style-language/schema/raw/master/csl-citation.json"} </w:instrText>
      </w:r>
      <w:r w:rsidRPr="009867C1">
        <w:fldChar w:fldCharType="separate"/>
      </w:r>
      <w:r w:rsidR="0042141C" w:rsidRPr="009867C1">
        <w:t>(Peay et al., 2011)</w:t>
      </w:r>
      <w:r w:rsidRPr="009867C1">
        <w:fldChar w:fldCharType="end"/>
      </w:r>
      <w:r w:rsidRPr="009867C1">
        <w:t xml:space="preserve">. Given the nature of salmon inputs, it is expected that elevated </w:t>
      </w:r>
      <w:r w:rsidRPr="009867C1">
        <w:rPr>
          <w:vertAlign w:val="superscript"/>
        </w:rPr>
        <w:t>15</w:t>
      </w:r>
      <w:r w:rsidRPr="009867C1">
        <w:t>N be particularly associated with aminophyllic and protein feeding strategies associated with ‘corpse’ fungi such as</w:t>
      </w:r>
      <w:r w:rsidR="00CD1F99">
        <w:t xml:space="preserve"> those</w:t>
      </w:r>
      <w:r w:rsidRPr="009867C1">
        <w:t xml:space="preserve"> fungi in the genera </w:t>
      </w:r>
      <w:r w:rsidRPr="009867C1">
        <w:rPr>
          <w:i/>
        </w:rPr>
        <w:t>Laccaria</w:t>
      </w:r>
      <w:r w:rsidRPr="009867C1">
        <w:t xml:space="preserve"> and </w:t>
      </w:r>
      <w:r w:rsidRPr="009867C1">
        <w:rPr>
          <w:i/>
        </w:rPr>
        <w:t>Hebeloma</w:t>
      </w:r>
      <w:r w:rsidRPr="009867C1">
        <w:t xml:space="preserve"> </w:t>
      </w:r>
      <w:r w:rsidRPr="009867C1">
        <w:fldChar w:fldCharType="begin"/>
      </w:r>
      <w:r w:rsidR="00AC0205">
        <w:instrText xml:space="preserve"> ADDIN ZOTERO_ITEM CSL_CITATION {"citationID":"NX1CtjKi","properties":{"formattedCitation":"(Sagara, 1975, 1995; Tibbett &amp; Carter, 2003)","plainCitation":"(Sagara, 1975, 1995; Tibbett &amp; Carter, 2003)","noteIndex":0},"citationItems":[{"id":1476,"uris":["http://zotero.org/users/2189142/items/2NZXRH89"],"itemData":{"id":1476,"type":"article-journal","source":"Google Scholar","title":"Ammonia fungi: a chemoecological grouping of terrestrial fungi","title-short":"Ammonia fungi","author":[{"family":"Sagara","given":"Naohiko"}],"issued":{"date-parts":[["1975"]]},"citation-key":"sagara_1975"}},{"id":1482,"uris":["http://zotero.org/users/2189142/items/VSDJMJQ6"],"itemData":{"id":1482,"type":"article-journal","abstract":"A new tripartite relationship among animals, fungi, and plants, based on formation of ectomycorrhiza and on removal of animal wastes, is described. In forest habitats where animal wastes such as urine or faeces or dead bodies, mainly of mammals, have been deposited, a particular group of fungi form reproductive structures successionally after the apparent decomposition of the wastes. This natural event can be simulated by application to the soil of urea, aqueous ammonia, or nitrogen compounds that release ammonia on decomposition. Both field observations and simulation experiments show that, when these events take place in forests of ectomycorrhizal trees, ectomycorrhizal fungi fruit during the late phase in the succession. Ectomycorrhizas are in fact observed in the soils colonized by these fungi. Among these fungi, Hebeloma spp., Laccaria spp., and a few others colonize commonly in various waste sites, while Hebeloma radicosum colonizes specifically in moles’ deserted middens (latrines) near their nests..., L'auteur décrit une nouvelle association tripartite entire animaux, champignons et plantes, basée sur la formation d'ectomycorhizes et l'élimination des déchets animaux. Dans des habitats forestiers où ont été déposés des déchets animaux tels que de l'urine, des fèces ou des corps morts, surtout de mammifères, un groupe particulier de champignons ont formé des structures de reproduction en succession après la décomposition apparente des déchets. Cet évènement naturel peut être simulé par l'application au sol d'urée, d'ammoniaque liquide ou de composés azotés relâchant de l'ammoniac en se décomposant. Des observations aux champs ainsi que des expériences de simulation montrent que, lorsque ces évènements ont lieu en forêt sur des arbres ectomycorhiziens, les champignons ectomycorhiziens fructifient au cours de la dernière phase de la succession. On observe des ectomycorhizes dans les sols colonisés par ces champignons. Parmi ces champignons, les Hebeloma spp., Laccaria spp., et quelques autres se retrouven...","container-title":"Canadian Journal of Botany","DOI":"10.1139/b95-406","ISSN":"0008-4026","issue":"S1","journalAbbreviation":"Can. J. Bot.","page":"1423-1433","source":"NRC Research Press","title":"Association of ectomycorrhizal fungi with decomposed animal wastes in forest habitats: a cleaning symbiosis?","title-short":"Association of ectomycorrhizal fungi with decomposed animal wastes in forest habitats","volume":"73","author":[{"family":"Sagara","given":"Naohiko"}],"issued":{"date-parts":[["1995",12,31]]},"citation-key":"sagara_1995"}},{"id":1835,"uris":["http://zotero.org/users/2189142/items/G4S6TEX9"],"itemData":{"id":1835,"type":"article-journal","abstract":"Two closely related chemoecological groups of fungi, the ammonia fungi and the postputrefaction fungi, have been associated with the decomposition by-products of cadavers. Sporocarps have been observed in disparate woodlands across the world and often mark sites of graves. These groups of fungi provide visible markers of the sites of cadaver decomposition and follow repeated patterns of successional change as apparent decomposition proceeds. We suggest these phenomena may become a useful tool for crime scene investigation, forensic archaeology and forensic taphonomy.","container-title":"Mycologist","DOI":"10.1017/S0269-915X(03)00115-0","ISSN":"0269-915X","issue":"1","journalAbbreviation":"Mycologist","page":"20-24","source":"ScienceDirect","title":"Mushrooms and taphonomy: the fungi that mark woodland graves","title-short":"Mushrooms and taphonomy","volume":"17","author":[{"family":"Tibbett","given":"MARK"},{"family":"Carter","given":"DAVID O."}],"issued":{"date-parts":[["2003",2,1]]},"citation-key":"tibbett_2003"}}],"schema":"https://github.com/citation-style-language/schema/raw/master/csl-citation.json"} </w:instrText>
      </w:r>
      <w:r w:rsidRPr="009867C1">
        <w:fldChar w:fldCharType="separate"/>
      </w:r>
      <w:r w:rsidR="0042141C" w:rsidRPr="009867C1">
        <w:t>(Sagara, 1975, 1995; Tibbett &amp; Carter, 2003)</w:t>
      </w:r>
      <w:r w:rsidRPr="009867C1">
        <w:fldChar w:fldCharType="end"/>
      </w:r>
      <w:r w:rsidRPr="009867C1">
        <w:t xml:space="preserve">. </w:t>
      </w:r>
    </w:p>
    <w:p w14:paraId="7BC16CD1" w14:textId="4173A5D1" w:rsidR="00D80E10" w:rsidRPr="009867C1" w:rsidRDefault="00D80E10" w:rsidP="00D80E10">
      <w:pPr>
        <w:ind w:firstLine="720"/>
      </w:pPr>
      <w:r w:rsidRPr="009867C1">
        <w:t xml:space="preserve">In turn, plant foliar </w:t>
      </w:r>
      <w:r w:rsidRPr="009867C1">
        <w:rPr>
          <w:vertAlign w:val="superscript"/>
        </w:rPr>
        <w:t>15</w:t>
      </w:r>
      <w:r w:rsidRPr="009867C1">
        <w:t xml:space="preserve">N is affected by plant species, the mycorrhizal guilds they associate with </w:t>
      </w:r>
      <w:r w:rsidRPr="009867C1">
        <w:fldChar w:fldCharType="begin"/>
      </w:r>
      <w:r w:rsidR="00AC0205">
        <w:instrText xml:space="preserve"> ADDIN ZOTERO_ITEM CSL_CITATION {"citationID":"8cgrJkg1","properties":{"formattedCitation":"(Craine et al., 2009)","plainCitation":"(Craine et al., 2009)","noteIndex":0},"citationItems":[{"id":878,"uris":["http://zotero.org/users/2189142/items/Q3EXBIMA"],"itemData":{"id":878,"type":"article-journal","abstract":"Ratios of nitrogen (N) isotopes in leaves could elucidate underlying patterns of N cycling across ecological gradients. To better understand global-scale patterns of N cycling, we compiled data on foliar N isotope ratios (δ15N), foliar N concentrations, mycorrhizal type and climate for over 11 000 plants worldwide. Arbuscular mycorrhizal, ectomycorrhizal, and ericoid mycorrhizal plants were depleted in foliar δ15N by 2‰, 3.2‰, 5.9‰, respectively, relative to nonmycorrhizal plants. Foliar δ15N increased with decreasing mean annual precipitation and with increasing mean annual temperature (MAT) across sites with MAT ≥ −0.5°C, but was invariant with MAT across sites with MAT &lt; −0.5°C. In independent landscape-level to regional-level studies, foliar δ15N increased with increasing N availability; at the global scale, foliar δ15N increased with increasing foliar N concentrations and decreasing foliar phosphorus (P) concentrations. Together, these results suggest that warm, dry ecosystems have the highest N availability, while plants with high N concentrations, on average, occupy sites with higher N availability than plants with low N concentrations. Global-scale comparisons of other components of the N cycle are still required for better mechanistic understanding of the determinants of variation in foliar δ15N and ultimately global patterns in N cycling.","container-title":"New Phytologist","DOI":"10.1111/j.1469-8137.2009.02917.x","ISSN":"1469-8137","issue":"4","language":"en","page":"980-992","source":"Wiley Online Library","title":"Global patterns of foliar nitrogen isotopes and their relationships with climate, mycorrhizal fungi, foliar nutrient concentrations, and nitrogen availability","volume":"183","author":[{"family":"Craine","given":"Joseph M."},{"family":"Elmore","given":"Andrew J."},{"family":"Aidar","given":"Marcos P. M."},{"family":"Bustamante","given":"Mercedes"},{"family":"Dawson","given":"Todd E."},{"family":"Hobbie","given":"Erik A."},{"family":"Kahmen","given":"Ansgar"},{"family":"Mack","given":"Michelle C."},{"family":"McLauchlan","given":"Kendra K."},{"family":"Michelsen","given":"Anders"},{"family":"Nardoto","given":"Gabriela B."},{"family":"Pardo","given":"Linda H."},{"family":"Peñuelas","given":"Josep"},{"family":"Reich","given":"Peter B."},{"family":"Schuur","given":"Edward A. G."},{"family":"Stock","given":"William D."},{"family":"Templer","given":"Pamela H."},{"family":"Virginia","given":"Ross A."},{"family":"Welker","given":"Jeffrey M."},{"family":"Wright","given":"Ian J."}],"issued":{"date-parts":[["2009",9,1]]},"citation-key":"craine_2009"}}],"schema":"https://github.com/citation-style-language/schema/raw/master/csl-citation.json"} </w:instrText>
      </w:r>
      <w:r w:rsidRPr="009867C1">
        <w:fldChar w:fldCharType="separate"/>
      </w:r>
      <w:r w:rsidR="0042141C" w:rsidRPr="009867C1">
        <w:t>(Craine et al., 2009)</w:t>
      </w:r>
      <w:r w:rsidRPr="009867C1">
        <w:fldChar w:fldCharType="end"/>
      </w:r>
      <w:r w:rsidRPr="009867C1">
        <w:t xml:space="preserve">, internal cycling </w:t>
      </w:r>
      <w:r w:rsidRPr="009867C1">
        <w:fldChar w:fldCharType="begin"/>
      </w:r>
      <w:r w:rsidR="00AC0205">
        <w:instrText xml:space="preserve"> ADDIN ZOTERO_ITEM CSL_CITATION {"citationID":"bJQ9BejM","properties":{"formattedCitation":"(Evans, 2001; Kalcsits et al., 2014)","plainCitation":"(Evans, 2001; Kalcsits et al., 2014)","noteIndex":0},"citationItems":[{"id":744,"uris":["http://zotero.org/users/2189142/items/5HP4E7WI"],"itemData":{"id":744,"type":"article-journal","abstract":"Whole-plant and leaf nitrogen isotope composition are determined by the isotope ratio of the external nitrogen source and physiological mechanisms within the plant. Whole-plant isotope composition can reflect that of the nitrogen source when plant demand exceeds nitrogen supply. Uptake by mycorrhizae can cause the isotope ratio of the plant to deviate from the source. Intra-plant variation in isotope composition can be caused by multiple assimilation events, organ-specific loss of nitrogen, and resorption and reallocation of nitrogen. Future work must address acquisition of organic nitrogen from the soil solution, the role of mycorrhizae, and internal transformations within the plant.","container-title":"Trends in Plant Science","DOI":"10.1016/S1360-1385(01)01889-1","ISSN":"1360-1385","issue":"3","journalAbbreviation":"Trends in Plant Science","page":"121-126","source":"ScienceDirect","title":"Physiological mechanisms influencing plant nitrogen isotope composition","volume":"6","author":[{"family":"Evans","given":"R. Dave"}],"issued":{"date-parts":[["2001",3,1]]},"citation-key":"evans_2001"}},{"id":1135,"uris":["http://zotero.org/users/2189142/items/V92ACHQ5"],"itemData":{"id":1135,"type":"article-journal","abstract":"Fractionation of nitrogen isotopes between a plant and its environment occurs during uptake and assimilation of inorganic nitrogen. Fractionation can also occur between roots and the shoot. Under controlled nitrogen conditions, whole-plant and organ-level nitrogen isotope discrimination (Δ15N) is suggested to primarily be a function of three factors: nitrogen efflux back to the substrate relative to gross influx at the root (efflux/influx), the proportion of net influx assimilated in the roots and the export of remaining inorganic nitrogen for assimilation in the leaves. Here, an isotope discrimination model combining measurements of δ15N and nitrogen content is proposed to explain whole-plant and organ-level variation in δ15N under steady-state conditions and prior to any significant retranslocation. We show evidence that nitrogen isotope discrimination varies in accordance with changes to nitrogen supply or demand. Increased whole-plant discrimination (greater Δ15N or more negative δ15N relative to the source nitrogen δ15N) indicates increased turnover of the cytosolic inorganic nitrogen pool and a greater efflux/influx ratio. A greater difference between shoot and root δ15N indicates a greater proportion of inorganic nitrogen being assimilated in the leaves. In addition to calculations of integrated nitrogen-use traits, knowledge of biomass partitioning and nitrogen concentrations in different plant organs provides a spatially and temporally integrated, whole-plant phenotyping approach for measuring nitrogen-use in plants. This approach can be used to complement instantaneous cell- and tissue-specific measures of nitrogen use currently used in nitrogen uptake and assimilation studies.","container-title":"Physiologia Plantarum","DOI":"10.1111/ppl.12167","ISSN":"1399-3054","issue":"3","journalAbbreviation":"Physiol Plantarum","language":"en","page":"293-304","source":"Wiley Online Library","title":"Nitrogen isotope discrimination as an integrated measure of nitrogen fluxes, assimilation and allocation in plants","volume":"151","author":[{"family":"Kalcsits","given":"Lee A."},{"family":"Buschhaus","given":"Hannah A."},{"family":"Guy","given":"Robert D."}],"issued":{"date-parts":[["2014",7,1]]},"citation-key":"kalcsits_2014"}}],"schema":"https://github.com/citation-style-language/schema/raw/master/csl-citation.json"} </w:instrText>
      </w:r>
      <w:r w:rsidRPr="009867C1">
        <w:fldChar w:fldCharType="separate"/>
      </w:r>
      <w:r w:rsidR="0042141C" w:rsidRPr="009867C1">
        <w:t>(Evans, 2001; Kalcsits et al., 2014)</w:t>
      </w:r>
      <w:r w:rsidRPr="009867C1">
        <w:fldChar w:fldCharType="end"/>
      </w:r>
      <w:r w:rsidRPr="009867C1">
        <w:t xml:space="preserve">, and the chemical identity of assimilation targets </w:t>
      </w:r>
      <w:r w:rsidRPr="009867C1">
        <w:fldChar w:fldCharType="begin"/>
      </w:r>
      <w:r w:rsidR="00AC0205">
        <w:instrText xml:space="preserve"> ADDIN ZOTERO_ITEM CSL_CITATION {"citationID":"abaO398N","properties":{"formattedCitation":"(Takebayashi et al., 2010)","plainCitation":"(Takebayashi et al., 2010)","noteIndex":0},"citationItems":[{"id":1099,"uris":["http://zotero.org/users/2189142/items/DR99433D"],"itemData":{"id":1099,"type":"article-journal","abstract":"To investigate which of ammonium (NH 4+) or nitrate (NO 3−) is used by plants at gradient sites with different nitrogen (N) availability, we measured the natural abundance of 15N in foliage and soil extractable N. Hinoki cypress (Chamaecyparisobtusa Endlicher) planted broadly in Japan was selected for use in this study. We estimated the source proportion of foliar N (NH 4+ vs. NO 3−) quantitatively using mass balance equations. The results showed that C. obtusa used mainly NH 4+ in N-limited forests, although the dependence of C. obtusa on NO 3− was greater in other NO 3−-rich forests. We regarded dissolved organic N (DON) as a potential N source because a previous study demonstrated that C. obtusa can take up glycine. Thus we added DON to our mass balance equations and calculated the source proportion using an isotope-mixing model (IsoSource model). The results still showed a positive correlation between the calculated plant N proportion of NO 3− and the NO 3− pool size in the soil, indicating that high NO 3− availability increases the reliance of C. obtusa on NO 3−. Our data suggest the shift of the N source for C. obtusa from NH 4+ to NO 3− according to the relative availability of NO 3−. They also show the potential of the foliar δ15N of C. obtusa as an indicator of the N status in forest ecosystems with the help of the δ15N values of soil inorganic and organic N. Copyright © 2010 John Wiley &amp; Sons, Ltd.","container-title":"Rapid Communications in Mass Spectrometry","DOI":"10.1002/rcm.4469","ISSN":"1097-0231","issue":"7","journalAbbreviation":"Rapid Commun. Mass Spectrom.","language":"en","page":"1001-1008","source":"Wiley Online Library","title":"The natural abundance of 15N in plant and soil-available N indicates a shift of main plant N resources to NO 3− from NH 4+ along the N leaching gradient","volume":"24","author":[{"family":"Takebayashi","given":"Yu"},{"family":"Koba","given":"Keisuke"},{"family":"Sasaki","given":"Yuji"},{"family":"Fang","given":"Yunting"},{"family":"Yoh","given":"Muneoki"}],"issued":{"date-parts":[["2010",4,15]]},"citation-key":"takebayashi_2010"}}],"schema":"https://github.com/citation-style-language/schema/raw/master/csl-citation.json"} </w:instrText>
      </w:r>
      <w:r w:rsidRPr="009867C1">
        <w:fldChar w:fldCharType="separate"/>
      </w:r>
      <w:r w:rsidR="0042141C" w:rsidRPr="009867C1">
        <w:t>(Takebayashi et al., 2010)</w:t>
      </w:r>
      <w:r w:rsidRPr="009867C1">
        <w:fldChar w:fldCharType="end"/>
      </w:r>
      <w:r w:rsidRPr="009867C1">
        <w:t xml:space="preserve">. In addition, latitude and climate </w:t>
      </w:r>
      <w:r w:rsidRPr="009867C1">
        <w:fldChar w:fldCharType="begin"/>
      </w:r>
      <w:r w:rsidR="00AC0205">
        <w:instrText xml:space="preserve"> ADDIN ZOTERO_ITEM CSL_CITATION {"citationID":"SCXUjKBL","properties":{"formattedCitation":"(Amundson et al., 2003; Craine et al., 2009)","plainCitation":"(Amundson et al., 2003; Craine et al., 2009)","noteIndex":0},"citationItems":[{"id":879,"uris":["http://zotero.org/users/2189142/items/BXZVGJB4"],"itemData":{"id":879,"type":"article-journal","abstract":"We compiled new and published data on the natural abundance N isotope composition (δ15N values) of soil and plant organic matter from around the world. Across a broad range of climate and ecosystem types, we found that soil and plant δ15N values systematically decreased with increasing mean annual precipitation (MAP) and decreasing mean annual temperature (MAT). Because most undisturbed soils are near N steady state, the observations suggest that an increasing fraction of ecosystem N losses are 15N-depleted forms (NO3, N2O, etc.) with decreasing MAP and increasing MAT. Wetter and colder ecosystems appear to be more efficient in conserving and recycling mineral N. Globally, plant δ15N values are more negative than soils, but the difference (δ15Nplant-δ15Nsoil) increases with decreasing MAT (and secondarily increasing MAP), suggesting a systematic change in the source of plant-available N (organic/NH4+ versus NO3−) with climate. Nitrogen isotopes reflect time integrated measures of the controls on N storage that are critical for predictions of how these ecosystems will respond to human-mediated disturbances of the global N cycle.","container-title":"Global Biogeochemical Cycles","DOI":"10.1029/2002GB001903","ISSN":"1944-9224","issue":"1","journalAbbreviation":"Global Biogeochem. Cycles","language":"en","page":"1031","source":"Wiley Online Library","title":"Global patterns of the isotopic composition of soil and plant nitrogen","volume":"17","author":[{"family":"Amundson","given":"Ronald"},{"family":"Austin","given":"A. T."},{"family":"Schuur","given":"E. a. G."},{"family":"Yoo","given":"K."},{"family":"Matzek","given":"V."},{"family":"Kendall","given":"C."},{"family":"Uebersax","given":"A."},{"family":"Brenner","given":"D."},{"family":"Baisden","given":"W. T."}],"issued":{"date-parts":[["2003",3,1]]},"citation-key":"amundson_2003"}},{"id":878,"uris":["http://zotero.org/users/2189142/items/Q3EXBIMA"],"itemData":{"id":878,"type":"article-journal","abstract":"Ratios of nitrogen (N) isotopes in leaves could elucidate underlying patterns of N cycling across ecological gradients. To better understand global-scale patterns of N cycling, we compiled data on foliar N isotope ratios (δ15N), foliar N concentrations, mycorrhizal type and climate for over 11 000 plants worldwide. Arbuscular mycorrhizal, ectomycorrhizal, and ericoid mycorrhizal plants were depleted in foliar δ15N by 2‰, 3.2‰, 5.9‰, respectively, relative to nonmycorrhizal plants. Foliar δ15N increased with decreasing mean annual precipitation and with increasing mean annual temperature (MAT) across sites with MAT ≥ −0.5°C, but was invariant with MAT across sites with MAT &lt; −0.5°C. In independent landscape-level to regional-level studies, foliar δ15N increased with increasing N availability; at the global scale, foliar δ15N increased with increasing foliar N concentrations and decreasing foliar phosphorus (P) concentrations. Together, these results suggest that warm, dry ecosystems have the highest N availability, while plants with high N concentrations, on average, occupy sites with higher N availability than plants with low N concentrations. Global-scale comparisons of other components of the N cycle are still required for better mechanistic understanding of the determinants of variation in foliar δ15N and ultimately global patterns in N cycling.","container-title":"New Phytologist","DOI":"10.1111/j.1469-8137.2009.02917.x","ISSN":"1469-8137","issue":"4","language":"en","page":"980-992","source":"Wiley Online Library","title":"Global patterns of foliar nitrogen isotopes and their relationships with climate, mycorrhizal fungi, foliar nutrient concentrations, and nitrogen availability","volume":"183","author":[{"family":"Craine","given":"Joseph M."},{"family":"Elmore","given":"Andrew J."},{"family":"Aidar","given":"Marcos P. M."},{"family":"Bustamante","given":"Mercedes"},{"family":"Dawson","given":"Todd E."},{"family":"Hobbie","given":"Erik A."},{"family":"Kahmen","given":"Ansgar"},{"family":"Mack","given":"Michelle C."},{"family":"McLauchlan","given":"Kendra K."},{"family":"Michelsen","given":"Anders"},{"family":"Nardoto","given":"Gabriela B."},{"family":"Pardo","given":"Linda H."},{"family":"Peñuelas","given":"Josep"},{"family":"Reich","given":"Peter B."},{"family":"Schuur","given":"Edward A. G."},{"family":"Stock","given":"William D."},{"family":"Templer","given":"Pamela H."},{"family":"Virginia","given":"Ross A."},{"family":"Welker","given":"Jeffrey M."},{"family":"Wright","given":"Ian J."}],"issued":{"date-parts":[["2009",9,1]]},"citation-key":"craine_2009"}}],"schema":"https://github.com/citation-style-language/schema/raw/master/csl-citation.json"} </w:instrText>
      </w:r>
      <w:r w:rsidRPr="009867C1">
        <w:fldChar w:fldCharType="separate"/>
      </w:r>
      <w:r w:rsidR="0042141C" w:rsidRPr="009867C1">
        <w:t>(Amundson et al., 2003; Craine et al., 2009)</w:t>
      </w:r>
      <w:r w:rsidRPr="009867C1">
        <w:fldChar w:fldCharType="end"/>
      </w:r>
      <w:r w:rsidRPr="009867C1">
        <w:t xml:space="preserve">, water availability </w:t>
      </w:r>
      <w:r w:rsidRPr="009867C1">
        <w:fldChar w:fldCharType="begin"/>
      </w:r>
      <w:r w:rsidR="00AC0205">
        <w:instrText xml:space="preserve"> ADDIN ZOTERO_ITEM CSL_CITATION {"citationID":"ikKQhy5H","properties":{"formattedCitation":"(Handley et al., 1999)","plainCitation":"(Handley et al., 1999)","noteIndex":0},"citationItems":[{"id":725,"uris":["http://zotero.org/users/2189142/items/8KF5SC3B"],"itemData":{"id":725,"type":"article-journal","abstract":"We assembled a globally-derived data set for site-averaged foliar &amp;#948;&lt;sup&gt;15&lt;/sup&gt;N, the &amp;#948;&lt;sup&gt;15&lt;/sup&gt;N of whole surface mineral soil and corresponding site factors (mean annual rainfall and temperature, latitude, altitude and soil pH). The &amp;#948;&lt;sup&gt;15&lt;/sup&gt;N of whole soil was related to all of the site variables (including foliar &amp;#948;&lt;sup&gt;15&lt;/sup&gt; N) except altitude and, when regressed on latitude and rainfall, provided the best model of these data, accounting for 49% of the variation in whole soil &amp;#948;&lt;sup&gt;15&lt;/sup&gt;N. As single linear regressions, site-averaged foliar &amp;#948;&lt;sup&gt;15&lt;/sup&gt;N was more strongly related to rainfall than was whole soil &amp;#948;&lt;sup&gt;15&lt;/sup&gt;N. A smaller data set showed similar, negative correlations between whole soil &amp;#948;&lt;sup&gt;15&lt;/sup&gt;N, site-averaged foliar &amp;#948;&lt;sup&gt;15&lt;/sup&gt;N and soil moisture variations during a single growing season. The negative correlation between water availability (measured here by rainfall and temperature) and soil or plant &amp;#948;&lt;sup&gt;15&lt;/sup&gt;N fails at the landscape scale, where wet spots are &amp;#948;&lt;sup&gt;15&lt;/sup&gt;N-enriched relative to their drier surroundings. Here we present global and seasonal data, postulate a proximate mechanism for the overall relationship between water availability and ecosystem &amp;#948;&lt;sup&gt;15&lt;/sup&gt;N and, newly, a mechanism accounting for the highly &amp;#948;&lt;sup&gt;15&lt;/sup&gt;N-depleted values found in the foliage and soils of many wet/cold ecosystems. These hypotheses are complemented by documentation of the present gaps in knowledge, suggesting lines of research which will provide new insights into terrestrial N-cycling. Our conclusions are consistent with those of Austin and Vitousek (1998) that foliar (and soil) &amp;#948;&lt;sup&gt;15&lt;/sup&gt;N appear to be related to the residence time of whole ecosystem N.","container-title":"Functional Plant Biology","issue":"2","journalAbbreviation":"Functional Plant Biol.","page":"185-199","source":"CSIRO Publishing","title":"The 15N natural abundance (δ15N) of ecosystem samples reflects measures of water availability","volume":"26","author":[{"family":"Handley","given":"L. L."},{"family":"Austin","given":"A. T."},{"family":"Stewart","given":"G. R."},{"family":"Robinson","given":"D."},{"family":"Scrimgeour","given":"C. M."},{"family":"Raven","given":"J. A."},{"family":"Heaton","given":"T. H. E."},{"family":"Schmidt","given":"S."}],"issued":{"date-parts":[["1999",1,1]]},"citation-key":"handley_1999a"}}],"schema":"https://github.com/citation-style-language/schema/raw/master/csl-citation.json"} </w:instrText>
      </w:r>
      <w:r w:rsidRPr="009867C1">
        <w:fldChar w:fldCharType="separate"/>
      </w:r>
      <w:r w:rsidR="0042141C" w:rsidRPr="009867C1">
        <w:t>(Handley et al., 1999)</w:t>
      </w:r>
      <w:r w:rsidRPr="009867C1">
        <w:fldChar w:fldCharType="end"/>
      </w:r>
      <w:r w:rsidRPr="009867C1">
        <w:t xml:space="preserve">, and rooting depth have been shown to shape </w:t>
      </w:r>
      <w:r w:rsidRPr="009867C1">
        <w:rPr>
          <w:vertAlign w:val="superscript"/>
        </w:rPr>
        <w:t>15</w:t>
      </w:r>
      <w:r w:rsidRPr="009867C1">
        <w:t xml:space="preserve">N concentrations. Litter follows similar patterns to trees, and soils become increasingly enriched with profile depth as isotopically lighter plant matter accumulates on the surface </w:t>
      </w:r>
      <w:r w:rsidRPr="009867C1">
        <w:fldChar w:fldCharType="begin"/>
      </w:r>
      <w:r w:rsidR="00AC0205">
        <w:instrText xml:space="preserve"> ADDIN ZOTERO_ITEM CSL_CITATION {"citationID":"S1MznfiU","properties":{"formattedCitation":"(E. A. Hobbie &amp; Ouimette, 2009)","plainCitation":"(E. A. Hobbie &amp; Ouimette, 2009)","noteIndex":0},"citationItems":[{"id":880,"uris":["http://zotero.org/users/2189142/items/E92P3RV4"],"itemData":{"id":880,"type":"article-journal","abstract":"To determine the dominant processes controlling nitrogen (N) dynamics in soils and increase insights into soil N cycling from nitrogen isotope (δ15N) data, patterns of 15N enrichment in soil profiles were compiled from studies on tropical, temperate, and boreal systems. The maximum 15N enrichment between litter and deeper soil layers varied strongly with mycorrhizal fungal association, averaging 9.6 ± 0.4‰ in ectomycorrhizal systems and 4.6 ± 0.5‰ in arbuscular mycorrhizal systems. The 15N enrichment varied little with mean annual temperature, precipitation, or nitrification rates. One main factor controlling 15N in soil profiles, fractionation against 15N during N transfer by mycorrhizal fungi to host plants, leads to 15N-depleted plant litter at the soil surface and 15N-enriched nitrogen of fungal origin at depth. The preferential preservation of 15N-enriched compounds during decomposition and stabilization is a second important factor. A third mechanism, N loss during nitrification and denitrification, may account for large 15N enrichments with depth in less N-limited forests and may account for soil profiles where maximum δ15N is at intermediate depths. Mixing among soil horizons should also decrease differences among soil horizons. We suggest that dynamic models of isotope distributions within soil profiles that can incorporate multiple processes could provide additional information about the history of nitrogen movements and transformations at a site.","container-title":"Biogeochemistry","DOI":"10.1007/s10533-009-9328-6","ISSN":"0168-2563, 1573-515X","issue":"2-3","journalAbbreviation":"Biogeochemistry","language":"en","page":"355-371","source":"link.springer.com.ezproxy.library.ubc.ca","title":"Controls of nitrogen isotope patterns in soil profiles","volume":"95","author":[{"family":"Hobbie","given":"Erik A."},{"family":"Ouimette","given":"Andrew P."}],"issued":{"date-parts":[["2009",5,26]]},"citation-key":"hobbie_2009a"}}],"schema":"https://github.com/citation-style-language/schema/raw/master/csl-citation.json"} </w:instrText>
      </w:r>
      <w:r w:rsidRPr="009867C1">
        <w:fldChar w:fldCharType="separate"/>
      </w:r>
      <w:r w:rsidR="0042141C" w:rsidRPr="009867C1">
        <w:t>(E. A. Hobbie &amp; Ouimette, 2009)</w:t>
      </w:r>
      <w:r w:rsidRPr="009867C1">
        <w:fldChar w:fldCharType="end"/>
      </w:r>
      <w:r w:rsidRPr="009867C1">
        <w:t xml:space="preserve">; at the same time, a parallel process accumulates </w:t>
      </w:r>
      <w:r w:rsidRPr="009867C1">
        <w:rPr>
          <w:vertAlign w:val="superscript"/>
        </w:rPr>
        <w:t>15</w:t>
      </w:r>
      <w:r w:rsidRPr="009867C1">
        <w:t xml:space="preserve">N in organic soils as decomposition and humification preferentially concentrates </w:t>
      </w:r>
      <w:r w:rsidRPr="009867C1">
        <w:rPr>
          <w:vertAlign w:val="superscript"/>
        </w:rPr>
        <w:t>15</w:t>
      </w:r>
      <w:r w:rsidRPr="009867C1">
        <w:t xml:space="preserve">N in recalcitrant N-fractions in the soil </w:t>
      </w:r>
      <w:r w:rsidRPr="009867C1">
        <w:fldChar w:fldCharType="begin"/>
      </w:r>
      <w:r w:rsidR="00AC0205">
        <w:instrText xml:space="preserve"> ADDIN ZOTERO_ITEM CSL_CITATION {"citationID":"z2hqjBwY","properties":{"formattedCitation":"(E. A. Hobbie et al., 2019)","plainCitation":"(E. A. Hobbie et al., 2019)","noteIndex":0},"citationItems":[{"id":1663,"uris":["http://zotero.org/users/2189142/items/V3262PM4"],"itemData":{"id":1663,"type":"article-journal","abstract":"To assess how nitrogen (N) availability affected ectomycorrhizal functioning and to test a theoretical model of ectomycorrhizal 15N partitioning, we measured C/N and δ15N in soils and nine fungal taxa in two Swedish N addition experiments. Sporocarp C/N and soil C/N decreased with fertilization, implying that N uptake per unit fungal growth increased. The S horizon was more responsive than the F and H horizons to changes in N addition, with N turnover for these horizons of 24, 57, and 57 y, respectively. Fungal and soil δ15N patterns identified fungal N sources, with N acquisition primarily from the S, F, or H horizon for two, five, and two taxa, respectively. With increasing N availability, sporocarp 15N enrichment increased in five taxa, in agreement with our model of fungal-plant N partitioning. However, it decreased in Lactarius rufus and Russula aeruginea, perhaps indicating shifts towards greater inorganic N uptake in these two taxa. This may relate to the generally lower sensitivity of these taxa to N deposition compared to the Cortinarius and Suillus taxa that fit our model of 15N partitioning.","container-title":"Fungal Ecology","DOI":"10.1016/j.funeco.2018.12.013","ISSN":"1754-5048","journalAbbreviation":"Fungal Ecology","language":"en","page":"267-275","source":"ScienceDirect","title":"Fertilization alters nitrogen isotopes and concentrations in ectomycorrhizal fungi and soil in pine forests","volume":"39","author":[{"family":"Hobbie","given":"Erik A."},{"family":"Chen","given":"Janet"},{"family":"Hasselquist","given":"Niles J."}],"issued":{"date-parts":[["2019",6,1]]},"citation-key":"hobbie_2019"}}],"schema":"https://github.com/citation-style-language/schema/raw/master/csl-citation.json"} </w:instrText>
      </w:r>
      <w:r w:rsidRPr="009867C1">
        <w:fldChar w:fldCharType="separate"/>
      </w:r>
      <w:r w:rsidR="0042141C" w:rsidRPr="009867C1">
        <w:t>(E. A. Hobbie et al., 2019)</w:t>
      </w:r>
      <w:r w:rsidRPr="009867C1">
        <w:fldChar w:fldCharType="end"/>
      </w:r>
      <w:r w:rsidRPr="009867C1">
        <w:t xml:space="preserve">. Observed isotopic ratios will reflect the net effects of all these factors, and thus care must be taken in interpretation of </w:t>
      </w:r>
      <w:r w:rsidRPr="009867C1">
        <w:rPr>
          <w:vertAlign w:val="superscript"/>
        </w:rPr>
        <w:t>15</w:t>
      </w:r>
      <w:r w:rsidRPr="009867C1">
        <w:t xml:space="preserve">N signals.   </w:t>
      </w:r>
    </w:p>
    <w:p w14:paraId="467899BE" w14:textId="611D1113" w:rsidR="00D80E10" w:rsidRPr="009867C1" w:rsidRDefault="00D80E10" w:rsidP="00D80E10">
      <w:pPr>
        <w:ind w:firstLine="720"/>
      </w:pPr>
      <w:r w:rsidRPr="009867C1">
        <w:t xml:space="preserve">Finally, N addition is generally associated with increasing foliar %N and decreasing soil C:N ratios as both bulk soil nitrogen concentrations increase and soil carbon concentrations decrease due to increased soil respiration </w:t>
      </w:r>
      <w:r w:rsidRPr="009867C1">
        <w:fldChar w:fldCharType="begin"/>
      </w:r>
      <w:r w:rsidR="00AC0205">
        <w:instrText xml:space="preserve"> ADDIN ZOTERO_ITEM CSL_CITATION {"citationID":"cSCAgDWb","properties":{"formattedCitation":"(Levy-Booth et al., 2016)","plainCitation":"(Levy-Booth et al., 2016)","noteIndex":0},"citationItems":[{"id":1975,"uris":["http://zotero.org/users/2189142/items/TX4CLQKQ"],"itemData":{"id":1975,"type":"article-journal","abstract":"Nitrogen (N) fertilization and mechanical site preparation are used to increase productivity of forests and prevent paludification in wet climates. However, these practices may also alter soil microbial community structure and rates of decomposition and respiration. The effects of mounding, drainage and fertilization were investigated at a mounded hybrid spruce site and a drained coastal western redcedar – western hemlock site in British Columbia (B.C.), Canada. CO2 efflux was measured at four dates over a one-year period using static closed chambers. Total bacterial and fungal ribosomal marker abundance and structure were assessed using quantitative PCR and terminal-restriction fragment polymorphism (T-RFLP), respectively. Mounding reduced soil water content of planting sites, but also removed much of the forest floor layer from the rooting zone and led to a significant decrease in CO2 efflux rates, as well as bacterial and fungal abundance and diversity. Drainage increased CO2 fluxes and led to significant differences in T-RFLP profiles in drained and undrained samples. Fertilization had variable effects on the microbial community and CO2 fluxes at the two sites. Site preparation and fertilization can improve regeneration of wet forests that would otherwise be subject to paludification, but can lead to shifts in carbon fluxes and microbial community structure. Major disturbances to soil structure and composition (e.g., following mounding) can alter the microbial community structure in a way that suppresses microbial diversity and function for up to one year following treatment.","container-title":"Forest Ecology and Management","DOI":"10.1016/j.foreco.2016.05.033","ISSN":"0378-1127","journalAbbreviation":"Forest Ecology and Management","language":"en","page":"159-171","source":"ScienceDirect","title":"Site preparation and fertilization of wet forests alter soil bacterial and fungal abundance, community profiles and CO2 fluxes","volume":"375","author":[{"family":"Levy-Booth","given":"David J."},{"family":"Prescott","given":"Cindy"},{"family":"Christiansen","given":"Jesper Riis"},{"family":"Grayston","given":"Susan J."}],"issued":{"date-parts":[["2016",9,1]]},"citation-key":"levy-booth_2016"}}],"schema":"https://github.com/citation-style-language/schema/raw/master/csl-citation.json"} </w:instrText>
      </w:r>
      <w:r w:rsidRPr="009867C1">
        <w:fldChar w:fldCharType="separate"/>
      </w:r>
      <w:r w:rsidR="0042141C" w:rsidRPr="009867C1">
        <w:t>(Levy-Booth et al., 2016)</w:t>
      </w:r>
      <w:r w:rsidRPr="009867C1">
        <w:fldChar w:fldCharType="end"/>
      </w:r>
      <w:r w:rsidRPr="009867C1">
        <w:t xml:space="preserve">. We thus predict that along MDN gradients foliar N </w:t>
      </w:r>
      <w:r w:rsidR="00CD1F99">
        <w:t>will</w:t>
      </w:r>
      <w:r w:rsidRPr="009867C1">
        <w:t xml:space="preserve"> increase and soil immobilized carbon </w:t>
      </w:r>
      <w:r w:rsidR="00CD1F99">
        <w:t>will</w:t>
      </w:r>
      <w:r w:rsidRPr="009867C1">
        <w:t xml:space="preserve"> decrease, although </w:t>
      </w:r>
      <w:r w:rsidR="00CD1F99">
        <w:t xml:space="preserve">it is </w:t>
      </w:r>
      <w:r w:rsidRPr="009867C1">
        <w:t>expect</w:t>
      </w:r>
      <w:r w:rsidR="00CD1F99">
        <w:t>ed</w:t>
      </w:r>
      <w:r w:rsidRPr="009867C1">
        <w:t xml:space="preserve"> that this may be complicated by shifting plant communities along MDN gradients </w:t>
      </w:r>
      <w:r w:rsidRPr="009867C1">
        <w:fldChar w:fldCharType="begin"/>
      </w:r>
      <w:r w:rsidR="00AC0205">
        <w:instrText xml:space="preserve"> ADDIN ZOTERO_ITEM CSL_CITATION {"citationID":"0FPXqrsL","properties":{"formattedCitation":"(Hocking &amp; Reynolds, 2011; Prescott, 2002)","plainCitation":"(Hocking &amp; Reynolds, 2011; Prescott, 2002)","noteIndex":0},"citationItems":[{"id":550,"uris":["http://zotero.org/users/2189142/items/JR362H46"],"itemData":{"id":550,"type":"article-journal","abstract":"The study of natural gradients in nutrient subsidies between ecosystems allows for predictions of how changes in one system can affect biodiversity in another. We performed a large-scale empirical test of the role of Pacific salmon (Oncorhynchus spp.) in structuring riparian plant communities. A comparison of 50 watersheds in the remote Great Bear Rainforest of British Columbia’s central coast in Canada shows that salmon influence nutrient loading to plants, shifting plant communities toward nutrient-rich species, which in turn decreases plant diversity. These effects are mediated by interactions between salmon density and the physical characteristics of watersheds. Predicting how salmon affect terrestrial ecosystems is central to conservation plans that aim to better integrate ecosystem values into resource management.","container-title":"Science","DOI":"10.1126/science.1201079","ISSN":"0036-8075, 1095-9203","issue":"6024","journalAbbreviation":"Science","language":"en","note":"PMID: 21442794","page":"1609-1612","source":"www.sciencemag.org.ezproxy.library.ubc.ca","title":"Impacts of Salmon on Riparian Plant Diversity","volume":"331","author":[{"family":"Hocking","given":"Morgan D."},{"family":"Reynolds","given":"John D."}],"issued":{"date-parts":[["2011",3,25]]},"citation-key":"hocking_2011"}},{"id":1964,"uris":["http://zotero.org/users/2189142/items/HPNRHDB8"],"itemData":{"id":1964,"type":"article-journal","container-title":"Tree Physiology","DOI":"10.1093/treephys/22.15-16.1193","ISSN":"0829-318X","issue":"15-16","journalAbbreviation":"Tree Physiol","page":"1193-1200","source":"academic-oup-com.ezproxy.library.ubc.ca","title":"The influence of the forest canopy on nutrient cycling","volume":"22","author":[{"family":"Prescott","given":"Cindy"}],"issued":{"date-parts":[["2002",11,1]]},"citation-key":"prescott_2002"}}],"schema":"https://github.com/citation-style-language/schema/raw/master/csl-citation.json"} </w:instrText>
      </w:r>
      <w:r w:rsidRPr="009867C1">
        <w:fldChar w:fldCharType="separate"/>
      </w:r>
      <w:r w:rsidR="0042141C" w:rsidRPr="009867C1">
        <w:t>(Hocking &amp; Reynolds, 2011; Prescott, 2002)</w:t>
      </w:r>
      <w:r w:rsidRPr="009867C1">
        <w:fldChar w:fldCharType="end"/>
      </w:r>
      <w:r w:rsidRPr="009867C1">
        <w:t xml:space="preserve">.   </w:t>
      </w:r>
    </w:p>
    <w:p w14:paraId="1BAEE5C4" w14:textId="5A3A2C2B" w:rsidR="00D80E10" w:rsidRPr="009867C1" w:rsidRDefault="00D80E10" w:rsidP="00D80E10">
      <w:pPr>
        <w:ind w:firstLine="720"/>
      </w:pPr>
      <w:r w:rsidRPr="009867C1">
        <w:t xml:space="preserve">The primary goal of this study is to investigate the role fungi play in the ecosystem metabolism of MDN in migratory salmon rivers of the west coast of Canada. To do this, </w:t>
      </w:r>
      <w:r w:rsidR="00CD1F99">
        <w:t>I</w:t>
      </w:r>
      <w:r w:rsidRPr="009867C1">
        <w:t xml:space="preserve"> sampled soil, mushrooms, and litter at 16 streams across a gradient of salmon densities. δ</w:t>
      </w:r>
      <w:r w:rsidRPr="009867C1">
        <w:rPr>
          <w:vertAlign w:val="superscript"/>
        </w:rPr>
        <w:t>15</w:t>
      </w:r>
      <w:r w:rsidRPr="009867C1">
        <w:t>N, %N, δ</w:t>
      </w:r>
      <w:r w:rsidRPr="009867C1">
        <w:rPr>
          <w:vertAlign w:val="superscript"/>
        </w:rPr>
        <w:t>13</w:t>
      </w:r>
      <w:r w:rsidRPr="009867C1">
        <w:t xml:space="preserve">C, and %C were measured, and these samples were combined with foliar sample data from an earlier study at these same sites </w:t>
      </w:r>
      <w:r w:rsidRPr="009867C1">
        <w:fldChar w:fldCharType="begin"/>
      </w:r>
      <w:r w:rsidR="00AC0205">
        <w:instrText xml:space="preserve"> ADDIN ZOTERO_ITEM CSL_CITATION {"citationID":"etkt5f0X","properties":{"formattedCitation":"(Hocking &amp; Reynolds, 2011)","plainCitation":"(Hocking &amp; Reynolds, 2011)","noteIndex":0},"citationItems":[{"id":550,"uris":["http://zotero.org/users/2189142/items/JR362H46"],"itemData":{"id":550,"type":"article-journal","abstract":"The study of natural gradients in nutrient subsidies between ecosystems allows for predictions of how changes in one system can affect biodiversity in another. We performed a large-scale empirical test of the role of Pacific salmon (Oncorhynchus spp.) in structuring riparian plant communities. A comparison of 50 watersheds in the remote Great Bear Rainforest of British Columbia’s central coast in Canada shows that salmon influence nutrient loading to plants, shifting plant communities toward nutrient-rich species, which in turn decreases plant diversity. These effects are mediated by interactions between salmon density and the physical characteristics of watersheds. Predicting how salmon affect terrestrial ecosystems is central to conservation plans that aim to better integrate ecosystem values into resource management.","container-title":"Science","DOI":"10.1126/science.1201079","ISSN":"0036-8075, 1095-9203","issue":"6024","journalAbbreviation":"Science","language":"en","note":"PMID: 21442794","page":"1609-1612","source":"www.sciencemag.org.ezproxy.library.ubc.ca","title":"Impacts of Salmon on Riparian Plant Diversity","volume":"331","author":[{"family":"Hocking","given":"Morgan D."},{"family":"Reynolds","given":"John D."}],"issued":{"date-parts":[["2011",3,25]]},"citation-key":"hocking_2011"}}],"schema":"https://github.com/citation-style-language/schema/raw/master/csl-citation.json"} </w:instrText>
      </w:r>
      <w:r w:rsidRPr="009867C1">
        <w:fldChar w:fldCharType="separate"/>
      </w:r>
      <w:r w:rsidR="0042141C" w:rsidRPr="009867C1">
        <w:t>(Hocking &amp; Reynolds, 2011)</w:t>
      </w:r>
      <w:r w:rsidRPr="009867C1">
        <w:fldChar w:fldCharType="end"/>
      </w:r>
      <w:r w:rsidRPr="009867C1">
        <w:t xml:space="preserve">. Fungal species were identified through a combination of molecular and morphological techniques, and fungal functional types were assigned to sporocarps at the genus level using the FunGuild database </w:t>
      </w:r>
      <w:r w:rsidRPr="009867C1">
        <w:fldChar w:fldCharType="begin"/>
      </w:r>
      <w:r w:rsidR="00AC0205">
        <w:instrText xml:space="preserve"> ADDIN ZOTERO_ITEM CSL_CITATION {"citationID":"EuRaKB3E","properties":{"formattedCitation":"(Nguyen et al., 2016)","plainCitation":"(Nguyen et al., 2016)","noteIndex":0},"citationItems":[{"id":287,"uris":["http://zotero.org/users/2189142/items/2LCXHEY3"],"itemData":{"id":287,"type":"article-journal","abstract":"Fungi typically live in highly diverse communities composed of multiple ecological guilds. Although high-throughput sequencing has greatly increased the ability to quantify the diversity of fungi in environmental samples, researchers currently lack a simple and consistent way to sort large sequence pools into ecologically meaningful categories. We address this issue by introducing FUNGuild, a tool that can be used to taxonomically parse fungal OTUs by ecological guild independent of sequencing platform or analysis pipeline. Using a database and an accompanying bioinformatics script, we demonstrate the application of FUNGuild to three high-throughput sequencing datasets from different habitats: forest soils, grassland soils, and decomposing wood. We found that guilds characteristic of each habitat (i.e., saprotrophic and ectomycorrhizal fungi in forest soils, saprotrophic and arbuscular mycorrhizal fungi in grassland soils, saprotrophic, wood decomposer, and plant pathogenic fungi in decomposing wood) were each well represented. The example datasets demonstrate that while we could quickly and efficiently assign a large portion of the data to guilds, another large portion could not be assigned, reflecting the need to expand and improve the database as well as to gain a better understanding of natural history for many described and undescribed fungal species. As a community resource, FUNGuild is dependent on third-party annotation, so we invite researchers to populate it with new categories and records as well as refine those already in existence.","container-title":"Fungal Ecology","DOI":"10.1016/j.funeco.2015.06.006","ISSN":"1754-5048","journalAbbreviation":"Fungal Ecology","page":"241-248","source":"ScienceDirect","title":"FUNGuild: An open annotation tool for parsing fungal community datasets by ecological guild","title-short":"FUNGuild","volume":"20","author":[{"family":"Nguyen","given":"Nhu H."},{"family":"Song","given":"Zewei"},{"family":"Bates","given":"Scott T."},{"family":"Branco","given":"Sara"},{"family":"Tedersoo","given":"Leho"},{"family":"Menke","given":"Jon"},{"family":"Schilling","given":"Jonathan S."},{"family":"Kennedy","given":"Peter G."}],"issued":{"date-parts":[["2016",4,1]]},"citation-key":"nguyen_2016"}}],"schema":"https://github.com/citation-style-language/schema/raw/master/csl-citation.json"} </w:instrText>
      </w:r>
      <w:r w:rsidRPr="009867C1">
        <w:fldChar w:fldCharType="separate"/>
      </w:r>
      <w:r w:rsidR="0042141C" w:rsidRPr="009867C1">
        <w:t>(Nguyen et al., 2016)</w:t>
      </w:r>
      <w:r w:rsidRPr="009867C1">
        <w:fldChar w:fldCharType="end"/>
      </w:r>
      <w:r w:rsidRPr="009867C1">
        <w:t>. The nearest large tree was recorded, as well as percent cover of mosses, herbs, shrubs and trees around each sampling point. We predicted the following: 1. All ecosystem compartments would increase in δ</w:t>
      </w:r>
      <w:r w:rsidRPr="009867C1">
        <w:rPr>
          <w:vertAlign w:val="superscript"/>
        </w:rPr>
        <w:t>15</w:t>
      </w:r>
      <w:r w:rsidRPr="009867C1">
        <w:t>N as MDN inputs increased (the ‘salmon effect’); 2. δ</w:t>
      </w:r>
      <w:r w:rsidRPr="009867C1">
        <w:rPr>
          <w:vertAlign w:val="superscript"/>
        </w:rPr>
        <w:t>15</w:t>
      </w:r>
      <w:r w:rsidRPr="009867C1">
        <w:t>N values would follow the pattern: sporocarp &gt; soil &gt; plant &gt; litter; 3. Decreasing mycorrhizal-plant N flux due to increasing MDN enrichment would be evidenced through a convergence of soil – mushroom – plant δ</w:t>
      </w:r>
      <w:r w:rsidRPr="009867C1">
        <w:rPr>
          <w:vertAlign w:val="superscript"/>
        </w:rPr>
        <w:t>15</w:t>
      </w:r>
      <w:r w:rsidRPr="009867C1">
        <w:t xml:space="preserve">N over the MDN gradient (‘mycorrhizal transfer effect’); </w:t>
      </w:r>
      <w:r w:rsidR="00CD1F99">
        <w:t xml:space="preserve">in contrast, a </w:t>
      </w:r>
      <w:r w:rsidRPr="009867C1">
        <w:t>divergence of these values would indicate increasing mycorrhizal-plant N flux, and would be consistent with alternative predictions due to the exploitation of patchy resources (‘the resource-patch effect’); 4. %N would increase across all ecosystem compartments along the MDN gradient; and 5. soil %C and C:N ratio would decrease with MDN inputs; and finally, 6. Fungal δ</w:t>
      </w:r>
      <w:r w:rsidRPr="009867C1">
        <w:rPr>
          <w:vertAlign w:val="superscript"/>
        </w:rPr>
        <w:t>15</w:t>
      </w:r>
      <w:r w:rsidRPr="009867C1">
        <w:t>N would be influenced by species identity and be highest in taxa of known nitrophyllic or aminophilic feeding strategy</w:t>
      </w:r>
      <w:r w:rsidR="00CD1F99">
        <w:t>.</w:t>
      </w:r>
      <w:r w:rsidRPr="009867C1">
        <w:t xml:space="preserve"> </w:t>
      </w:r>
    </w:p>
    <w:p w14:paraId="1FB15E95" w14:textId="77777777" w:rsidR="00D80E10" w:rsidRPr="009867C1" w:rsidRDefault="00D80E10" w:rsidP="00D80E10"/>
    <w:p w14:paraId="72862D74" w14:textId="77777777" w:rsidR="00D80E10" w:rsidRPr="009867C1" w:rsidRDefault="00D80E10" w:rsidP="00D80E10">
      <w:pPr>
        <w:pStyle w:val="Heading3"/>
        <w:rPr>
          <w:lang w:val="en-CA"/>
        </w:rPr>
      </w:pPr>
      <w:bookmarkStart w:id="103" w:name="_Toc99385433"/>
      <w:r w:rsidRPr="009867C1">
        <w:rPr>
          <w:lang w:val="en-CA"/>
        </w:rPr>
        <w:t>Materials and Methods</w:t>
      </w:r>
      <w:bookmarkEnd w:id="103"/>
    </w:p>
    <w:p w14:paraId="208AA53E" w14:textId="77777777" w:rsidR="00D80E10" w:rsidRPr="009867C1" w:rsidRDefault="00D80E10" w:rsidP="00D80E10">
      <w:r w:rsidRPr="009867C1">
        <w:rPr>
          <w:b/>
        </w:rPr>
        <w:t>Study sites:</w:t>
      </w:r>
      <w:r w:rsidRPr="009867C1">
        <w:t xml:space="preserve"> </w:t>
      </w:r>
    </w:p>
    <w:p w14:paraId="01F1F6CC" w14:textId="560B695B" w:rsidR="00D80E10" w:rsidRPr="009867C1" w:rsidRDefault="00D80E10" w:rsidP="00D80E10">
      <w:pPr>
        <w:ind w:firstLine="720"/>
      </w:pPr>
      <w:r w:rsidRPr="009867C1">
        <w:t>Samples were collected from 16 watersheds in Heiltsuk First Nation traditional territory on the Central Coast of British Columbia, Canada, near the town of Bella Bella (</w:t>
      </w:r>
      <w:r w:rsidRPr="00CD1F99">
        <w:t xml:space="preserve">Appendix </w:t>
      </w:r>
      <w:r w:rsidRPr="009867C1">
        <w:t xml:space="preserve">A). This study was conducted in mid-October, and fungal fruiting coincided with the </w:t>
      </w:r>
      <w:r w:rsidR="00CD1F99">
        <w:t xml:space="preserve">onset </w:t>
      </w:r>
      <w:r w:rsidRPr="009867C1">
        <w:t xml:space="preserve">of fall rains and the salmon run. Soils were primarily acidic lignic and humic folisols, consisting of largely homogenous deep, well decomposed organic layers </w:t>
      </w:r>
      <w:r w:rsidRPr="009867C1">
        <w:fldChar w:fldCharType="begin"/>
      </w:r>
      <w:r w:rsidR="00AC0205">
        <w:instrText xml:space="preserve"> ADDIN ZOTERO_ITEM CSL_CITATION {"citationID":"HVMlF8dh","properties":{"formattedCitation":"(Carpenter et al., 2014)","plainCitation":"(Carpenter et al., 2014)","noteIndex":0},"citationItems":[{"id":904,"uris":["http://zotero.org/users/2189142/items/AWEPCWBQ"],"itemData":{"id":904,"type":"article-journal","abstract":"Temperate rainforests have high conservation and natural resource value, but the soils of this bioregion have not previously been studied as a unit. Here we examine the soils of North America's Pacific coastal temperate rainforests, utilizing databases from the United States Natural Resources Conservation Service and the Canadian Centre for Land and Biological Resources Research to (i) identify the soil taxa, (ii) evaluate the soil properties, and (iii) compare soils in temperate and tropical rainforests. There are strong climate gradients within these temperate rainforests, with the mean temperature declining from 11.7 °C to 6.1 °C and the mean annual precipitation increasing from 1500 mm to around 3000 mm from northern California (CA) to northwestern British Columbia (BC) and southeastern Alaska (AK). There is also high pedodiversity in this region, with soils representing 8 orders and 31 suborders, and, in the US portion, 65 great-groups, 142 subgroups, and 482 soil series. Twenty-six percent of described soil series are endemic to temperate rainforests in the US portion of the region, with the proportion declining with latitude. Dominant soil suborders vary along the latitudinal gradient from Humults–Udalfs/Ustalfs–Udepts–Udults in CA, to Udands–Udepts–Udands Humults in western Oregon (OR) and Washington (WA), to Orthods–Folists in BC and Cryods–Saprists in AK. The dominant diagnostic horizons are ochric/argillic (CA), umbric/cambic (OR, WA), and albic–histic/spodic (BC, AK). Whereas soils in CA, BC, and AK tend to have a mixed mineralogy, those in northern OR and WA commonly are derived from volcaniclastic materials and have a ferrihydritic or isotic mineralogy. Soils in this region are generally deep, hold abundant moisture, are not subject to deep-freezing, and are enriched in extractable Fe and Al. Organic C and total N contents are high overall, but also variable, with right-skewed distributions. Compared to tropical rainforest soils in the Pacific Basin, Pacific temperate rainforest have greater weatherable minerals, cation-exchange capacities, soil organic C, and total exchangeable base cations. However, soils of both bioregions tend to be deep, acidic Al-saturated, and can have large N reservoirs. This investigation provides a foundation for a more unified understanding of the soils of a globally significant bioregion.","container-title":"Geoderma","DOI":"10.1016/j.geoderma.2014.04.023","ISSN":"0016-7061","journalAbbreviation":"Geoderma","page":"250-264","source":"ScienceDirect","title":"Soils of temperate rainforests of the North American Pacific Coast","volume":"230–231","author":[{"family":"Carpenter","given":"Dunbar N."},{"family":"Bockheim","given":"James G."},{"family":"Reich","given":"Paul F."}],"issued":{"date-parts":[["2014",10]]},"citation-key":"carpenter_2014"}}],"schema":"https://github.com/citation-style-language/schema/raw/master/csl-citation.json"} </w:instrText>
      </w:r>
      <w:r w:rsidRPr="009867C1">
        <w:fldChar w:fldCharType="separate"/>
      </w:r>
      <w:r w:rsidR="0042141C" w:rsidRPr="009867C1">
        <w:t>(Carpenter et al., 2014)</w:t>
      </w:r>
      <w:r w:rsidRPr="009867C1">
        <w:fldChar w:fldCharType="end"/>
      </w:r>
      <w:r w:rsidRPr="009867C1">
        <w:t>. At each watershed, an opportunistic sampling methodology was used and the first ten mushrooms found at each site were collected. Since mycorrhizal mushrooms were the desired targets, only sporocarps growing out of moss and soil were collected and known saprotrophs ignored. At sites with less than ten available mushrooms as many as possible were collected. At each sporocarp, a 5m-radius circular vegetation plot was measured, and percent cover of moss, herb, shrub, and tree species estimated. Fungi were described in the field, photographed, and sporocarps collected. Soil samples were taken at two locations: (1) from the F and H layers (“litter layer”), just below moss and bulk litter</w:t>
      </w:r>
      <w:r w:rsidR="00CD1F99">
        <w:t xml:space="preserve"> at</w:t>
      </w:r>
      <w:r w:rsidRPr="009867C1">
        <w:t xml:space="preserve"> 0-5 cm, and (2) deeper soil (“soil layer”) taken at 10-15 cm. This resulted in n=166 triplicate samples for each sampling point (“mushroom”, “litter”, “soil”). In the field laboratory, sporocarps were again photographed, spore prints collected, and a morphological character database constructed for morphological identification. Sporocarps were then dried overnight in a consumer dehydrator and frozen with the soil and litter samples in a -20°C freezer. </w:t>
      </w:r>
    </w:p>
    <w:p w14:paraId="3A959739" w14:textId="77777777" w:rsidR="00D80E10" w:rsidRPr="009867C1" w:rsidRDefault="00D80E10" w:rsidP="00D80E10">
      <w:pPr>
        <w:rPr>
          <w:b/>
        </w:rPr>
      </w:pPr>
      <w:r w:rsidRPr="009867C1">
        <w:rPr>
          <w:b/>
        </w:rPr>
        <w:t xml:space="preserve">Sporocarp identification: </w:t>
      </w:r>
    </w:p>
    <w:p w14:paraId="17D73882" w14:textId="77777777" w:rsidR="00D80E10" w:rsidRPr="009867C1" w:rsidRDefault="00D80E10" w:rsidP="008E6662">
      <w:pPr>
        <w:ind w:firstLine="720"/>
      </w:pPr>
      <w:r w:rsidRPr="009867C1">
        <w:t xml:space="preserve">Morphological identification was carried out by Allen Larocque with the help of Dr. Emma Harrower (all taxa, particularly </w:t>
      </w:r>
      <w:r w:rsidRPr="00291654">
        <w:rPr>
          <w:i/>
          <w:iCs/>
        </w:rPr>
        <w:t>Cortinarius</w:t>
      </w:r>
      <w:r w:rsidRPr="009867C1">
        <w:t>) and Dr. Anna Bazzicalupo (</w:t>
      </w:r>
      <w:r w:rsidRPr="00291654">
        <w:rPr>
          <w:i/>
          <w:iCs/>
        </w:rPr>
        <w:t>Russulaceae</w:t>
      </w:r>
      <w:r w:rsidRPr="009867C1">
        <w:t xml:space="preserve">). We identified 144 samples to genus level (87%) but only 28 to species level (16%). To further clarify species identity, a molecular barcoding approach was used and both methodologies used to corroborate a final identification. </w:t>
      </w:r>
    </w:p>
    <w:p w14:paraId="369F92B1" w14:textId="77777777" w:rsidR="00D80E10" w:rsidRPr="009867C1" w:rsidRDefault="00D80E10" w:rsidP="00D80E10">
      <w:r w:rsidRPr="009867C1">
        <w:rPr>
          <w:b/>
        </w:rPr>
        <w:t>Molecular barcoding methods</w:t>
      </w:r>
      <w:r w:rsidRPr="009867C1">
        <w:t xml:space="preserve">: </w:t>
      </w:r>
    </w:p>
    <w:p w14:paraId="22CB645F" w14:textId="238C2BFA" w:rsidR="00D80E10" w:rsidRPr="009867C1" w:rsidRDefault="00D80E10" w:rsidP="008E6662">
      <w:pPr>
        <w:ind w:firstLine="720"/>
      </w:pPr>
      <w:r w:rsidRPr="009867C1">
        <w:t xml:space="preserve">The ITS region was sequenced for all samples using ITS1/ITS4 primer pairs </w:t>
      </w:r>
      <w:r w:rsidRPr="009867C1">
        <w:fldChar w:fldCharType="begin"/>
      </w:r>
      <w:r w:rsidR="00AC0205">
        <w:instrText xml:space="preserve"> ADDIN ZOTERO_ITEM CSL_CITATION {"citationID":"ocSFfTbR","properties":{"formattedCitation":"(White et al., 1990)","plainCitation":"(White et al., 1990)","noteIndex":0},"citationItems":[{"id":1787,"uris":["http://zotero.org/users/2189142/items/C6N9NZFX"],"itemData":{"id":1787,"type":"article-journal","container-title":"PCR protocols: a guide to methods and applications","issue":"1","page":"315–322","source":"Google Scholar","title":"Amplification and direct sequencing of fungal ribosomal RNA genes for phylogenetics","volume":"18","author":[{"family":"White","given":"Thomas J."},{"family":"Bruns","given":"T."},{"family":"Lee","given":"SJWT"},{"family":"Taylor","given":"J. W."}],"issued":{"date-parts":[["1990"]]},"citation-key":"white_1990"}}],"schema":"https://github.com/citation-style-language/schema/raw/master/csl-citation.json"} </w:instrText>
      </w:r>
      <w:r w:rsidRPr="009867C1">
        <w:fldChar w:fldCharType="separate"/>
      </w:r>
      <w:r w:rsidR="0042141C" w:rsidRPr="009867C1">
        <w:t>(White et al., 1990)</w:t>
      </w:r>
      <w:r w:rsidRPr="009867C1">
        <w:fldChar w:fldCharType="end"/>
      </w:r>
      <w:r w:rsidRPr="009867C1">
        <w:t>. DNA from sporocarps was extracted using Qiagen plantEZ kit; quantified using</w:t>
      </w:r>
      <w:r w:rsidR="00291654">
        <w:t xml:space="preserve"> a</w:t>
      </w:r>
      <w:r w:rsidRPr="009867C1">
        <w:t xml:space="preserve"> Qubit fluorescent spectrometer; and sent for Sanger sequencing by Macrogen Inc., Korea. Sequence data was manually inspected, cleaned, aligned, and trimmed using Geneious version 2020.1 (http://www.geneious.com; </w:t>
      </w:r>
      <w:r w:rsidRPr="009867C1">
        <w:fldChar w:fldCharType="begin"/>
      </w:r>
      <w:r w:rsidR="00AC0205">
        <w:instrText xml:space="preserve"> ADDIN ZOTERO_ITEM CSL_CITATION {"citationID":"R6AlV9E5","properties":{"formattedCitation":"(Kearse et al., 2012)","plainCitation":"(Kearse et al., 2012)","noteIndex":0},"citationItems":[{"id":1648,"uris":["http://zotero.org/users/2189142/items/LVEEZEZQ"],"itemData":{"id":1648,"type":"article-journal","abstract":"Abstract.  Summary: The two main functions of bioinformatics are the organization and analysis of biological data using computational resources. Geneious Basic","container-title":"Bioinformatics","DOI":"10.1093/bioinformatics/bts199","ISSN":"1367-4803","issue":"12","journalAbbreviation":"Bioinformatics","language":"en","page":"1647-1649","source":"academic-oup-com.ezproxy.library.ubc.ca","title":"Geneious Basic: An integrated and extendable desktop software platform for the organization and analysis of sequence data","title-short":"Geneious Basic","volume":"28","author":[{"family":"Kearse","given":"Matthew"},{"family":"Moir","given":"Richard"},{"family":"Wilson","given":"Amy"},{"family":"Stones-Havas","given":"Steven"},{"family":"Cheung","given":"Matthew"},{"family":"Sturrock","given":"Shane"},{"family":"Buxton","given":"Simon"},{"family":"Cooper","given":"Alex"},{"family":"Markowitz","given":"Sidney"},{"family":"Duran","given":"Chris"},{"family":"Thierer","given":"Tobias"},{"family":"Ashton","given":"Bruce"},{"family":"Meintjes","given":"Peter"},{"family":"Drummond","given":"Alexei"}],"issued":{"date-parts":[["2012",6,15]]},"citation-key":"kearse_2012"}}],"schema":"https://github.com/citation-style-language/schema/raw/master/csl-citation.json"} </w:instrText>
      </w:r>
      <w:r w:rsidRPr="009867C1">
        <w:fldChar w:fldCharType="separate"/>
      </w:r>
      <w:r w:rsidR="0042141C" w:rsidRPr="009867C1">
        <w:t>(Kearse et al., 2012)</w:t>
      </w:r>
      <w:r w:rsidRPr="009867C1">
        <w:fldChar w:fldCharType="end"/>
      </w:r>
      <w:r w:rsidRPr="009867C1">
        <w:t xml:space="preserve">). Double-stranded ITS contigs (n=115) had their ITS1 and 2 regions extracted with ITSx </w:t>
      </w:r>
      <w:r w:rsidRPr="009867C1">
        <w:fldChar w:fldCharType="begin"/>
      </w:r>
      <w:r w:rsidR="00AC0205">
        <w:instrText xml:space="preserve"> ADDIN ZOTERO_ITEM CSL_CITATION {"citationID":"EJ76lrJn","properties":{"formattedCitation":"(Bengtsson\\uc0\\u8208{}Palme et al., 2013)","plainCitation":"(Bengtsson‐Palme et al., 2013)","noteIndex":0},"citationItems":[{"id":1445,"uris":["http://zotero.org/users/2189142/items/DL3MG8KX"],"itemData":{"id":1445,"type":"article-journal","abstract":"The nuclear ribosomal internal transcribed spacer (ITS) region is the primary choice for molecular identification of fungi. Its two highly variable spacers (ITS1 and ITS2) are usually species specific, whereas the intercalary 5.8S gene is highly conserved. For sequence clustering and blast searches, it is often advantageous to rely on either one of the variable spacers but not the conserved 5.8S gene. To identify and extract ITS1 and ITS2 from large taxonomic and environmental data sets is, however, often difficult, and many ITS sequences are incorrectly delimited in the public sequence databases. We introduce ITSx, a Perl-based software tool to extract ITS1, 5.8S and ITS2 – as well as full-length ITS sequences – from both Sanger and high-throughput sequencing data sets. ITSx uses hidden Markov models computed from large alignments of a total of 20 groups of eukaryotes, including fungi, metazoans and plants, and the sequence extraction is based on the predicted positions of the ribosomal genes in the sequences. ITSx has a very high proportion of true-positive extractions and a low proportion of false-positive extractions. Additionally, process parallelization permits expedient analyses of very large data sets, such as a one million sequence amplicon pyrosequencing data set. ITSx is rich in features and written to be easily incorporated into automated sequence analysis pipelines. ITSx paves the way for more sensitive blast searches and sequence clustering operations for the ITS region in eukaryotes. The software also permits elimination of non-ITS sequences from any data set. This is particularly useful for amplicon-based next-generation sequencing data sets, where insidious non-target sequences are often found among the target sequences. Such non-target sequences are difficult to find by other means and would contribute noise to diversity estimates if left in the data set.","container-title":"Methods in Ecology and Evolution","DOI":"10.1111/2041-210X.12073","ISSN":"2041-210X","issue":"10","language":"en","page":"914-919","source":"Wiley Online Library","title":"Improved software detection and extraction of ITS1 and ITS2 from ribosomal ITS sequences of fungi and other eukaryotes for analysis of environmental sequencing data","volume":"4","author":[{"family":"Bengtsson‐Palme","given":"Johan"},{"family":"Ryberg","given":"Martin"},{"family":"Hartmann","given":"Martin"},{"family":"Branco","given":"Sara"},{"family":"Wang","given":"Zheng"},{"family":"Godhe","given":"Anna"},{"family":"Wit","given":"Pierre De"},{"family":"Sánchez‐García","given":"Marisol"},{"family":"Ebersberger","given":"Ingo"},{"family":"Sousa","given":"Filipe","dropping-particle":"de"},{"family":"Amend","given":"Anthony"},{"family":"Jumpponen","given":"Ari"},{"family":"Unterseher","given":"Martin"},{"family":"Kristiansson","given":"Erik"},{"family":"Abarenkov","given":"Kessy"},{"family":"Bertrand","given":"Yann J. K."},{"family":"Sanli","given":"Kemal"},{"family":"Eriksson","given":"K. Martin"},{"family":"Vik","given":"Unni"},{"family":"Veldre","given":"Vilmar"},{"family":"Nilsson","given":"R. Henrik"}],"issued":{"date-parts":[["2013",10,1]]},"citation-key":"bengtsson-palme_2013"}}],"schema":"https://github.com/citation-style-language/schema/raw/master/csl-citation.json"} </w:instrText>
      </w:r>
      <w:r w:rsidRPr="009867C1">
        <w:fldChar w:fldCharType="separate"/>
      </w:r>
      <w:r w:rsidR="0042141C" w:rsidRPr="009867C1">
        <w:t>(Bengtsson‐Palme et al., 2013)</w:t>
      </w:r>
      <w:r w:rsidRPr="009867C1">
        <w:fldChar w:fldCharType="end"/>
      </w:r>
      <w:r w:rsidRPr="009867C1">
        <w:t xml:space="preserve"> and these were classified with a Naïve Bayes classifier trained on the UNITE dataset </w:t>
      </w:r>
      <w:r w:rsidRPr="009867C1">
        <w:fldChar w:fldCharType="begin"/>
      </w:r>
      <w:r w:rsidR="00AC0205">
        <w:instrText xml:space="preserve"> ADDIN ZOTERO_ITEM CSL_CITATION {"citationID":"t6ak0uSl","properties":{"formattedCitation":"(Nilsson et al., 2019)","plainCitation":"(Nilsson et al., 2019)","noteIndex":0},"citationItems":[{"id":1961,"uris":["http://zotero.org/users/2189142/items/YZRXTA52"],"itemData":{"id":1961,"type":"article-journal","abstract":"Abstract.  UNITE (https://unite.ut.ee/) is a web-based database and sequence management environment for the molecular identification of fungi. It targets the fo","container-title":"Nucleic Acids Research","DOI":"10.1093/nar/gky1022","ISSN":"0305-1048","issue":"D1","journalAbbreviation":"Nucleic Acids Res","language":"en","note":"publisher: Oxford Academic","page":"D259-D264","source":"academic-oup-com.ezproxy.library.ubc.ca","title":"The UNITE database for molecular identification of fungi: handling dark taxa and parallel taxonomic classifications","title-short":"The UNITE database for molecular identification of fungi","volume":"47","author":[{"family":"Nilsson","given":"Rolf Henrik"},{"family":"Larsson","given":"Karl-Henrik"},{"family":"Taylor","given":"Andy F. S."},{"family":"Bengtsson-Palme","given":"Johan"},{"family":"Jeppesen","given":"Thomas S."},{"family":"Schigel","given":"Dmitry"},{"family":"Kennedy","given":"Peter"},{"family":"Picard","given":"Kathryn"},{"family":"Glöckner","given":"Frank Oliver"},{"family":"Tedersoo","given":"Leho"},{"family":"Saar","given":"Irja"},{"family":"Kõljalg","given":"Urmas"},{"family":"Abarenkov","given":"Kessy"}],"issued":{"date-parts":[["2019",1,8]]},"citation-key":"nilsson_2019"}}],"schema":"https://github.com/citation-style-language/schema/raw/master/csl-citation.json"} </w:instrText>
      </w:r>
      <w:r w:rsidRPr="009867C1">
        <w:fldChar w:fldCharType="separate"/>
      </w:r>
      <w:r w:rsidR="0042141C" w:rsidRPr="009867C1">
        <w:t>(Nilsson et al., 2019)</w:t>
      </w:r>
      <w:r w:rsidRPr="009867C1">
        <w:fldChar w:fldCharType="end"/>
      </w:r>
      <w:r w:rsidRPr="009867C1">
        <w:t xml:space="preserve">. Single stranded reads were used in cases where contigs could not be assembled but where reads were still of sufficient sequencing quality (n=31). Together this permitted identification </w:t>
      </w:r>
      <w:r w:rsidR="00291654">
        <w:t xml:space="preserve">of </w:t>
      </w:r>
      <w:r w:rsidRPr="009867C1">
        <w:t xml:space="preserve">the genus of 137 samples (83%), and the species of 111 samples (67%). The morphological and molecular identifications were manually compared and a consensus identification made for the genus of 164 samples (99%) and the species of 136 samples (82%). These consensus identifications were used for further analysis. Finally, fungal trophic mode and guild was annotated using FunGuild </w:t>
      </w:r>
      <w:r w:rsidRPr="009867C1">
        <w:fldChar w:fldCharType="begin"/>
      </w:r>
      <w:r w:rsidR="00AC0205">
        <w:instrText xml:space="preserve"> ADDIN ZOTERO_ITEM CSL_CITATION {"citationID":"bccZR90K","properties":{"formattedCitation":"(Nguyen et al., 2016)","plainCitation":"(Nguyen et al., 2016)","noteIndex":0},"citationItems":[{"id":287,"uris":["http://zotero.org/users/2189142/items/2LCXHEY3"],"itemData":{"id":287,"type":"article-journal","abstract":"Fungi typically live in highly diverse communities composed of multiple ecological guilds. Although high-throughput sequencing has greatly increased the ability to quantify the diversity of fungi in environmental samples, researchers currently lack a simple and consistent way to sort large sequence pools into ecologically meaningful categories. We address this issue by introducing FUNGuild, a tool that can be used to taxonomically parse fungal OTUs by ecological guild independent of sequencing platform or analysis pipeline. Using a database and an accompanying bioinformatics script, we demonstrate the application of FUNGuild to three high-throughput sequencing datasets from different habitats: forest soils, grassland soils, and decomposing wood. We found that guilds characteristic of each habitat (i.e., saprotrophic and ectomycorrhizal fungi in forest soils, saprotrophic and arbuscular mycorrhizal fungi in grassland soils, saprotrophic, wood decomposer, and plant pathogenic fungi in decomposing wood) were each well represented. The example datasets demonstrate that while we could quickly and efficiently assign a large portion of the data to guilds, another large portion could not be assigned, reflecting the need to expand and improve the database as well as to gain a better understanding of natural history for many described and undescribed fungal species. As a community resource, FUNGuild is dependent on third-party annotation, so we invite researchers to populate it with new categories and records as well as refine those already in existence.","container-title":"Fungal Ecology","DOI":"10.1016/j.funeco.2015.06.006","ISSN":"1754-5048","journalAbbreviation":"Fungal Ecology","page":"241-248","source":"ScienceDirect","title":"FUNGuild: An open annotation tool for parsing fungal community datasets by ecological guild","title-short":"FUNGuild","volume":"20","author":[{"family":"Nguyen","given":"Nhu H."},{"family":"Song","given":"Zewei"},{"family":"Bates","given":"Scott T."},{"family":"Branco","given":"Sara"},{"family":"Tedersoo","given":"Leho"},{"family":"Menke","given":"Jon"},{"family":"Schilling","given":"Jonathan S."},{"family":"Kennedy","given":"Peter G."}],"issued":{"date-parts":[["2016",4,1]]},"citation-key":"nguyen_2016"}}],"schema":"https://github.com/citation-style-language/schema/raw/master/csl-citation.json"} </w:instrText>
      </w:r>
      <w:r w:rsidRPr="009867C1">
        <w:fldChar w:fldCharType="separate"/>
      </w:r>
      <w:r w:rsidR="0042141C" w:rsidRPr="009867C1">
        <w:t>(Nguyen et al., 2016)</w:t>
      </w:r>
      <w:r w:rsidRPr="009867C1">
        <w:fldChar w:fldCharType="end"/>
      </w:r>
      <w:r w:rsidRPr="009867C1">
        <w:t xml:space="preserve">; and exploration type, hydrophobicity, and presence of rhizomorphs assigned manually on a genus level based on the literature </w:t>
      </w:r>
      <w:r w:rsidRPr="009867C1">
        <w:fldChar w:fldCharType="begin"/>
      </w:r>
      <w:r w:rsidR="00AC0205">
        <w:instrText xml:space="preserve"> ADDIN ZOTERO_ITEM CSL_CITATION {"citationID":"yssGfK7B","properties":{"formattedCitation":"(Agerer, 2006; E. A. Hobbie &amp; Agerer, 2009)","plainCitation":"(Agerer, 2006; E. A. Hobbie &amp; Agerer, 2009)","noteIndex":0},"citationItems":[{"id":1933,"uris":["http://zotero.org/users/2189142/items/EKAPEUBK"],"itemData":{"id":1933,"type":"article-journal","abstract":"Aproximately 5,000–6,000 fungal species form ectomyorrhizae (ECM), the symbiotic organs with roots of predominantly trees. The contributing fungi are not evenly distributed over the system of fungi. Within Basidiomycota exclusively Hymenomycetes and within Ascomycota exclusively Ascomycetes contribute to the symbiosis. Hymenomycetes play a big part, Ascomycetes a minor role; Zygomycetes only form exceptionally ECM. Responsible for ascomycetous ECM are mostly Pezizales with their hypogeous derivatives, whereas Boletales, Gomphales, Thelephorales, Amanitaceae, Cantharellaceae, Cortinariaceae, Russulaceae, and Tricholomataceae are the most important ectomycorrhizal relationships within Hymenomycetes. ECM, as transmitting organs between soil and roots, are transporting carbohydrates for growth of mycelium and fruitbodies from roots and have to satisfy the tree’s demand for water and nutrients. The latter task particularly influences the structure of ECM as nutrients are patchily distributed in the soil and saprotrophic as well as ectomycorrhizal fungi can act as strong competitors for nutrients. In focusing these requirements, ECM developed variously structured hyphal sheaths around the roots, the so-called mantles, and differently organized mycelium that emanates from the mantle, the so-called extramatrical mycelium. The mantles can be plectenchymatous consisting of loosely woven, differently arranged hyphae or they are densely packed, forming a pseudoparenchyma similar to the epidermis of leaves. The extramatrical mycelium grows either as simple scattered hyphae from the mantle into the soil or it can be united to undifferentiated rhizomorphs with a small reach or to highly organized root-like organs with vessel-like hyphae for efficient water and nutrient transport from distances of decimeters. Cystidia, sterile and variously shaped hyphal ends, possibly appropriate for preventing animal attack, in addition, can cover mantles and rhizomorphs. Although only a limited number of species could be considered, some general conclusions are possible.","container-title":"Mycological Progress","DOI":"10.1007/s11557-006-0505-x","ISSN":"1861-8952","issue":"2","journalAbbreviation":"Mycol Progress","language":"en","page":"67-107","source":"Springer Link","title":"Fungal relationships and structural identity of their ectomycorrhizae","volume":"5","author":[{"family":"Agerer","given":"Reinhard"}],"issued":{"date-parts":[["2006",6,1]]},"citation-key":"agerer_2006"}},{"id":867,"uris":["http://zotero.org/users/2189142/items/P6PI5GMV"],"itemData":{"id":867,"type":"article-journal","abstract":"Nitrogen isotope values (δ15N) are higher in ectomycorrhizal fungi than in their plant hosts but the wide variability in δ15N among sporocarps of different fungal taxa is unexplained. We propose that fungal δ15N reflects sequestration of fungal nitrogen to build fungal biomass, and should accordingly reflect fungal exploration strategies and hyphal properties. To test this, we compared δ15N to exploration types, hyphal hydrophobicity, and the presence of rhizomorphs in ectomycorrhizal species from surveys at four sites in temperate and boreal coniferous forests. Fungi with exploration types of high biomass, such as long-distance (e.g., Suillus), medium-distance mat (e.g., Hydnellum), and medium-distance fringe (e.g., Cortinarius) were 4–7‰ more enriched in 15N than fungi with exploration types of low biomass [medium-distance smooth (e.g., Amanita), short-distance (e.g., Inocybe), and contact (e.g., Hygrophorus)]. High biomass types comprised 79% (Åheden, northern Sweden), 65% (Deer Park, Pacific Northwest, USA), 45% (Stadsskogen, central Sweden), and 39% (Hoh, Pacific Northwest, USA) of ectomycorrhizal species, with these types more prevalent at sites of lower nitrogen availability. Species with hydrophobic hyphae or with rhizomorphs were 3–4‰ more enriched in 15N than taxa with hydrophilic hyphae or without rhizomorphs. The consistency of these patterns suggest that δ15N measurements could provide insights into belowground functioning of poorly known taxa of ectomycorrhizal fungi and into relative fungal biomass across ectomycorrhizal communities.","container-title":"Plant and Soil","DOI":"10.1007/s11104-009-0032-z","ISSN":"0032-079X, 1573-5036","issue":"1-2","journalAbbreviation":"Plant Soil","language":"en","page":"71-83","source":"link.springer.com.ezproxy.library.ubc.ca","title":"Nitrogen isotopes in ectomycorrhizal sporocarps correspond to belowground exploration types","volume":"327","author":[{"family":"Hobbie","given":"Erik A."},{"family":"Agerer","given":"Reinhard"}],"issued":{"date-parts":[["2009",6,16]]},"citation-key":"hobbie_2009"}}],"schema":"https://github.com/citation-style-language/schema/raw/master/csl-citation.json"} </w:instrText>
      </w:r>
      <w:r w:rsidRPr="009867C1">
        <w:fldChar w:fldCharType="separate"/>
      </w:r>
      <w:r w:rsidR="0042141C" w:rsidRPr="009867C1">
        <w:t>(Agerer, 2006; E. A. Hobbie &amp; Agerer, 2009)</w:t>
      </w:r>
      <w:r w:rsidRPr="009867C1">
        <w:fldChar w:fldCharType="end"/>
      </w:r>
      <w:r w:rsidRPr="009867C1">
        <w:t>.</w:t>
      </w:r>
      <w:r w:rsidR="008314BD">
        <w:t xml:space="preserve"> </w:t>
      </w:r>
    </w:p>
    <w:p w14:paraId="6FD662B5" w14:textId="77777777" w:rsidR="00D80E10" w:rsidRPr="009867C1" w:rsidRDefault="00D80E10" w:rsidP="00D80E10">
      <w:r w:rsidRPr="009867C1">
        <w:rPr>
          <w:b/>
        </w:rPr>
        <w:t>Isotope analysis</w:t>
      </w:r>
      <w:r w:rsidRPr="009867C1">
        <w:t xml:space="preserve">: </w:t>
      </w:r>
    </w:p>
    <w:p w14:paraId="0E959D90" w14:textId="77777777" w:rsidR="00D80E10" w:rsidRPr="009867C1" w:rsidRDefault="00D80E10" w:rsidP="008E6662">
      <w:pPr>
        <w:ind w:firstLine="720"/>
      </w:pPr>
      <w:r w:rsidRPr="009867C1">
        <w:t>Samples were lyophilized and ground by hand with mortar and pestle using liquid N</w:t>
      </w:r>
      <w:r w:rsidRPr="009867C1">
        <w:rPr>
          <w:vertAlign w:val="subscript"/>
        </w:rPr>
        <w:t>2</w:t>
      </w:r>
      <w:r w:rsidRPr="009867C1">
        <w:t xml:space="preserve">. They were weighed into tin cups and analyzed in an Elementar Vario EL Cube Elemental Analyzer (EA) and Isoprime Isotope Ratio Mass Spectrometer (IRMS) at the UBC Forestry Stable Isotope Facility. In all samples, %N, %C, </w:t>
      </w:r>
      <w:r w:rsidRPr="009867C1">
        <w:rPr>
          <w:vertAlign w:val="superscript"/>
        </w:rPr>
        <w:t>15</w:t>
      </w:r>
      <w:r w:rsidRPr="009867C1">
        <w:t xml:space="preserve">N and </w:t>
      </w:r>
      <w:r w:rsidRPr="009867C1">
        <w:rPr>
          <w:vertAlign w:val="superscript"/>
        </w:rPr>
        <w:t>13</w:t>
      </w:r>
      <w:r w:rsidRPr="009867C1">
        <w:t xml:space="preserve">C were measured; however, in soil samples low C:N ratios interfered with accurate </w:t>
      </w:r>
      <w:r w:rsidRPr="009867C1">
        <w:rPr>
          <w:vertAlign w:val="superscript"/>
        </w:rPr>
        <w:t>13</w:t>
      </w:r>
      <w:r w:rsidRPr="009867C1">
        <w:t xml:space="preserve">C measurement and this measure was excluded from analysis. </w:t>
      </w:r>
    </w:p>
    <w:p w14:paraId="1CCA4EB1" w14:textId="77777777" w:rsidR="00D80E10" w:rsidRPr="009867C1" w:rsidRDefault="00D80E10" w:rsidP="00D80E10">
      <w:pPr>
        <w:rPr>
          <w:b/>
        </w:rPr>
      </w:pPr>
      <w:r w:rsidRPr="009867C1">
        <w:rPr>
          <w:b/>
        </w:rPr>
        <w:t>Vegetation isotope data:</w:t>
      </w:r>
    </w:p>
    <w:p w14:paraId="1839AAAE" w14:textId="513895F6" w:rsidR="00D80E10" w:rsidRPr="009867C1" w:rsidRDefault="00D80E10" w:rsidP="008E6662">
      <w:pPr>
        <w:ind w:firstLine="720"/>
      </w:pPr>
      <w:r w:rsidRPr="009867C1">
        <w:t xml:space="preserve">Plant isotope data was contributed by Dr. Morgan Hocking </w:t>
      </w:r>
      <w:r w:rsidRPr="009867C1">
        <w:fldChar w:fldCharType="begin"/>
      </w:r>
      <w:r w:rsidR="00AC0205">
        <w:instrText xml:space="preserve"> ADDIN ZOTERO_ITEM CSL_CITATION {"citationID":"QaGda8RE","properties":{"formattedCitation":"(Hocking &amp; Reynolds, 2011)","plainCitation":"(Hocking &amp; Reynolds, 2011)","noteIndex":0},"citationItems":[{"id":550,"uris":["http://zotero.org/users/2189142/items/JR362H46"],"itemData":{"id":550,"type":"article-journal","abstract":"The study of natural gradients in nutrient subsidies between ecosystems allows for predictions of how changes in one system can affect biodiversity in another. We performed a large-scale empirical test of the role of Pacific salmon (Oncorhynchus spp.) in structuring riparian plant communities. A comparison of 50 watersheds in the remote Great Bear Rainforest of British Columbia’s central coast in Canada shows that salmon influence nutrient loading to plants, shifting plant communities toward nutrient-rich species, which in turn decreases plant diversity. These effects are mediated by interactions between salmon density and the physical characteristics of watersheds. Predicting how salmon affect terrestrial ecosystems is central to conservation plans that aim to better integrate ecosystem values into resource management.","container-title":"Science","DOI":"10.1126/science.1201079","ISSN":"0036-8075, 1095-9203","issue":"6024","journalAbbreviation":"Science","language":"en","note":"PMID: 21442794","page":"1609-1612","source":"www.sciencemag.org.ezproxy.library.ubc.ca","title":"Impacts of Salmon on Riparian Plant Diversity","volume":"331","author":[{"family":"Hocking","given":"Morgan D."},{"family":"Reynolds","given":"John D."}],"issued":{"date-parts":[["2011",3,25]]},"citation-key":"hocking_2011"}}],"schema":"https://github.com/citation-style-language/schema/raw/master/csl-citation.json"} </w:instrText>
      </w:r>
      <w:r w:rsidRPr="009867C1">
        <w:fldChar w:fldCharType="separate"/>
      </w:r>
      <w:r w:rsidR="0042141C" w:rsidRPr="009867C1">
        <w:t>(Hocking &amp; Reynolds, 2011)</w:t>
      </w:r>
      <w:r w:rsidRPr="009867C1">
        <w:fldChar w:fldCharType="end"/>
      </w:r>
      <w:r w:rsidRPr="009867C1">
        <w:t xml:space="preserve"> and included two ericoid mycorrhizal species, false azalea (</w:t>
      </w:r>
      <w:r w:rsidRPr="009867C1">
        <w:rPr>
          <w:i/>
        </w:rPr>
        <w:t>Rhododendron menziesii</w:t>
      </w:r>
      <w:r w:rsidRPr="009867C1">
        <w:t>) and red huckleberry (</w:t>
      </w:r>
      <w:r w:rsidRPr="009867C1">
        <w:rPr>
          <w:i/>
        </w:rPr>
        <w:t>Vaccinium parvifolium</w:t>
      </w:r>
      <w:r w:rsidRPr="009867C1">
        <w:t>), and two arbuscular mycorrhizal species, false-lily-of-the-valley (</w:t>
      </w:r>
      <w:r w:rsidRPr="009867C1">
        <w:rPr>
          <w:i/>
        </w:rPr>
        <w:t>Maianthemum dilatatum</w:t>
      </w:r>
      <w:r w:rsidRPr="009867C1">
        <w:t>) and salmonberry (</w:t>
      </w:r>
      <w:r w:rsidRPr="009867C1">
        <w:rPr>
          <w:i/>
        </w:rPr>
        <w:t>Rubus spectabilis</w:t>
      </w:r>
      <w:r w:rsidRPr="009867C1">
        <w:t xml:space="preserve">). Where possible, they were matched by watershed to the data collected here (11/16 matching sites). </w:t>
      </w:r>
    </w:p>
    <w:p w14:paraId="77558889" w14:textId="77777777" w:rsidR="00D80E10" w:rsidRPr="009867C1" w:rsidRDefault="00D80E10" w:rsidP="00D80E10">
      <w:pPr>
        <w:rPr>
          <w:b/>
        </w:rPr>
      </w:pPr>
      <w:r w:rsidRPr="009867C1">
        <w:rPr>
          <w:b/>
        </w:rPr>
        <w:t>Annual fish data:</w:t>
      </w:r>
    </w:p>
    <w:p w14:paraId="2763D9DF" w14:textId="61C69760" w:rsidR="00D80E10" w:rsidRPr="009867C1" w:rsidRDefault="00D80E10" w:rsidP="008E6662">
      <w:pPr>
        <w:ind w:firstLine="720"/>
      </w:pPr>
      <w:r w:rsidRPr="009867C1">
        <w:t xml:space="preserve">Fish counts were contributed by the Reynolds lab and Heiltsuk </w:t>
      </w:r>
      <w:r w:rsidR="00CD1F99">
        <w:t>N</w:t>
      </w:r>
      <w:r w:rsidRPr="009867C1">
        <w:t xml:space="preserve">ation </w:t>
      </w:r>
      <w:r w:rsidRPr="00CD1F99">
        <w:t xml:space="preserve">(Appendix </w:t>
      </w:r>
      <w:r w:rsidRPr="009867C1">
        <w:t xml:space="preserve">B). Salmon counts were made on a watershed level and salmon density data was calculated using the average salmon count of the three years prior to collection (2014 - 2016). This average count was multiplied by the average biomass of each salmon species and divided by the length of salmon-accessible stream reach to give an index of salmon density per meter of stream reach (following the methodology of </w:t>
      </w:r>
      <w:r w:rsidRPr="009867C1">
        <w:fldChar w:fldCharType="begin"/>
      </w:r>
      <w:r w:rsidR="00AC0205">
        <w:instrText xml:space="preserve"> ADDIN ZOTERO_ITEM CSL_CITATION {"citationID":"l7r2FBoo","properties":{"formattedCitation":"(Hocking &amp; Reynolds, 2011; Wagner &amp; Reynolds, 2019)","plainCitation":"(Hocking &amp; Reynolds, 2011; Wagner &amp; Reynolds, 2019)","dontUpdate":true,"noteIndex":0},"citationItems":[{"id":550,"uris":["http://zotero.org/users/2189142/items/JR362H46"],"itemData":{"id":550,"type":"article-journal","abstract":"The study of natural gradients in nutrient subsidies between ecosystems allows for predictions of how changes in one system can affect biodiversity in another. We performed a large-scale empirical test of the role of Pacific salmon (Oncorhynchus spp.) in structuring riparian plant communities. A comparison of 50 watersheds in the remote Great Bear Rainforest of British Columbia’s central coast in Canada shows that salmon influence nutrient loading to plants, shifting plant communities toward nutrient-rich species, which in turn decreases plant diversity. These effects are mediated by interactions between salmon density and the physical characteristics of watersheds. Predicting how salmon affect terrestrial ecosystems is central to conservation plans that aim to better integrate ecosystem values into resource management.","container-title":"Science","DOI":"10.1126/science.1201079","ISSN":"0036-8075, 1095-9203","issue":"6024","journalAbbreviation":"Science","language":"en","note":"PMID: 21442794","page":"1609-1612","source":"www.sciencemag.org.ezproxy.library.ubc.ca","title":"Impacts of Salmon on Riparian Plant Diversity","volume":"331","author":[{"family":"Hocking","given":"Morgan D."},{"family":"Reynolds","given":"John D."}],"issued":{"date-parts":[["2011",3,25]]},"citation-key":"hocking_2011"}},{"id":1850,"uris":["http://zotero.org/users/2189142/items/AHUMBHEI"],"itemData":{"id":1850,"type":"article-journal","abstract":"Resource subsidies across ecosystems can have strong and unforeseen ecological impacts. Marine-derived nutrients from Pacific salmon (Onchorhycus spp.) can be transferred to streams and riparian forests through diverse food web pathways, fertilizing forests and increasing invertebrate abundance, which may in turn affect breeding birds. We quantified the influence of salmon on the abundance and composition of songbird communities across a wide range of salmon-spawning biomass on 14 streams along a remote coastal region of British Columbia, Canada. Point-count data spanning two years were combined with salmon biomass and 13 environmental covariates in riparian forests to test for correlates with bird abundance, foraging guilds, individual species, and avian diversity. We show that bird abundance and diversity increase with salmon biomass and that watershed size and forest composition are less important predictors. This work provides new evidence for the importance of salmon to terrestrial ecosystems and information that can inform ecosystem-based management.","container-title":"PLOS ONE","DOI":"10.1371/journal.pone.0210031","ISSN":"1932-6203","issue":"2","journalAbbreviation":"PLOS ONE","language":"en","page":"e0210031","source":"PLoS Journals","title":"Salmon increase forest bird abundance and diversity","volume":"14","author":[{"family":"Wagner","given":"Marlene A."},{"family":"Reynolds","given":"John D."}],"issued":{"date-parts":[["2019",2,6]]},"citation-key":"wagner_2019"}}],"schema":"https://github.com/citation-style-language/schema/raw/master/csl-citation.json"} </w:instrText>
      </w:r>
      <w:r w:rsidRPr="009867C1">
        <w:fldChar w:fldCharType="separate"/>
      </w:r>
      <w:r w:rsidR="0042141C" w:rsidRPr="009867C1">
        <w:t>Hocking &amp; Reynolds, 2011</w:t>
      </w:r>
      <w:r w:rsidR="00291654">
        <w:t xml:space="preserve"> and</w:t>
      </w:r>
      <w:r w:rsidR="0042141C" w:rsidRPr="009867C1">
        <w:t xml:space="preserve"> Wagner &amp; Reynolds, 2019</w:t>
      </w:r>
      <w:r w:rsidRPr="009867C1">
        <w:fldChar w:fldCharType="end"/>
      </w:r>
      <w:r w:rsidRPr="009867C1">
        <w:t>). Salmon species were primarily chum (</w:t>
      </w:r>
      <w:r w:rsidRPr="009867C1">
        <w:rPr>
          <w:i/>
        </w:rPr>
        <w:t>Oncorhynchus keta</w:t>
      </w:r>
      <w:r w:rsidRPr="009867C1">
        <w:t>) and pink (</w:t>
      </w:r>
      <w:r w:rsidRPr="009867C1">
        <w:rPr>
          <w:i/>
        </w:rPr>
        <w:t>O. gorbuscha</w:t>
      </w:r>
      <w:r w:rsidRPr="009867C1">
        <w:t xml:space="preserve">), and densities ranged from 0 to 28 kg/salmon per meter of stream reach per year. </w:t>
      </w:r>
    </w:p>
    <w:p w14:paraId="3CA9FB48" w14:textId="77777777" w:rsidR="00D80E10" w:rsidRPr="009867C1" w:rsidRDefault="00D80E10" w:rsidP="00D80E10">
      <w:pPr>
        <w:rPr>
          <w:b/>
        </w:rPr>
      </w:pPr>
      <w:r w:rsidRPr="009867C1">
        <w:rPr>
          <w:b/>
        </w:rPr>
        <w:t>Vegetation PCAs:</w:t>
      </w:r>
    </w:p>
    <w:p w14:paraId="6019C6A1" w14:textId="23643439" w:rsidR="00D80E10" w:rsidRPr="009867C1" w:rsidRDefault="00D80E10" w:rsidP="008E6662">
      <w:pPr>
        <w:ind w:firstLine="720"/>
      </w:pPr>
      <w:r w:rsidRPr="009867C1">
        <w:t>PCAs</w:t>
      </w:r>
      <w:r w:rsidRPr="009867C1">
        <w:rPr>
          <w:b/>
        </w:rPr>
        <w:t xml:space="preserve"> </w:t>
      </w:r>
      <w:r w:rsidRPr="009867C1">
        <w:t xml:space="preserve">were built from plant percent cover surveys around each mushroom-litter-soil sampling point </w:t>
      </w:r>
      <w:r w:rsidRPr="0045499A">
        <w:t>(Appendix C</w:t>
      </w:r>
      <w:r w:rsidRPr="009867C1">
        <w:t>). Four vegetation layers were examined: mosses, herbs, shrubs, and trees. Percent variation explained and loading interpretation for the first two PCA axes of each layer are: 1.) moss: PC1 42% variance explained, positive - Lanky moss (</w:t>
      </w:r>
      <w:r w:rsidRPr="009867C1">
        <w:rPr>
          <w:i/>
        </w:rPr>
        <w:t>Rhytidiadelphus loreus</w:t>
      </w:r>
      <w:r w:rsidRPr="009867C1">
        <w:t>); PC2 25% variance explained, negative - step moss (</w:t>
      </w:r>
      <w:r w:rsidRPr="009867C1">
        <w:rPr>
          <w:i/>
        </w:rPr>
        <w:t>Hylocomium splendens</w:t>
      </w:r>
      <w:r w:rsidRPr="009867C1">
        <w:t>); 2.) herbs: PC1 35.5% variance explained, positive - deer fern (</w:t>
      </w:r>
      <w:r w:rsidRPr="009867C1">
        <w:rPr>
          <w:i/>
        </w:rPr>
        <w:t>Struthiopteris spicant</w:t>
      </w:r>
      <w:r w:rsidRPr="009867C1">
        <w:t>), negative – spiny wood fern (</w:t>
      </w:r>
      <w:r w:rsidRPr="009867C1">
        <w:rPr>
          <w:i/>
        </w:rPr>
        <w:t>Dryopteris expansa</w:t>
      </w:r>
      <w:r w:rsidRPr="009867C1">
        <w:rPr>
          <w:iCs/>
        </w:rPr>
        <w:t>)</w:t>
      </w:r>
      <w:r w:rsidRPr="009867C1">
        <w:t>; PC2 29% variance explained, positive – spiny wood fern and deer fern, negative – bunchberry (</w:t>
      </w:r>
      <w:r w:rsidRPr="009867C1">
        <w:rPr>
          <w:i/>
          <w:iCs/>
        </w:rPr>
        <w:t>Cornus canadensis</w:t>
      </w:r>
      <w:r w:rsidRPr="009867C1">
        <w:t>); 3.) shrubs: PC1 34.7% variance explained, positive – Alaskan blueberry (</w:t>
      </w:r>
      <w:r w:rsidRPr="009867C1">
        <w:rPr>
          <w:i/>
          <w:iCs/>
        </w:rPr>
        <w:t>Vaccinium alaskansae</w:t>
      </w:r>
      <w:r w:rsidRPr="009867C1">
        <w:t>); PC2 27.6% of variation, positive - salal (</w:t>
      </w:r>
      <w:r w:rsidRPr="009867C1">
        <w:rPr>
          <w:i/>
          <w:iCs/>
        </w:rPr>
        <w:t>Gaultheria shallon</w:t>
      </w:r>
      <w:r w:rsidRPr="009867C1">
        <w:t>) and false azalea (</w:t>
      </w:r>
      <w:r w:rsidRPr="009867C1">
        <w:rPr>
          <w:i/>
        </w:rPr>
        <w:t>Rhododendron menziesii</w:t>
      </w:r>
      <w:r w:rsidRPr="009867C1">
        <w:t>), and negative - salmonberry (</w:t>
      </w:r>
      <w:r w:rsidRPr="009867C1">
        <w:rPr>
          <w:i/>
          <w:iCs/>
        </w:rPr>
        <w:t>Rubus spectabilis</w:t>
      </w:r>
      <w:r w:rsidRPr="009867C1">
        <w:t>). 4.) trees: PC1 56% variance explained, positive – Sitka spruce (</w:t>
      </w:r>
      <w:r w:rsidRPr="009867C1">
        <w:rPr>
          <w:i/>
        </w:rPr>
        <w:t>Picea sitchensis</w:t>
      </w:r>
      <w:r w:rsidRPr="009867C1">
        <w:t xml:space="preserve">), negative - </w:t>
      </w:r>
      <w:r w:rsidR="0045499A">
        <w:t>w</w:t>
      </w:r>
      <w:r w:rsidRPr="009867C1">
        <w:t>estern hemlock (</w:t>
      </w:r>
      <w:r w:rsidRPr="009867C1">
        <w:rPr>
          <w:i/>
        </w:rPr>
        <w:t>Tsuga heterophylla</w:t>
      </w:r>
      <w:r w:rsidRPr="009867C1">
        <w:t>); PC2 22.6% variance explained, positive – Amabilis fir (</w:t>
      </w:r>
      <w:r w:rsidRPr="009867C1">
        <w:rPr>
          <w:i/>
          <w:iCs/>
        </w:rPr>
        <w:t>Abies amabilis</w:t>
      </w:r>
      <w:r w:rsidRPr="009867C1">
        <w:t xml:space="preserve">); negative – </w:t>
      </w:r>
      <w:r w:rsidR="0045499A">
        <w:t>w</w:t>
      </w:r>
      <w:r w:rsidRPr="009867C1">
        <w:t>estern red</w:t>
      </w:r>
      <w:r w:rsidR="0045499A">
        <w:t>-</w:t>
      </w:r>
      <w:r w:rsidRPr="009867C1">
        <w:t>cedar (</w:t>
      </w:r>
      <w:r w:rsidRPr="009867C1">
        <w:rPr>
          <w:i/>
          <w:iCs/>
        </w:rPr>
        <w:t>Thuja plicata</w:t>
      </w:r>
      <w:r w:rsidRPr="009867C1">
        <w:t>).</w:t>
      </w:r>
    </w:p>
    <w:p w14:paraId="57E607A5" w14:textId="77777777" w:rsidR="00D80E10" w:rsidRPr="009867C1" w:rsidRDefault="00D80E10" w:rsidP="00D80E10">
      <w:r w:rsidRPr="009867C1">
        <w:rPr>
          <w:b/>
        </w:rPr>
        <w:t>Statistical Analysis</w:t>
      </w:r>
      <w:r w:rsidRPr="009867C1">
        <w:t xml:space="preserve">: </w:t>
      </w:r>
    </w:p>
    <w:p w14:paraId="2EC03A21" w14:textId="60BA84C7" w:rsidR="00D80E10" w:rsidRPr="009867C1" w:rsidRDefault="00D80E10" w:rsidP="008E6662">
      <w:pPr>
        <w:ind w:firstLine="720"/>
      </w:pPr>
      <w:r w:rsidRPr="009867C1">
        <w:t>Response variables were mushroom, litter, soil and vegetation δ</w:t>
      </w:r>
      <w:r w:rsidRPr="009867C1">
        <w:rPr>
          <w:vertAlign w:val="superscript"/>
        </w:rPr>
        <w:t>15</w:t>
      </w:r>
      <w:r w:rsidRPr="009867C1">
        <w:t>N, %N, δ</w:t>
      </w:r>
      <w:r w:rsidRPr="009867C1">
        <w:rPr>
          <w:vertAlign w:val="superscript"/>
        </w:rPr>
        <w:t>13</w:t>
      </w:r>
      <w:r w:rsidRPr="009867C1">
        <w:t>C, %C and C:N ratios. Explanatory variables measured for the sporocarp samples included salmon density; the first axis of moss, herb, shrub and tree PCAs; distance to stream; the species of the nearest large tree (red alder (</w:t>
      </w:r>
      <w:r w:rsidRPr="009867C1">
        <w:rPr>
          <w:i/>
          <w:iCs/>
        </w:rPr>
        <w:t>Alnus rubra</w:t>
      </w:r>
      <w:r w:rsidRPr="009867C1">
        <w:t>), western hemlock, Sitka spruce, Amabilis fir, or western red</w:t>
      </w:r>
      <w:r w:rsidR="008314BD">
        <w:t>-</w:t>
      </w:r>
      <w:r w:rsidRPr="009867C1">
        <w:t>cedar); and mushroom genus. Since the vegetation data lacked the suite of covariates measured in the sporocarp, litter, and soil data, simple linear models were constructed with the equation:</w:t>
      </w:r>
    </w:p>
    <w:bookmarkStart w:id="104" w:name="_Hlk73895962"/>
    <w:p w14:paraId="1F82E120" w14:textId="77777777" w:rsidR="00D80E10" w:rsidRPr="009867C1" w:rsidRDefault="00557CA9" w:rsidP="00D80E10">
      <w:pPr>
        <w:jc w:val="center"/>
        <w:rPr>
          <w:rFonts w:eastAsiaTheme="minorEastAsia"/>
        </w:rPr>
      </w:pPr>
      <m:oMath>
        <m:d>
          <m:dPr>
            <m:ctrlPr>
              <w:rPr>
                <w:rFonts w:ascii="Cambria Math" w:hAnsi="Cambria Math"/>
                <w:i/>
              </w:rPr>
            </m:ctrlPr>
          </m:dPr>
          <m:e>
            <m:r>
              <w:rPr>
                <w:rFonts w:ascii="Cambria Math" w:hAnsi="Cambria Math"/>
              </w:rPr>
              <m:t>response variable</m:t>
            </m:r>
          </m:e>
        </m:d>
        <m:r>
          <w:rPr>
            <w:rFonts w:ascii="Cambria Math" w:hAnsi="Cambria Math"/>
          </w:rPr>
          <m:t xml:space="preserve">~ </m:t>
        </m:r>
        <m:d>
          <m:dPr>
            <m:ctrlPr>
              <w:rPr>
                <w:rFonts w:ascii="Cambria Math" w:hAnsi="Cambria Math"/>
                <w:i/>
              </w:rPr>
            </m:ctrlPr>
          </m:dPr>
          <m:e>
            <m:r>
              <w:rPr>
                <w:rFonts w:ascii="Cambria Math" w:hAnsi="Cambria Math"/>
              </w:rPr>
              <m:t>salmon density</m:t>
            </m:r>
          </m:e>
        </m:d>
        <m:r>
          <w:rPr>
            <w:rFonts w:ascii="Cambria Math" w:hAnsi="Cambria Math"/>
          </w:rPr>
          <m:t>*(sample type)</m:t>
        </m:r>
      </m:oMath>
      <w:r w:rsidR="00D80E10" w:rsidRPr="009867C1">
        <w:rPr>
          <w:rFonts w:eastAsiaTheme="minorEastAsia"/>
        </w:rPr>
        <w:t>.</w:t>
      </w:r>
    </w:p>
    <w:bookmarkEnd w:id="104"/>
    <w:p w14:paraId="7B0359FE" w14:textId="678B6177" w:rsidR="00D80E10" w:rsidRPr="009867C1" w:rsidRDefault="00D80E10" w:rsidP="00D80E10">
      <w:pPr>
        <w:rPr>
          <w:rFonts w:eastAsiaTheme="minorEastAsia"/>
        </w:rPr>
      </w:pPr>
      <w:r w:rsidRPr="009867C1">
        <w:rPr>
          <w:rFonts w:eastAsiaTheme="minorEastAsia"/>
        </w:rPr>
        <w:t xml:space="preserve">Intercepts and slopes were compared using the R package </w:t>
      </w:r>
      <w:r w:rsidRPr="009867C1">
        <w:rPr>
          <w:rFonts w:eastAsiaTheme="minorEastAsia"/>
          <w:i/>
          <w:iCs/>
        </w:rPr>
        <w:t>Emmeans</w:t>
      </w:r>
      <w:r w:rsidRPr="009867C1">
        <w:rPr>
          <w:rFonts w:eastAsiaTheme="minorEastAsia"/>
        </w:rPr>
        <w:t xml:space="preserve"> </w:t>
      </w:r>
      <w:r w:rsidRPr="009867C1">
        <w:rPr>
          <w:rFonts w:eastAsiaTheme="minorEastAsia"/>
        </w:rPr>
        <w:fldChar w:fldCharType="begin"/>
      </w:r>
      <w:r w:rsidR="00AC0205">
        <w:rPr>
          <w:rFonts w:eastAsiaTheme="minorEastAsia"/>
        </w:rPr>
        <w:instrText xml:space="preserve"> ADDIN ZOTERO_ITEM CSL_CITATION {"citationID":"xX2b98eQ","properties":{"formattedCitation":"(Lenth, 2020)","plainCitation":"(Lenth, 2020)","noteIndex":0},"citationItems":[{"id":2613,"uris":["http://zotero.org/users/2189142/items/S7XEUJL6"],"itemData":{"id":2613,"type":"book","title":"emmeans: Estimated Marginal Means, aka Least-Squares Means","URL":"https://CRAN.R-project.org/package=emmeans","author":[{"family":"Lenth","given":"Russell"}],"issued":{"date-parts":[["2020"]]},"citation-key":"lenth_2020"}}],"schema":"https://github.com/citation-style-language/schema/raw/master/csl-citation.json"} </w:instrText>
      </w:r>
      <w:r w:rsidRPr="009867C1">
        <w:rPr>
          <w:rFonts w:eastAsiaTheme="minorEastAsia"/>
        </w:rPr>
        <w:fldChar w:fldCharType="separate"/>
      </w:r>
      <w:r w:rsidR="0042141C" w:rsidRPr="009867C1">
        <w:t>(Lenth, 2020)</w:t>
      </w:r>
      <w:r w:rsidRPr="009867C1">
        <w:rPr>
          <w:rFonts w:eastAsiaTheme="minorEastAsia"/>
        </w:rPr>
        <w:fldChar w:fldCharType="end"/>
      </w:r>
      <w:r w:rsidRPr="009867C1">
        <w:rPr>
          <w:rFonts w:eastAsiaTheme="minorEastAsia"/>
        </w:rPr>
        <w:t xml:space="preserve">, plotted with </w:t>
      </w:r>
      <w:r w:rsidRPr="009867C1">
        <w:rPr>
          <w:rFonts w:eastAsiaTheme="minorEastAsia"/>
          <w:i/>
          <w:iCs/>
        </w:rPr>
        <w:t>ggplot2</w:t>
      </w:r>
      <w:r w:rsidRPr="009867C1">
        <w:rPr>
          <w:rFonts w:eastAsiaTheme="minorEastAsia"/>
        </w:rPr>
        <w:t xml:space="preserve"> </w:t>
      </w:r>
      <w:r w:rsidRPr="009867C1">
        <w:rPr>
          <w:rFonts w:eastAsiaTheme="minorEastAsia"/>
        </w:rPr>
        <w:fldChar w:fldCharType="begin"/>
      </w:r>
      <w:r w:rsidR="00AC0205">
        <w:rPr>
          <w:rFonts w:eastAsiaTheme="minorEastAsia"/>
        </w:rPr>
        <w:instrText xml:space="preserve"> ADDIN ZOTERO_ITEM CSL_CITATION {"citationID":"bbeHVcTz","properties":{"formattedCitation":"(Wickham, 2016)","plainCitation":"(Wickham, 2016)","noteIndex":0},"citationItems":[{"id":10004,"uris":["http://zotero.org/users/2189142/items/H4NCVVI3"],"itemData":{"id":10004,"type":"book","ISBN":"978-3-319-24277-4","publisher":"Springer-Verlag New York","title":"ggplot2: Elegant Graphics for Data Analysis","URL":"https://ggplot2.tidyverse.org","author":[{"family":"Wickham","given":"Hadley"}],"issued":{"date-parts":[["2016"]]},"citation-key":"wickham_2016"}}],"schema":"https://github.com/citation-style-language/schema/raw/master/csl-citation.json"} </w:instrText>
      </w:r>
      <w:r w:rsidRPr="009867C1">
        <w:rPr>
          <w:rFonts w:eastAsiaTheme="minorEastAsia"/>
        </w:rPr>
        <w:fldChar w:fldCharType="separate"/>
      </w:r>
      <w:r w:rsidR="0042141C" w:rsidRPr="009867C1">
        <w:t>(Wickham, 2016)</w:t>
      </w:r>
      <w:r w:rsidRPr="009867C1">
        <w:rPr>
          <w:rFonts w:eastAsiaTheme="minorEastAsia"/>
        </w:rPr>
        <w:fldChar w:fldCharType="end"/>
      </w:r>
      <w:r w:rsidRPr="009867C1">
        <w:rPr>
          <w:rFonts w:eastAsiaTheme="minorEastAsia"/>
        </w:rPr>
        <w:t xml:space="preserve"> (</w:t>
      </w:r>
      <w:r w:rsidRPr="009867C1">
        <w:rPr>
          <w:rFonts w:eastAsiaTheme="minorEastAsia"/>
        </w:rPr>
        <w:fldChar w:fldCharType="begin"/>
      </w:r>
      <w:r w:rsidRPr="009867C1">
        <w:rPr>
          <w:rFonts w:eastAsiaTheme="minorEastAsia"/>
        </w:rPr>
        <w:instrText xml:space="preserve"> REF _Ref49955967 \h </w:instrText>
      </w:r>
      <w:r w:rsidR="009867C1">
        <w:rPr>
          <w:rFonts w:eastAsiaTheme="minorEastAsia"/>
        </w:rPr>
        <w:instrText xml:space="preserve"> \* MERGEFORMAT </w:instrText>
      </w:r>
      <w:r w:rsidRPr="009867C1">
        <w:rPr>
          <w:rFonts w:eastAsiaTheme="minorEastAsia"/>
        </w:rPr>
      </w:r>
      <w:r w:rsidRPr="009867C1">
        <w:rPr>
          <w:rFonts w:eastAsiaTheme="minorEastAsia"/>
        </w:rPr>
        <w:fldChar w:fldCharType="separate"/>
      </w:r>
      <w:r w:rsidR="000667DB" w:rsidRPr="009867C1">
        <w:t xml:space="preserve">Figure </w:t>
      </w:r>
      <w:r w:rsidR="000667DB">
        <w:rPr>
          <w:noProof/>
        </w:rPr>
        <w:t>3</w:t>
      </w:r>
      <w:r w:rsidR="000667DB">
        <w:rPr>
          <w:noProof/>
        </w:rPr>
        <w:noBreakHyphen/>
        <w:t>2</w:t>
      </w:r>
      <w:r w:rsidRPr="009867C1">
        <w:rPr>
          <w:rFonts w:eastAsiaTheme="minorEastAsia"/>
        </w:rPr>
        <w:fldChar w:fldCharType="end"/>
      </w:r>
      <w:r w:rsidRPr="009867C1">
        <w:rPr>
          <w:rFonts w:eastAsiaTheme="minorEastAsia"/>
        </w:rPr>
        <w:t>) and regression anova-like tables for slopes, intercepts, and interaction terms constructed (</w:t>
      </w:r>
      <w:r w:rsidRPr="009867C1">
        <w:rPr>
          <w:rFonts w:eastAsiaTheme="minorEastAsia"/>
        </w:rPr>
        <w:fldChar w:fldCharType="begin"/>
      </w:r>
      <w:r w:rsidRPr="009867C1">
        <w:rPr>
          <w:rFonts w:eastAsiaTheme="minorEastAsia"/>
        </w:rPr>
        <w:instrText xml:space="preserve"> REF _Ref67938725 \h </w:instrText>
      </w:r>
      <w:r w:rsidR="009867C1">
        <w:rPr>
          <w:rFonts w:eastAsiaTheme="minorEastAsia"/>
        </w:rPr>
        <w:instrText xml:space="preserve"> \* MERGEFORMAT </w:instrText>
      </w:r>
      <w:r w:rsidRPr="009867C1">
        <w:rPr>
          <w:rFonts w:eastAsiaTheme="minorEastAsia"/>
        </w:rPr>
      </w:r>
      <w:r w:rsidRPr="009867C1">
        <w:rPr>
          <w:rFonts w:eastAsiaTheme="minorEastAsia"/>
        </w:rPr>
        <w:fldChar w:fldCharType="separate"/>
      </w:r>
      <w:r w:rsidR="000667DB" w:rsidRPr="009867C1">
        <w:t xml:space="preserve">Table </w:t>
      </w:r>
      <w:r w:rsidR="000667DB">
        <w:rPr>
          <w:noProof/>
        </w:rPr>
        <w:t>3</w:t>
      </w:r>
      <w:r w:rsidR="000667DB">
        <w:rPr>
          <w:noProof/>
        </w:rPr>
        <w:noBreakHyphen/>
        <w:t>1</w:t>
      </w:r>
      <w:r w:rsidRPr="009867C1">
        <w:rPr>
          <w:rFonts w:eastAsiaTheme="minorEastAsia"/>
        </w:rPr>
        <w:fldChar w:fldCharType="end"/>
      </w:r>
      <w:r w:rsidRPr="009867C1">
        <w:rPr>
          <w:rFonts w:eastAsiaTheme="minorEastAsia"/>
        </w:rPr>
        <w:t>) and pairwise comparisons made of slopes and intercepts (</w:t>
      </w:r>
      <w:r w:rsidRPr="009867C1">
        <w:rPr>
          <w:rFonts w:eastAsiaTheme="minorEastAsia"/>
        </w:rPr>
        <w:fldChar w:fldCharType="begin"/>
      </w:r>
      <w:r w:rsidRPr="009867C1">
        <w:rPr>
          <w:rFonts w:eastAsiaTheme="minorEastAsia"/>
        </w:rPr>
        <w:instrText xml:space="preserve"> REF _Ref53671709 \h </w:instrText>
      </w:r>
      <w:r w:rsidR="009867C1">
        <w:rPr>
          <w:rFonts w:eastAsiaTheme="minorEastAsia"/>
        </w:rPr>
        <w:instrText xml:space="preserve"> \* MERGEFORMAT </w:instrText>
      </w:r>
      <w:r w:rsidRPr="009867C1">
        <w:rPr>
          <w:rFonts w:eastAsiaTheme="minorEastAsia"/>
        </w:rPr>
      </w:r>
      <w:r w:rsidRPr="009867C1">
        <w:rPr>
          <w:rFonts w:eastAsiaTheme="minorEastAsia"/>
        </w:rPr>
        <w:fldChar w:fldCharType="separate"/>
      </w:r>
      <w:r w:rsidR="000667DB" w:rsidRPr="009867C1">
        <w:t xml:space="preserve">Table </w:t>
      </w:r>
      <w:r w:rsidR="000667DB">
        <w:rPr>
          <w:noProof/>
        </w:rPr>
        <w:t>3</w:t>
      </w:r>
      <w:r w:rsidR="000667DB">
        <w:rPr>
          <w:noProof/>
        </w:rPr>
        <w:noBreakHyphen/>
        <w:t>2</w:t>
      </w:r>
      <w:r w:rsidRPr="009867C1">
        <w:rPr>
          <w:rFonts w:eastAsiaTheme="minorEastAsia"/>
        </w:rPr>
        <w:fldChar w:fldCharType="end"/>
      </w:r>
      <w:r w:rsidRPr="009867C1">
        <w:rPr>
          <w:rFonts w:eastAsiaTheme="minorEastAsia"/>
        </w:rPr>
        <w:t xml:space="preserve">). </w:t>
      </w:r>
    </w:p>
    <w:p w14:paraId="4AA06F84" w14:textId="77777777" w:rsidR="00D80E10" w:rsidRPr="009867C1" w:rsidRDefault="00D80E10" w:rsidP="008E6662">
      <w:pPr>
        <w:ind w:firstLine="720"/>
      </w:pPr>
      <w:r w:rsidRPr="009867C1">
        <w:t xml:space="preserve">To investigate the relative importance of explanatory variables, a GLM model-averaging approach was used to explore driving factors behind soil, sporocarps, and litter samples (vegetation was excluded in this analysis as it lacked covariate data). These three sample types were analyzed separately since they were not independent as all samples were taken at a single sampling point. A linear model (the ‘full model’) was defined according to the equation: </w:t>
      </w:r>
    </w:p>
    <w:p w14:paraId="07E2F9BE" w14:textId="77777777" w:rsidR="00D80E10" w:rsidRPr="009867C1" w:rsidRDefault="00D80E10" w:rsidP="00D80E10">
      <w:pPr>
        <w:rPr>
          <w:rFonts w:eastAsiaTheme="minorEastAsia"/>
        </w:rPr>
      </w:pPr>
      <m:oMath>
        <m:r>
          <w:rPr>
            <w:rFonts w:ascii="Cambria Math" w:hAnsi="Cambria Math"/>
          </w:rPr>
          <m:t>response variable ~ salmon density+fungal genus+</m:t>
        </m:r>
        <m:sSub>
          <m:sSubPr>
            <m:ctrlPr>
              <w:rPr>
                <w:rFonts w:ascii="Cambria Math" w:hAnsi="Cambria Math"/>
                <w:i/>
              </w:rPr>
            </m:ctrlPr>
          </m:sSubPr>
          <m:e>
            <m:r>
              <w:rPr>
                <w:rFonts w:ascii="Cambria Math" w:hAnsi="Cambria Math"/>
              </w:rPr>
              <m:t>PCA1</m:t>
            </m:r>
          </m:e>
          <m:sub>
            <m:r>
              <w:rPr>
                <w:rFonts w:ascii="Cambria Math" w:hAnsi="Cambria Math"/>
              </w:rPr>
              <m:t>moss</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PCA1</m:t>
                </m:r>
              </m:e>
              <m:sub>
                <m:r>
                  <w:rPr>
                    <w:rFonts w:ascii="Cambria Math" w:hAnsi="Cambria Math"/>
                  </w:rPr>
                  <m:t>herb</m:t>
                </m:r>
              </m:sub>
            </m:sSub>
            <m:r>
              <w:rPr>
                <w:rFonts w:ascii="Cambria Math" w:hAnsi="Cambria Math"/>
              </w:rPr>
              <m:t>+PCA1</m:t>
            </m:r>
          </m:e>
          <m:sub>
            <m:r>
              <w:rPr>
                <w:rFonts w:ascii="Cambria Math" w:hAnsi="Cambria Math"/>
              </w:rPr>
              <m:t>tree</m:t>
            </m:r>
          </m:sub>
        </m:sSub>
        <m:r>
          <w:rPr>
            <w:rFonts w:ascii="Cambria Math" w:hAnsi="Cambria Math"/>
          </w:rPr>
          <m:t>+</m:t>
        </m:r>
        <m:sSub>
          <m:sSubPr>
            <m:ctrlPr>
              <w:rPr>
                <w:rFonts w:ascii="Cambria Math" w:hAnsi="Cambria Math"/>
                <w:i/>
              </w:rPr>
            </m:ctrlPr>
          </m:sSubPr>
          <m:e>
            <m:r>
              <w:rPr>
                <w:rFonts w:ascii="Cambria Math" w:hAnsi="Cambria Math"/>
              </w:rPr>
              <m:t>PCA1</m:t>
            </m:r>
          </m:e>
          <m:sub>
            <m:r>
              <w:rPr>
                <w:rFonts w:ascii="Cambria Math" w:hAnsi="Cambria Math"/>
              </w:rPr>
              <m:t>shrub</m:t>
            </m:r>
          </m:sub>
        </m:sSub>
        <m:r>
          <w:rPr>
            <w:rFonts w:ascii="Cambria Math" w:hAnsi="Cambria Math"/>
          </w:rPr>
          <m:t>+nearest large tree species+distance to stream</m:t>
        </m:r>
      </m:oMath>
      <w:r w:rsidRPr="009867C1">
        <w:rPr>
          <w:rFonts w:eastAsiaTheme="minorEastAsia"/>
        </w:rPr>
        <w:t xml:space="preserve">. </w:t>
      </w:r>
    </w:p>
    <w:p w14:paraId="299398E2" w14:textId="01BA5F31" w:rsidR="00D80E10" w:rsidRPr="009867C1" w:rsidRDefault="00D80E10" w:rsidP="008E6662">
      <w:pPr>
        <w:ind w:firstLine="720"/>
        <w:rPr>
          <w:rFonts w:eastAsiaTheme="minorEastAsia"/>
        </w:rPr>
      </w:pPr>
      <w:r w:rsidRPr="009867C1">
        <w:rPr>
          <w:rFonts w:eastAsiaTheme="minorEastAsia"/>
        </w:rPr>
        <w:t xml:space="preserve">Explanatory variables were standardized prior to regression to account for differences in scale and units, and tested for collinearity via inspection of bivariate plots before modelling and via variance inflation factors (VIFs) after modelling. Assumptions for the full model were tested graphically using the </w:t>
      </w:r>
      <w:r w:rsidRPr="009867C1">
        <w:rPr>
          <w:rFonts w:eastAsiaTheme="minorEastAsia"/>
          <w:i/>
          <w:iCs/>
        </w:rPr>
        <w:t>DHARMa</w:t>
      </w:r>
      <w:r w:rsidRPr="009867C1">
        <w:rPr>
          <w:rFonts w:eastAsiaTheme="minorEastAsia"/>
        </w:rPr>
        <w:t xml:space="preserve"> package in R </w:t>
      </w:r>
      <w:r w:rsidRPr="009867C1">
        <w:rPr>
          <w:rFonts w:eastAsiaTheme="minorEastAsia"/>
        </w:rPr>
        <w:fldChar w:fldCharType="begin"/>
      </w:r>
      <w:r w:rsidR="00AC0205">
        <w:rPr>
          <w:rFonts w:eastAsiaTheme="minorEastAsia"/>
        </w:rPr>
        <w:instrText xml:space="preserve"> ADDIN ZOTERO_ITEM CSL_CITATION {"citationID":"gNhfZPPt","properties":{"formattedCitation":"(Hartig, 2020)","plainCitation":"(Hartig, 2020)","noteIndex":0},"citationItems":[{"id":2555,"uris":["http://zotero.org/users/2189142/items/J6SKBW6A"],"itemData":{"id":2555,"type":"book","title":"DHARMa: Residual Diagnostics for Hierarchical (Multi-Level / Mixed) Regression Models","URL":"https://CRAN.R-project.org/package=DHARMa","author":[{"family":"Hartig","given":"Florian"}],"issued":{"date-parts":[["2020"]]},"citation-key":"hartig_2020"}}],"schema":"https://github.com/citation-style-language/schema/raw/master/csl-citation.json"} </w:instrText>
      </w:r>
      <w:r w:rsidRPr="009867C1">
        <w:rPr>
          <w:rFonts w:eastAsiaTheme="minorEastAsia"/>
        </w:rPr>
        <w:fldChar w:fldCharType="separate"/>
      </w:r>
      <w:r w:rsidR="0042141C" w:rsidRPr="009867C1">
        <w:t>(Hartig, 2020)</w:t>
      </w:r>
      <w:r w:rsidRPr="009867C1">
        <w:rPr>
          <w:rFonts w:eastAsiaTheme="minorEastAsia"/>
        </w:rPr>
        <w:fldChar w:fldCharType="end"/>
      </w:r>
      <w:r w:rsidRPr="009867C1">
        <w:rPr>
          <w:rFonts w:eastAsiaTheme="minorEastAsia"/>
        </w:rPr>
        <w:t xml:space="preserve">. Model assumptions were variable but tolerable and VIFs tolerably low (&lt;3). </w:t>
      </w:r>
    </w:p>
    <w:p w14:paraId="1E5CEC0C" w14:textId="4E4F35AF" w:rsidR="00D80E10" w:rsidRPr="009867C1" w:rsidRDefault="00D80E10" w:rsidP="008E6662">
      <w:pPr>
        <w:ind w:firstLine="720"/>
        <w:rPr>
          <w:rFonts w:eastAsiaTheme="minorEastAsia"/>
        </w:rPr>
      </w:pPr>
      <w:r w:rsidRPr="009867C1">
        <w:rPr>
          <w:rFonts w:eastAsiaTheme="minorEastAsia"/>
        </w:rPr>
        <w:t xml:space="preserve">These full models were averaged with the </w:t>
      </w:r>
      <w:r w:rsidRPr="009867C1">
        <w:rPr>
          <w:rFonts w:eastAsiaTheme="minorEastAsia"/>
          <w:i/>
          <w:iCs/>
        </w:rPr>
        <w:t>MuMIn</w:t>
      </w:r>
      <w:r w:rsidRPr="009867C1">
        <w:rPr>
          <w:rFonts w:eastAsiaTheme="minorEastAsia"/>
        </w:rPr>
        <w:t xml:space="preserve"> package in R </w:t>
      </w:r>
      <w:r w:rsidRPr="009867C1">
        <w:rPr>
          <w:rFonts w:eastAsiaTheme="minorEastAsia"/>
        </w:rPr>
        <w:fldChar w:fldCharType="begin"/>
      </w:r>
      <w:r w:rsidR="00AC0205">
        <w:rPr>
          <w:rFonts w:eastAsiaTheme="minorEastAsia"/>
        </w:rPr>
        <w:instrText xml:space="preserve"> ADDIN ZOTERO_ITEM CSL_CITATION {"citationID":"evm2tDoG","properties":{"formattedCitation":"(Barton, 2020)","plainCitation":"(Barton, 2020)","noteIndex":0},"citationItems":[{"id":2612,"uris":["http://zotero.org/users/2189142/items/XEQ99PYQ"],"itemData":{"id":2612,"type":"book","title":"MuMIn: Multi-Model Inference","URL":"https://CRAN.R-project.org/package=MuMIn","author":[{"family":"Barton","given":"Kamil"}],"issued":{"date-parts":[["2020"]]},"citation-key":"barton_2020"}}],"schema":"https://github.com/citation-style-language/schema/raw/master/csl-citation.json"} </w:instrText>
      </w:r>
      <w:r w:rsidRPr="009867C1">
        <w:rPr>
          <w:rFonts w:eastAsiaTheme="minorEastAsia"/>
        </w:rPr>
        <w:fldChar w:fldCharType="separate"/>
      </w:r>
      <w:r w:rsidR="0042141C" w:rsidRPr="009867C1">
        <w:t>(Barton, 2020)</w:t>
      </w:r>
      <w:r w:rsidRPr="009867C1">
        <w:rPr>
          <w:rFonts w:eastAsiaTheme="minorEastAsia"/>
        </w:rPr>
        <w:fldChar w:fldCharType="end"/>
      </w:r>
      <w:r w:rsidRPr="009867C1">
        <w:rPr>
          <w:rFonts w:eastAsiaTheme="minorEastAsia"/>
        </w:rPr>
        <w:t xml:space="preserve"> and all models were included in final coefficient estimates, weighted in proportion to their AICc values using conditional averaging </w:t>
      </w:r>
      <w:r w:rsidRPr="009867C1">
        <w:rPr>
          <w:rFonts w:eastAsiaTheme="minorEastAsia"/>
        </w:rPr>
        <w:fldChar w:fldCharType="begin"/>
      </w:r>
      <w:r w:rsidR="00AC0205">
        <w:rPr>
          <w:rFonts w:eastAsiaTheme="minorEastAsia"/>
        </w:rPr>
        <w:instrText xml:space="preserve"> ADDIN ZOTERO_ITEM CSL_CITATION {"citationID":"NBgn2RWl","properties":{"formattedCitation":"(Galipaud et al., 2014)","plainCitation":"(Galipaud et al., 2014)","noteIndex":0},"citationItems":[{"id":1652,"uris":["http://zotero.org/users/2189142/items/B7S9ZVCA"],"itemData":{"id":1652,"type":"article-journal","abstract":"Information-theory procedures are powerful tools for multimodel inference and are now standard methods in ecology. When performing model averaging on a given set of models, the importance of a predictor variable is commonly estimated by summing the weights of models where the variable appears, the so-called sum of weights (SW). However, SWs have received little methodological attention and are frequently misinterpreted. We assessed the reliability of SW by performing model selection and averaging on simulated data sets including variables strongly and weakly correlated to the response variable and a variable unrelated to the response. Our aim was to investigate how useful SWs are to inform about the relative importance of predictor variables. SW can take a wide range of possible values, even for predictor variables unrelated to the response. As a consequence, SW with intermediate values cannot be confidently interpreted as denoting importance for the considered predictor variable. Increasing sample size using an alternative information criterion for model selection or using only a subset of candidate models for model averaging did not qualitatively change our results: a variable of a given effect size can take a wide range of SW values. Contrary to what is assumed in many ecological studies, it seems hazardous to define a threshold for SW above which a variable is considered as having a statistical effect on the response and SW is not a measure of effect size. Although we did not consider every possible condition of analysis, it is likely that in most situations, SW is a poor estimate of variable's importance.","container-title":"Methods in Ecology and Evolution","DOI":"10.1111/2041-210X.12251","ISSN":"2041-210X","issue":"10","language":"en","page":"983-991","source":"Wiley Online Library","title":"Ecologists overestimate the importance of predictor variables in model averaging: a plea for cautious interpretations","title-short":"Ecologists o</w:instrText>
      </w:r>
      <w:r w:rsidR="00AC0205">
        <w:rPr>
          <w:rFonts w:eastAsiaTheme="minorEastAsia" w:hint="eastAsia"/>
        </w:rPr>
        <w:instrText>verestimate the importance of predictor variables in model averaging","volume":"5","author":[{"family":"Galipaud","given":"Matthias"},{"family":"Gillingham","given":"Mark A. F."},{"family":"David","given":"Morgan"},{"family":"Dechaume</w:instrText>
      </w:r>
      <w:r w:rsidR="00AC0205">
        <w:rPr>
          <w:rFonts w:eastAsiaTheme="minorEastAsia" w:hint="eastAsia"/>
        </w:rPr>
        <w:instrText>‐</w:instrText>
      </w:r>
      <w:r w:rsidR="00AC0205">
        <w:rPr>
          <w:rFonts w:eastAsiaTheme="minorEastAsia" w:hint="eastAsia"/>
        </w:rPr>
        <w:instrText>Moncharmont","given"</w:instrText>
      </w:r>
      <w:r w:rsidR="00AC0205">
        <w:rPr>
          <w:rFonts w:eastAsiaTheme="minorEastAsia"/>
        </w:rPr>
        <w:instrText xml:space="preserve">:"François-Xavier"}],"issued":{"date-parts":[["2014"]]},"citation-key":"galipaud_2014"}}],"schema":"https://github.com/citation-style-language/schema/raw/master/csl-citation.json"} </w:instrText>
      </w:r>
      <w:r w:rsidRPr="009867C1">
        <w:rPr>
          <w:rFonts w:eastAsiaTheme="minorEastAsia"/>
        </w:rPr>
        <w:fldChar w:fldCharType="separate"/>
      </w:r>
      <w:r w:rsidR="0042141C" w:rsidRPr="009867C1">
        <w:t>(Galipaud et al., 2014)</w:t>
      </w:r>
      <w:r w:rsidRPr="009867C1">
        <w:rPr>
          <w:rFonts w:eastAsiaTheme="minorEastAsia"/>
        </w:rPr>
        <w:fldChar w:fldCharType="end"/>
      </w:r>
      <w:r w:rsidRPr="009867C1">
        <w:rPr>
          <w:rFonts w:eastAsiaTheme="minorEastAsia"/>
        </w:rPr>
        <w:t xml:space="preserve">. </w:t>
      </w:r>
    </w:p>
    <w:p w14:paraId="1A0394C7" w14:textId="77777777" w:rsidR="000667DB" w:rsidRPr="009867C1" w:rsidRDefault="00D80E10" w:rsidP="000667DB">
      <w:pPr>
        <w:keepNext/>
        <w:ind w:firstLine="720"/>
      </w:pPr>
      <w:r w:rsidRPr="009867C1">
        <w:rPr>
          <w:rFonts w:eastAsiaTheme="minorEastAsia"/>
        </w:rPr>
        <w:t xml:space="preserve">To complement this analysis, a machine learning approach was used with a larger set of explanatory variables (adding the second PCA axis of each vegetation type). Random forest models were constructed for each response variable with the R </w:t>
      </w:r>
      <w:r w:rsidRPr="009867C1">
        <w:rPr>
          <w:rFonts w:eastAsiaTheme="minorEastAsia"/>
          <w:i/>
        </w:rPr>
        <w:t>caret</w:t>
      </w:r>
      <w:r w:rsidRPr="009867C1">
        <w:rPr>
          <w:rFonts w:eastAsiaTheme="minorEastAsia"/>
        </w:rPr>
        <w:t xml:space="preserve"> and </w:t>
      </w:r>
      <w:r w:rsidRPr="009867C1">
        <w:rPr>
          <w:rFonts w:eastAsiaTheme="minorEastAsia"/>
          <w:i/>
        </w:rPr>
        <w:t>randomForest</w:t>
      </w:r>
      <w:r w:rsidRPr="009867C1">
        <w:rPr>
          <w:rFonts w:eastAsiaTheme="minorEastAsia"/>
        </w:rPr>
        <w:t xml:space="preserve"> packages </w:t>
      </w:r>
      <w:r w:rsidRPr="009867C1">
        <w:rPr>
          <w:rFonts w:eastAsiaTheme="minorEastAsia"/>
        </w:rPr>
        <w:fldChar w:fldCharType="begin"/>
      </w:r>
      <w:r w:rsidR="00AC0205">
        <w:rPr>
          <w:rFonts w:eastAsiaTheme="minorEastAsia"/>
        </w:rPr>
        <w:instrText xml:space="preserve"> ADDIN ZOTERO_ITEM CSL_CITATION {"citationID":"Moggp36o","properties":{"formattedCitation":"(Kuhn, 2008; Liaw &amp; Wiener, 2002)","plainCitation":"(Kuhn, 2008; Liaw &amp; Wiener, 2002)","noteIndex":0},"citationItems":[{"id":8,"uris":["http://zotero.org/users/2189142/items/3XNZDZ29"],"itemData":{"id":8,"type":"article-journal","container-title":"Journal of Statistical Software","DOI":"10.18637/jss.v028.i05","ISSN":"1548-7660","issue":"1","language":"en","note":"number: 1","page":"1-26","source":"www.jstatsoft.org","title":"Building Predictive Models in R Using the caret Package","volume":"28","author":[{"family":"Kuhn","given":"Max"}],"issued":{"date-parts":[["2008",11,10]]},"citation-key":"kuhn_2008"}},{"id":7,"uris":["http://zotero.org/users/2189142/items/F4A4NN58"],"itemData":{"id":7,"type":"article-journal","container-title":"R news","issue":"3","page":"18–22","source":"Google Scholar","title":"Classification and regression by randomForest","volume":"2","author":[{"family":"Liaw","given":"Andy"},{"family":"Wiener","given":"Matthew"}],"issued":{"date-parts":[["2002"]]},"citation-key":"liaw_2002"}}],"schema":"https://github.com/citation-style-language/schema/raw/master/csl-citation.json"} </w:instrText>
      </w:r>
      <w:r w:rsidRPr="009867C1">
        <w:rPr>
          <w:rFonts w:eastAsiaTheme="minorEastAsia"/>
        </w:rPr>
        <w:fldChar w:fldCharType="separate"/>
      </w:r>
      <w:r w:rsidR="0042141C" w:rsidRPr="009867C1">
        <w:t>(Kuhn, 2008; Liaw &amp; Wiener, 2002)</w:t>
      </w:r>
      <w:r w:rsidRPr="009867C1">
        <w:rPr>
          <w:rFonts w:eastAsiaTheme="minorEastAsia"/>
        </w:rPr>
        <w:fldChar w:fldCharType="end"/>
      </w:r>
      <w:r w:rsidRPr="009867C1">
        <w:rPr>
          <w:rFonts w:eastAsiaTheme="minorEastAsia"/>
        </w:rPr>
        <w:t>. Standardized importance coefficients of these explanatory variables were then visualized with a heatmap (</w:t>
      </w:r>
      <w:r w:rsidRPr="009867C1">
        <w:rPr>
          <w:rFonts w:eastAsiaTheme="minorEastAsia"/>
        </w:rPr>
        <w:fldChar w:fldCharType="begin"/>
      </w:r>
      <w:r w:rsidRPr="009867C1">
        <w:rPr>
          <w:rFonts w:eastAsiaTheme="minorEastAsia"/>
        </w:rPr>
        <w:instrText xml:space="preserve"> REF _Ref73895818 \h </w:instrText>
      </w:r>
      <w:r w:rsidR="009867C1">
        <w:rPr>
          <w:rFonts w:eastAsiaTheme="minorEastAsia"/>
        </w:rPr>
        <w:instrText xml:space="preserve"> \* MERGEFORMAT </w:instrText>
      </w:r>
      <w:r w:rsidRPr="009867C1">
        <w:rPr>
          <w:rFonts w:eastAsiaTheme="minorEastAsia"/>
        </w:rPr>
      </w:r>
      <w:r w:rsidRPr="009867C1">
        <w:rPr>
          <w:rFonts w:eastAsiaTheme="minorEastAsia"/>
        </w:rPr>
        <w:fldChar w:fldCharType="separate"/>
      </w:r>
    </w:p>
    <w:p w14:paraId="6DD848F2" w14:textId="46961A6D" w:rsidR="00D80E10" w:rsidRPr="001431CA" w:rsidRDefault="000667DB" w:rsidP="008E6662">
      <w:pPr>
        <w:keepNext/>
        <w:ind w:firstLine="720"/>
      </w:pPr>
      <w:r w:rsidRPr="009867C1">
        <w:t>Figure</w:t>
      </w:r>
      <w:r w:rsidRPr="009867C1">
        <w:rPr>
          <w:noProof/>
        </w:rPr>
        <w:t xml:space="preserve"> </w:t>
      </w:r>
      <w:r>
        <w:rPr>
          <w:noProof/>
        </w:rPr>
        <w:t>3</w:t>
      </w:r>
      <w:r>
        <w:rPr>
          <w:noProof/>
        </w:rPr>
        <w:noBreakHyphen/>
        <w:t>5</w:t>
      </w:r>
      <w:r w:rsidR="00D80E10" w:rsidRPr="009867C1">
        <w:rPr>
          <w:rFonts w:eastAsiaTheme="minorEastAsia"/>
        </w:rPr>
        <w:fldChar w:fldCharType="end"/>
      </w:r>
      <w:r w:rsidR="00D80E10" w:rsidRPr="009867C1">
        <w:rPr>
          <w:rFonts w:eastAsiaTheme="minorEastAsia"/>
        </w:rPr>
        <w:t xml:space="preserve">).  </w:t>
      </w:r>
    </w:p>
    <w:p w14:paraId="1D735BC9" w14:textId="2859B5A7" w:rsidR="00D80E10" w:rsidRPr="009867C1" w:rsidRDefault="00D80E10" w:rsidP="008E6662">
      <w:pPr>
        <w:ind w:firstLine="720"/>
        <w:rPr>
          <w:rFonts w:eastAsiaTheme="minorEastAsia"/>
        </w:rPr>
      </w:pPr>
      <w:r w:rsidRPr="009867C1">
        <w:rPr>
          <w:rFonts w:eastAsiaTheme="minorEastAsia"/>
        </w:rPr>
        <w:t>δ</w:t>
      </w:r>
      <w:r w:rsidRPr="009867C1">
        <w:rPr>
          <w:rFonts w:eastAsiaTheme="minorEastAsia"/>
          <w:vertAlign w:val="superscript"/>
        </w:rPr>
        <w:t>15</w:t>
      </w:r>
      <w:r w:rsidRPr="009867C1">
        <w:rPr>
          <w:rFonts w:eastAsiaTheme="minorEastAsia"/>
        </w:rPr>
        <w:t xml:space="preserve">N vs. %N plots were constructed for each sample type and slopes and intercepts modelled via linear model  </w:t>
      </w:r>
      <m:oMath>
        <m:d>
          <m:dPr>
            <m:ctrlPr>
              <w:rPr>
                <w:rFonts w:ascii="Cambria Math" w:eastAsiaTheme="minorEastAsia" w:hAnsi="Cambria Math"/>
                <w:i/>
              </w:rPr>
            </m:ctrlPr>
          </m:dPr>
          <m:e>
            <m:r>
              <m:rPr>
                <m:sty m:val="p"/>
              </m:rPr>
              <w:rPr>
                <w:rFonts w:ascii="Cambria Math" w:eastAsiaTheme="minorEastAsia" w:hAnsi="Cambria Math"/>
              </w:rPr>
              <m:t>δ</m:t>
            </m:r>
            <m:r>
              <m:rPr>
                <m:sty m:val="p"/>
              </m:rPr>
              <w:rPr>
                <w:rFonts w:ascii="Cambria Math" w:eastAsiaTheme="minorEastAsia" w:hAnsi="Cambria Math"/>
                <w:vertAlign w:val="superscript"/>
              </w:rPr>
              <m:t>15</m:t>
            </m:r>
            <m:r>
              <m:rPr>
                <m:sty m:val="p"/>
              </m:rPr>
              <w:rPr>
                <w:rFonts w:ascii="Cambria Math" w:eastAsiaTheme="minorEastAsia" w:hAnsi="Cambria Math"/>
              </w:rPr>
              <m:t xml:space="preserve">N </m:t>
            </m:r>
          </m:e>
        </m:d>
        <m:r>
          <w:rPr>
            <w:rFonts w:ascii="Cambria Math" w:eastAsiaTheme="minorEastAsia" w:hAnsi="Cambria Math"/>
          </w:rPr>
          <m:t xml:space="preserve"> ~ </m:t>
        </m:r>
        <m:d>
          <m:dPr>
            <m:ctrlPr>
              <w:rPr>
                <w:rFonts w:ascii="Cambria Math" w:eastAsiaTheme="minorEastAsia" w:hAnsi="Cambria Math"/>
                <w:i/>
              </w:rPr>
            </m:ctrlPr>
          </m:dPr>
          <m:e>
            <m:r>
              <w:rPr>
                <w:rFonts w:ascii="Cambria Math" w:eastAsiaTheme="minorEastAsia" w:hAnsi="Cambria Math"/>
              </w:rPr>
              <m:t>%N</m:t>
            </m:r>
          </m:e>
        </m:d>
        <m:r>
          <w:rPr>
            <w:rFonts w:ascii="Cambria Math" w:eastAsiaTheme="minorEastAsia" w:hAnsi="Cambria Math"/>
          </w:rPr>
          <m:t>*(sample type)</m:t>
        </m:r>
      </m:oMath>
      <w:r w:rsidRPr="009867C1">
        <w:rPr>
          <w:rFonts w:eastAsiaTheme="minorEastAsia"/>
        </w:rPr>
        <w:t xml:space="preserve"> (</w:t>
      </w:r>
      <w:r w:rsidRPr="009867C1">
        <w:rPr>
          <w:rFonts w:eastAsiaTheme="minorEastAsia"/>
        </w:rPr>
        <w:fldChar w:fldCharType="begin"/>
      </w:r>
      <w:r w:rsidRPr="009867C1">
        <w:rPr>
          <w:rFonts w:eastAsiaTheme="minorEastAsia"/>
        </w:rPr>
        <w:instrText xml:space="preserve"> REF _Ref53673873 \h </w:instrText>
      </w:r>
      <w:r w:rsidR="009867C1">
        <w:rPr>
          <w:rFonts w:eastAsiaTheme="minorEastAsia"/>
        </w:rPr>
        <w:instrText xml:space="preserve"> \* MERGEFORMAT </w:instrText>
      </w:r>
      <w:r w:rsidRPr="009867C1">
        <w:rPr>
          <w:rFonts w:eastAsiaTheme="minorEastAsia"/>
        </w:rPr>
      </w:r>
      <w:r w:rsidRPr="009867C1">
        <w:rPr>
          <w:rFonts w:eastAsiaTheme="minorEastAsia"/>
        </w:rPr>
        <w:fldChar w:fldCharType="separate"/>
      </w:r>
      <w:r w:rsidR="000667DB" w:rsidRPr="009867C1">
        <w:t xml:space="preserve">Figure </w:t>
      </w:r>
      <w:r w:rsidR="000667DB">
        <w:rPr>
          <w:noProof/>
        </w:rPr>
        <w:t>3</w:t>
      </w:r>
      <w:r w:rsidR="000667DB">
        <w:rPr>
          <w:noProof/>
        </w:rPr>
        <w:noBreakHyphen/>
        <w:t>6</w:t>
      </w:r>
      <w:r w:rsidRPr="009867C1">
        <w:rPr>
          <w:rFonts w:eastAsiaTheme="minorEastAsia"/>
        </w:rPr>
        <w:fldChar w:fldCharType="end"/>
      </w:r>
      <w:r w:rsidRPr="009867C1">
        <w:rPr>
          <w:rFonts w:eastAsiaTheme="minorEastAsia"/>
        </w:rPr>
        <w:t>). In addition, δ</w:t>
      </w:r>
      <w:r w:rsidRPr="009867C1">
        <w:rPr>
          <w:rFonts w:eastAsiaTheme="minorEastAsia"/>
          <w:vertAlign w:val="superscript"/>
        </w:rPr>
        <w:t>13</w:t>
      </w:r>
      <w:r w:rsidRPr="009867C1">
        <w:rPr>
          <w:rFonts w:eastAsiaTheme="minorEastAsia"/>
        </w:rPr>
        <w:t>C and δ</w:t>
      </w:r>
      <w:r w:rsidRPr="009867C1">
        <w:rPr>
          <w:rFonts w:eastAsiaTheme="minorEastAsia"/>
          <w:vertAlign w:val="superscript"/>
        </w:rPr>
        <w:t>15</w:t>
      </w:r>
      <w:r w:rsidRPr="009867C1">
        <w:rPr>
          <w:rFonts w:eastAsiaTheme="minorEastAsia"/>
        </w:rPr>
        <w:t>N isoplots were constructed for vegetation, litter, and sporocarps. Soil was excluded from these isoplots as we did not have dependable δ</w:t>
      </w:r>
      <w:r w:rsidRPr="009867C1">
        <w:rPr>
          <w:rFonts w:eastAsiaTheme="minorEastAsia"/>
          <w:vertAlign w:val="superscript"/>
        </w:rPr>
        <w:t>13</w:t>
      </w:r>
      <w:r w:rsidRPr="009867C1">
        <w:rPr>
          <w:rFonts w:eastAsiaTheme="minorEastAsia"/>
        </w:rPr>
        <w:t xml:space="preserve">C values for these samples. </w:t>
      </w:r>
    </w:p>
    <w:p w14:paraId="6D94E8D6" w14:textId="5E4CC270" w:rsidR="00D80E10" w:rsidRPr="009867C1" w:rsidRDefault="00D80E10" w:rsidP="002D421D">
      <w:pPr>
        <w:ind w:firstLine="720"/>
      </w:pPr>
      <w:r w:rsidRPr="009867C1">
        <w:rPr>
          <w:rFonts w:eastAsiaTheme="minorEastAsia"/>
        </w:rPr>
        <w:t>Finally, to visualize fungal phylogenetic and trophic differences, sporocarp δ</w:t>
      </w:r>
      <w:r w:rsidRPr="009867C1">
        <w:rPr>
          <w:rFonts w:eastAsiaTheme="minorEastAsia"/>
          <w:vertAlign w:val="superscript"/>
        </w:rPr>
        <w:t>15</w:t>
      </w:r>
      <w:r w:rsidRPr="009867C1">
        <w:rPr>
          <w:rFonts w:eastAsiaTheme="minorEastAsia"/>
        </w:rPr>
        <w:t>N was plotted for each fungal genus and coloured by trophic mode (</w:t>
      </w:r>
      <w:r w:rsidRPr="009867C1">
        <w:rPr>
          <w:rFonts w:eastAsiaTheme="minorEastAsia"/>
        </w:rPr>
        <w:fldChar w:fldCharType="begin"/>
      </w:r>
      <w:r w:rsidRPr="009867C1">
        <w:rPr>
          <w:rFonts w:eastAsiaTheme="minorEastAsia"/>
        </w:rPr>
        <w:instrText xml:space="preserve"> REF _Ref49957934 \h </w:instrText>
      </w:r>
      <w:r w:rsidR="009867C1">
        <w:rPr>
          <w:rFonts w:eastAsiaTheme="minorEastAsia"/>
        </w:rPr>
        <w:instrText xml:space="preserve"> \* MERGEFORMAT </w:instrText>
      </w:r>
      <w:r w:rsidRPr="009867C1">
        <w:rPr>
          <w:rFonts w:eastAsiaTheme="minorEastAsia"/>
        </w:rPr>
      </w:r>
      <w:r w:rsidRPr="009867C1">
        <w:rPr>
          <w:rFonts w:eastAsiaTheme="minorEastAsia"/>
        </w:rPr>
        <w:fldChar w:fldCharType="separate"/>
      </w:r>
      <w:r w:rsidR="000667DB" w:rsidRPr="009867C1">
        <w:t xml:space="preserve">Figure </w:t>
      </w:r>
      <w:r w:rsidR="000667DB">
        <w:rPr>
          <w:noProof/>
        </w:rPr>
        <w:t>3</w:t>
      </w:r>
      <w:r w:rsidR="000667DB">
        <w:rPr>
          <w:noProof/>
        </w:rPr>
        <w:noBreakHyphen/>
        <w:t>8</w:t>
      </w:r>
      <w:r w:rsidRPr="009867C1">
        <w:rPr>
          <w:rFonts w:eastAsiaTheme="minorEastAsia"/>
        </w:rPr>
        <w:fldChar w:fldCharType="end"/>
      </w:r>
      <w:r w:rsidRPr="009867C1">
        <w:rPr>
          <w:rFonts w:eastAsiaTheme="minorEastAsia"/>
        </w:rPr>
        <w:t>).</w:t>
      </w:r>
    </w:p>
    <w:p w14:paraId="04B54A23" w14:textId="77777777" w:rsidR="00D80E10" w:rsidRPr="009867C1" w:rsidRDefault="00D80E10" w:rsidP="00D80E10"/>
    <w:p w14:paraId="39E9E5E0" w14:textId="77777777" w:rsidR="00D80E10" w:rsidRPr="009867C1" w:rsidRDefault="00D80E10" w:rsidP="00D80E10">
      <w:pPr>
        <w:pStyle w:val="Heading3"/>
        <w:rPr>
          <w:lang w:val="en-CA"/>
        </w:rPr>
      </w:pPr>
      <w:bookmarkStart w:id="105" w:name="_Toc99385434"/>
      <w:r w:rsidRPr="009867C1">
        <w:rPr>
          <w:lang w:val="en-CA"/>
        </w:rPr>
        <w:t>Results</w:t>
      </w:r>
      <w:bookmarkEnd w:id="105"/>
    </w:p>
    <w:p w14:paraId="5D1BAB76" w14:textId="77777777" w:rsidR="000667DB" w:rsidRPr="009867C1" w:rsidRDefault="00D80E10" w:rsidP="000667DB">
      <w:pPr>
        <w:keepNext/>
        <w:ind w:firstLine="720"/>
      </w:pPr>
      <w:r w:rsidRPr="003F77F5">
        <w:rPr>
          <w:bCs/>
        </w:rPr>
        <w:t>δ</w:t>
      </w:r>
      <w:r w:rsidRPr="003F77F5">
        <w:rPr>
          <w:bCs/>
          <w:vertAlign w:val="superscript"/>
        </w:rPr>
        <w:t>15</w:t>
      </w:r>
      <w:r w:rsidRPr="003F77F5">
        <w:rPr>
          <w:bCs/>
        </w:rPr>
        <w:t xml:space="preserve">N </w:t>
      </w:r>
      <w:r w:rsidRPr="009867C1">
        <w:t>signatures were highest in mushrooms, followed by soil, litter, and vegetation (</w:t>
      </w:r>
      <w:r w:rsidRPr="009867C1">
        <w:fldChar w:fldCharType="begin"/>
      </w:r>
      <w:r w:rsidRPr="009867C1">
        <w:instrText xml:space="preserve"> REF _Ref49955967 \h </w:instrText>
      </w:r>
      <w:r w:rsidR="009867C1">
        <w:instrText xml:space="preserve"> \* MERGEFORMAT </w:instrText>
      </w:r>
      <w:r w:rsidRPr="009867C1">
        <w:fldChar w:fldCharType="separate"/>
      </w:r>
      <w:r w:rsidR="000667DB" w:rsidRPr="009867C1">
        <w:t xml:space="preserve">Figure </w:t>
      </w:r>
      <w:r w:rsidR="000667DB">
        <w:rPr>
          <w:noProof/>
        </w:rPr>
        <w:t>3</w:t>
      </w:r>
      <w:r w:rsidR="000667DB">
        <w:rPr>
          <w:noProof/>
        </w:rPr>
        <w:noBreakHyphen/>
        <w:t>2</w:t>
      </w:r>
      <w:r w:rsidRPr="009867C1">
        <w:fldChar w:fldCharType="end"/>
      </w:r>
      <w:r w:rsidRPr="009867C1">
        <w:t>), and these increased for all measured sample types along the salmon density gradient. Multiple comparisons showed no difference between the y-intercepts of mushrooms and soil (A), and litter and vegetation (B), and slopes were identical across all sample types (</w:t>
      </w:r>
      <w:r w:rsidRPr="009867C1">
        <w:fldChar w:fldCharType="begin"/>
      </w:r>
      <w:r w:rsidRPr="009867C1">
        <w:instrText xml:space="preserve"> REF _Ref53671709 \h </w:instrText>
      </w:r>
      <w:r w:rsidR="009867C1">
        <w:instrText xml:space="preserve"> \* MERGEFORMAT </w:instrText>
      </w:r>
      <w:r w:rsidRPr="009867C1">
        <w:fldChar w:fldCharType="separate"/>
      </w:r>
      <w:r w:rsidR="000667DB" w:rsidRPr="009867C1">
        <w:t xml:space="preserve">Table </w:t>
      </w:r>
      <w:r w:rsidR="000667DB">
        <w:rPr>
          <w:noProof/>
        </w:rPr>
        <w:t>3</w:t>
      </w:r>
      <w:r w:rsidR="000667DB">
        <w:rPr>
          <w:noProof/>
        </w:rPr>
        <w:noBreakHyphen/>
        <w:t>2</w:t>
      </w:r>
      <w:r w:rsidRPr="009867C1">
        <w:fldChar w:fldCharType="end"/>
      </w:r>
      <w:r w:rsidRPr="009867C1">
        <w:t>). GLM analysis showed positive correlations with salmon density for all sample types (</w:t>
      </w:r>
      <w:r w:rsidRPr="009867C1">
        <w:fldChar w:fldCharType="begin"/>
      </w:r>
      <w:r w:rsidRPr="009867C1">
        <w:instrText xml:space="preserve"> REF _Ref49956008 \h </w:instrText>
      </w:r>
      <w:r w:rsidR="009867C1">
        <w:instrText xml:space="preserve"> \* MERGEFORMAT </w:instrText>
      </w:r>
      <w:r w:rsidRPr="009867C1">
        <w:fldChar w:fldCharType="separate"/>
      </w:r>
      <w:r w:rsidR="000667DB" w:rsidRPr="009867C1">
        <w:t xml:space="preserve">Figure </w:t>
      </w:r>
      <w:r w:rsidR="000667DB">
        <w:rPr>
          <w:noProof/>
        </w:rPr>
        <w:t>3</w:t>
      </w:r>
      <w:r w:rsidR="000667DB">
        <w:rPr>
          <w:noProof/>
        </w:rPr>
        <w:noBreakHyphen/>
        <w:t>3</w:t>
      </w:r>
      <w:r w:rsidRPr="009867C1">
        <w:fldChar w:fldCharType="end"/>
      </w:r>
      <w:r w:rsidRPr="009867C1">
        <w:t xml:space="preserve">). Distance to stream correlated negatively for soils but had no response for litter and mushrooms, while the moss PCA affected litter </w:t>
      </w:r>
      <w:r w:rsidRPr="009867C1">
        <w:rPr>
          <w:vertAlign w:val="superscript"/>
        </w:rPr>
        <w:t>15</w:t>
      </w:r>
      <w:r w:rsidRPr="009867C1">
        <w:t xml:space="preserve">N, the herb PCA litter and soil </w:t>
      </w:r>
      <w:r w:rsidRPr="009867C1">
        <w:rPr>
          <w:vertAlign w:val="superscript"/>
        </w:rPr>
        <w:t>15</w:t>
      </w:r>
      <w:r w:rsidRPr="009867C1">
        <w:t xml:space="preserve">N, and the tree PCA sporocarp </w:t>
      </w:r>
      <w:r w:rsidRPr="009867C1">
        <w:rPr>
          <w:vertAlign w:val="superscript"/>
        </w:rPr>
        <w:t>15</w:t>
      </w:r>
      <w:r w:rsidRPr="009867C1">
        <w:t>N. Fungal genus showed a diversity of effects, with much larger uncertainties due to variable, and sometimes small, sample sizes. Of particular note were increased δ</w:t>
      </w:r>
      <w:r w:rsidRPr="009867C1">
        <w:rPr>
          <w:vertAlign w:val="superscript"/>
        </w:rPr>
        <w:t>15</w:t>
      </w:r>
      <w:r w:rsidRPr="009867C1">
        <w:t xml:space="preserve">N in </w:t>
      </w:r>
      <w:r w:rsidRPr="009867C1">
        <w:rPr>
          <w:i/>
        </w:rPr>
        <w:t>Laccaria</w:t>
      </w:r>
      <w:r w:rsidRPr="009867C1">
        <w:t xml:space="preserve">, </w:t>
      </w:r>
      <w:r w:rsidRPr="009867C1">
        <w:rPr>
          <w:i/>
          <w:iCs/>
        </w:rPr>
        <w:t>Hebeloma</w:t>
      </w:r>
      <w:r w:rsidRPr="009867C1">
        <w:t xml:space="preserve">, and </w:t>
      </w:r>
      <w:r w:rsidRPr="009867C1">
        <w:rPr>
          <w:i/>
          <w:iCs/>
        </w:rPr>
        <w:t>Cortinarius</w:t>
      </w:r>
      <w:r w:rsidRPr="009867C1">
        <w:t>. These trends were also evident in δ</w:t>
      </w:r>
      <w:r w:rsidRPr="009867C1">
        <w:rPr>
          <w:vertAlign w:val="superscript"/>
        </w:rPr>
        <w:t>15</w:t>
      </w:r>
      <w:r w:rsidRPr="009867C1">
        <w:t xml:space="preserve">N boxplots, where </w:t>
      </w:r>
      <w:r w:rsidRPr="009867C1">
        <w:rPr>
          <w:i/>
        </w:rPr>
        <w:t>Laccaria</w:t>
      </w:r>
      <w:r w:rsidRPr="009867C1">
        <w:t xml:space="preserve">, </w:t>
      </w:r>
      <w:r w:rsidRPr="009867C1">
        <w:rPr>
          <w:i/>
        </w:rPr>
        <w:t>Cortinarius</w:t>
      </w:r>
      <w:r w:rsidRPr="009867C1">
        <w:t xml:space="preserve">, </w:t>
      </w:r>
      <w:r w:rsidRPr="009867C1">
        <w:rPr>
          <w:i/>
        </w:rPr>
        <w:t>Gliophorus</w:t>
      </w:r>
      <w:r w:rsidRPr="009867C1">
        <w:t xml:space="preserve">, and </w:t>
      </w:r>
      <w:r w:rsidRPr="009867C1">
        <w:rPr>
          <w:i/>
        </w:rPr>
        <w:t>Hebeloma</w:t>
      </w:r>
      <w:r w:rsidRPr="009867C1">
        <w:t xml:space="preserve"> had the highest δ</w:t>
      </w:r>
      <w:r w:rsidRPr="009867C1">
        <w:rPr>
          <w:vertAlign w:val="superscript"/>
        </w:rPr>
        <w:t>15</w:t>
      </w:r>
      <w:r w:rsidRPr="009867C1">
        <w:t>N values compared to other taxa (</w:t>
      </w:r>
      <w:r w:rsidRPr="009867C1">
        <w:fldChar w:fldCharType="begin"/>
      </w:r>
      <w:r w:rsidRPr="009867C1">
        <w:instrText xml:space="preserve"> REF _Ref49957934 \h </w:instrText>
      </w:r>
      <w:r w:rsidR="009867C1">
        <w:instrText xml:space="preserve"> \* MERGEFORMAT </w:instrText>
      </w:r>
      <w:r w:rsidRPr="009867C1">
        <w:fldChar w:fldCharType="separate"/>
      </w:r>
      <w:r w:rsidR="000667DB" w:rsidRPr="009867C1">
        <w:t xml:space="preserve">Figure </w:t>
      </w:r>
      <w:r w:rsidR="000667DB">
        <w:rPr>
          <w:noProof/>
        </w:rPr>
        <w:t>3</w:t>
      </w:r>
      <w:r w:rsidR="000667DB">
        <w:rPr>
          <w:noProof/>
        </w:rPr>
        <w:noBreakHyphen/>
        <w:t>8</w:t>
      </w:r>
      <w:r w:rsidRPr="009867C1">
        <w:fldChar w:fldCharType="end"/>
      </w:r>
      <w:r w:rsidRPr="009867C1">
        <w:t>). There was small sign of divergence of slopes across the MDN gradient (</w:t>
      </w:r>
      <w:r w:rsidRPr="009867C1">
        <w:fldChar w:fldCharType="begin"/>
      </w:r>
      <w:r w:rsidRPr="009867C1">
        <w:instrText xml:space="preserve"> REF _Ref49955967 \h </w:instrText>
      </w:r>
      <w:r w:rsidR="009867C1">
        <w:instrText xml:space="preserve"> \* MERGEFORMAT </w:instrText>
      </w:r>
      <w:r w:rsidRPr="009867C1">
        <w:fldChar w:fldCharType="separate"/>
      </w:r>
      <w:r w:rsidR="000667DB" w:rsidRPr="009867C1">
        <w:t xml:space="preserve">Figure </w:t>
      </w:r>
      <w:r w:rsidR="000667DB">
        <w:rPr>
          <w:noProof/>
        </w:rPr>
        <w:t>3</w:t>
      </w:r>
      <w:r w:rsidR="000667DB">
        <w:rPr>
          <w:noProof/>
        </w:rPr>
        <w:noBreakHyphen/>
        <w:t>2</w:t>
      </w:r>
      <w:r w:rsidRPr="009867C1">
        <w:fldChar w:fldCharType="end"/>
      </w:r>
      <w:r w:rsidRPr="009867C1">
        <w:t>). The random forest model (</w:t>
      </w:r>
      <w:r w:rsidRPr="009867C1">
        <w:fldChar w:fldCharType="begin"/>
      </w:r>
      <w:r w:rsidRPr="009867C1">
        <w:instrText xml:space="preserve"> REF _Ref73895818 \h </w:instrText>
      </w:r>
      <w:r w:rsidR="009867C1">
        <w:instrText xml:space="preserve"> \* MERGEFORMAT </w:instrText>
      </w:r>
      <w:r w:rsidRPr="009867C1">
        <w:fldChar w:fldCharType="separate"/>
      </w:r>
    </w:p>
    <w:p w14:paraId="5D248EF3" w14:textId="1C280841" w:rsidR="00D80E10" w:rsidRPr="009867C1" w:rsidRDefault="000667DB" w:rsidP="008E6662">
      <w:pPr>
        <w:keepNext/>
        <w:ind w:firstLine="720"/>
      </w:pPr>
      <w:r w:rsidRPr="009867C1">
        <w:t>Figure</w:t>
      </w:r>
      <w:r w:rsidRPr="009867C1">
        <w:rPr>
          <w:noProof/>
        </w:rPr>
        <w:t xml:space="preserve"> </w:t>
      </w:r>
      <w:r>
        <w:rPr>
          <w:noProof/>
        </w:rPr>
        <w:t>3</w:t>
      </w:r>
      <w:r>
        <w:rPr>
          <w:noProof/>
        </w:rPr>
        <w:noBreakHyphen/>
        <w:t>5</w:t>
      </w:r>
      <w:r w:rsidR="00D80E10" w:rsidRPr="009867C1">
        <w:fldChar w:fldCharType="end"/>
      </w:r>
      <w:r w:rsidR="00D80E10" w:rsidRPr="009867C1">
        <w:t xml:space="preserve">) accorded high importance to salmon density and the vegetation PCAs for all sample types, with salmon density being more important for litter and soil than sporocarps. </w:t>
      </w:r>
    </w:p>
    <w:p w14:paraId="69CDA221" w14:textId="77777777" w:rsidR="000667DB" w:rsidRPr="009867C1" w:rsidRDefault="00D80E10" w:rsidP="000667DB">
      <w:pPr>
        <w:keepNext/>
        <w:ind w:firstLine="720"/>
      </w:pPr>
      <w:r w:rsidRPr="003F77F5">
        <w:rPr>
          <w:bCs/>
        </w:rPr>
        <w:t>%N</w:t>
      </w:r>
      <w:r w:rsidRPr="009867C1">
        <w:t xml:space="preserve"> was highest in mushrooms, followed by vegetation, and then litter and soils together (</w:t>
      </w:r>
      <w:r w:rsidRPr="009867C1">
        <w:fldChar w:fldCharType="begin"/>
      </w:r>
      <w:r w:rsidRPr="009867C1">
        <w:instrText xml:space="preserve"> REF _Ref49955967 \h </w:instrText>
      </w:r>
      <w:r w:rsidR="009867C1">
        <w:instrText xml:space="preserve"> \* MERGEFORMAT </w:instrText>
      </w:r>
      <w:r w:rsidRPr="009867C1">
        <w:fldChar w:fldCharType="separate"/>
      </w:r>
      <w:r w:rsidR="000667DB" w:rsidRPr="009867C1">
        <w:t xml:space="preserve">Figure </w:t>
      </w:r>
      <w:r w:rsidR="000667DB">
        <w:rPr>
          <w:noProof/>
        </w:rPr>
        <w:t>3</w:t>
      </w:r>
      <w:r w:rsidR="000667DB">
        <w:rPr>
          <w:noProof/>
        </w:rPr>
        <w:noBreakHyphen/>
        <w:t>2</w:t>
      </w:r>
      <w:r w:rsidRPr="009867C1">
        <w:fldChar w:fldCharType="end"/>
      </w:r>
      <w:r w:rsidRPr="009867C1">
        <w:t xml:space="preserve">, </w:t>
      </w:r>
      <w:r w:rsidRPr="009867C1">
        <w:fldChar w:fldCharType="begin"/>
      </w:r>
      <w:r w:rsidRPr="009867C1">
        <w:instrText xml:space="preserve"> REF _Ref67938725 \h </w:instrText>
      </w:r>
      <w:r w:rsidR="009867C1">
        <w:instrText xml:space="preserve"> \* MERGEFORMAT </w:instrText>
      </w:r>
      <w:r w:rsidRPr="009867C1">
        <w:fldChar w:fldCharType="separate"/>
      </w:r>
      <w:r w:rsidR="000667DB" w:rsidRPr="009867C1">
        <w:t xml:space="preserve">Table </w:t>
      </w:r>
      <w:r w:rsidR="000667DB">
        <w:rPr>
          <w:noProof/>
        </w:rPr>
        <w:t>3</w:t>
      </w:r>
      <w:r w:rsidR="000667DB">
        <w:rPr>
          <w:noProof/>
        </w:rPr>
        <w:noBreakHyphen/>
        <w:t>1</w:t>
      </w:r>
      <w:r w:rsidRPr="009867C1">
        <w:fldChar w:fldCharType="end"/>
      </w:r>
      <w:r w:rsidRPr="009867C1">
        <w:t>). However, slopes of %N were not significantly different from zero for any of the sample types along the salmon gradient (</w:t>
      </w:r>
      <w:r w:rsidRPr="009867C1">
        <w:fldChar w:fldCharType="begin"/>
      </w:r>
      <w:r w:rsidRPr="009867C1">
        <w:instrText xml:space="preserve"> REF _Ref67938725 \h </w:instrText>
      </w:r>
      <w:r w:rsidR="009867C1">
        <w:instrText xml:space="preserve"> \* MERGEFORMAT </w:instrText>
      </w:r>
      <w:r w:rsidRPr="009867C1">
        <w:fldChar w:fldCharType="separate"/>
      </w:r>
      <w:r w:rsidR="000667DB" w:rsidRPr="009867C1">
        <w:t xml:space="preserve">Table </w:t>
      </w:r>
      <w:r w:rsidR="000667DB">
        <w:rPr>
          <w:noProof/>
        </w:rPr>
        <w:t>3</w:t>
      </w:r>
      <w:r w:rsidR="000667DB">
        <w:rPr>
          <w:noProof/>
        </w:rPr>
        <w:noBreakHyphen/>
        <w:t>1</w:t>
      </w:r>
      <w:r w:rsidRPr="009867C1">
        <w:fldChar w:fldCharType="end"/>
      </w:r>
      <w:r w:rsidRPr="009867C1">
        <w:t>). GLM analysis showed no effects of salmon density on %N, while distance from the stream was negatively correlated for litter. Nearest tree, the vegetation PCAs and fungal genus had a diversity of effects on %N (</w:t>
      </w:r>
      <w:r w:rsidRPr="009867C1">
        <w:fldChar w:fldCharType="begin"/>
      </w:r>
      <w:r w:rsidRPr="009867C1">
        <w:instrText xml:space="preserve"> REF _Ref49956008 \h </w:instrText>
      </w:r>
      <w:r w:rsidR="009867C1">
        <w:instrText xml:space="preserve"> \* MERGEFORMAT </w:instrText>
      </w:r>
      <w:r w:rsidRPr="009867C1">
        <w:fldChar w:fldCharType="separate"/>
      </w:r>
      <w:r w:rsidR="000667DB" w:rsidRPr="009867C1">
        <w:t xml:space="preserve">Figure </w:t>
      </w:r>
      <w:r w:rsidR="000667DB">
        <w:rPr>
          <w:noProof/>
        </w:rPr>
        <w:t>3</w:t>
      </w:r>
      <w:r w:rsidR="000667DB">
        <w:rPr>
          <w:noProof/>
        </w:rPr>
        <w:noBreakHyphen/>
        <w:t>3</w:t>
      </w:r>
      <w:r w:rsidRPr="009867C1">
        <w:fldChar w:fldCharType="end"/>
      </w:r>
      <w:r w:rsidRPr="009867C1">
        <w:t>). The random forest model accorded high importance to salmon and distance from the stream for litter and soil, but not mushroom sporocarps (</w:t>
      </w:r>
      <w:r w:rsidRPr="009867C1">
        <w:fldChar w:fldCharType="begin"/>
      </w:r>
      <w:r w:rsidRPr="009867C1">
        <w:instrText xml:space="preserve"> REF _Ref73895818 \h </w:instrText>
      </w:r>
      <w:r w:rsidR="009867C1">
        <w:instrText xml:space="preserve"> \* MERGEFORMAT </w:instrText>
      </w:r>
      <w:r w:rsidRPr="009867C1">
        <w:fldChar w:fldCharType="separate"/>
      </w:r>
    </w:p>
    <w:p w14:paraId="5E8CF28B" w14:textId="596B5E4D" w:rsidR="00D80E10" w:rsidRPr="009867C1" w:rsidRDefault="000667DB" w:rsidP="008E6662">
      <w:pPr>
        <w:keepNext/>
        <w:ind w:firstLine="720"/>
      </w:pPr>
      <w:r w:rsidRPr="009867C1">
        <w:t>Figure</w:t>
      </w:r>
      <w:r w:rsidRPr="009867C1">
        <w:rPr>
          <w:noProof/>
        </w:rPr>
        <w:t xml:space="preserve"> </w:t>
      </w:r>
      <w:r>
        <w:rPr>
          <w:noProof/>
        </w:rPr>
        <w:t>3</w:t>
      </w:r>
      <w:r>
        <w:rPr>
          <w:noProof/>
        </w:rPr>
        <w:noBreakHyphen/>
        <w:t>5</w:t>
      </w:r>
      <w:r w:rsidR="00D80E10" w:rsidRPr="009867C1">
        <w:fldChar w:fldCharType="end"/>
      </w:r>
      <w:r w:rsidR="00D80E10" w:rsidRPr="009867C1">
        <w:t xml:space="preserve">), while the vegetation PCAs were of relatively high importance. </w:t>
      </w:r>
    </w:p>
    <w:p w14:paraId="60419869" w14:textId="233EC1C2" w:rsidR="00D80E10" w:rsidRPr="009867C1" w:rsidRDefault="00D80E10" w:rsidP="008E6662">
      <w:pPr>
        <w:ind w:firstLine="720"/>
      </w:pPr>
      <w:r w:rsidRPr="003F77F5">
        <w:rPr>
          <w:bCs/>
        </w:rPr>
        <w:t>δ</w:t>
      </w:r>
      <w:r w:rsidRPr="003F77F5">
        <w:rPr>
          <w:bCs/>
          <w:vertAlign w:val="superscript"/>
        </w:rPr>
        <w:t>15</w:t>
      </w:r>
      <w:r w:rsidRPr="003F77F5">
        <w:rPr>
          <w:bCs/>
        </w:rPr>
        <w:t>N vs %N</w:t>
      </w:r>
      <w:r w:rsidRPr="009867C1">
        <w:rPr>
          <w:bCs/>
        </w:rPr>
        <w:t xml:space="preserve"> isoplots showed significant correlations between δ</w:t>
      </w:r>
      <w:r w:rsidRPr="009867C1">
        <w:rPr>
          <w:bCs/>
          <w:vertAlign w:val="superscript"/>
        </w:rPr>
        <w:t>15</w:t>
      </w:r>
      <w:r w:rsidRPr="009867C1">
        <w:rPr>
          <w:bCs/>
        </w:rPr>
        <w:t>N and %N for all sample types, and all slopes and intercepts were all significantly different from each other (</w:t>
      </w:r>
      <w:r w:rsidRPr="009867C1">
        <w:rPr>
          <w:bCs/>
        </w:rPr>
        <w:fldChar w:fldCharType="begin"/>
      </w:r>
      <w:r w:rsidRPr="009867C1">
        <w:rPr>
          <w:bCs/>
        </w:rPr>
        <w:instrText xml:space="preserve"> REF _Ref53673873 \h </w:instrText>
      </w:r>
      <w:r w:rsidR="009867C1">
        <w:rPr>
          <w:bCs/>
        </w:rPr>
        <w:instrText xml:space="preserve"> \* MERGEFORMAT </w:instrText>
      </w:r>
      <w:r w:rsidRPr="009867C1">
        <w:rPr>
          <w:bCs/>
        </w:rPr>
      </w:r>
      <w:r w:rsidRPr="009867C1">
        <w:rPr>
          <w:bCs/>
        </w:rPr>
        <w:fldChar w:fldCharType="separate"/>
      </w:r>
      <w:r w:rsidR="000667DB" w:rsidRPr="009867C1">
        <w:t xml:space="preserve">Figure </w:t>
      </w:r>
      <w:r w:rsidR="000667DB">
        <w:rPr>
          <w:noProof/>
        </w:rPr>
        <w:t>3</w:t>
      </w:r>
      <w:r w:rsidR="000667DB">
        <w:rPr>
          <w:noProof/>
        </w:rPr>
        <w:noBreakHyphen/>
        <w:t>6</w:t>
      </w:r>
      <w:r w:rsidRPr="009867C1">
        <w:rPr>
          <w:bCs/>
        </w:rPr>
        <w:fldChar w:fldCharType="end"/>
      </w:r>
      <w:r w:rsidRPr="009867C1">
        <w:rPr>
          <w:bCs/>
        </w:rPr>
        <w:t>). Vegetation and litter showed positive slopes between δ</w:t>
      </w:r>
      <w:r w:rsidRPr="009867C1">
        <w:rPr>
          <w:bCs/>
          <w:vertAlign w:val="superscript"/>
        </w:rPr>
        <w:t>15</w:t>
      </w:r>
      <w:r w:rsidRPr="009867C1">
        <w:rPr>
          <w:bCs/>
        </w:rPr>
        <w:t xml:space="preserve">N and %N, soil roughly flat, and mushrooms a negative slope. </w:t>
      </w:r>
    </w:p>
    <w:p w14:paraId="268E7913" w14:textId="77777777" w:rsidR="000667DB" w:rsidRPr="009867C1" w:rsidRDefault="00D80E10" w:rsidP="000667DB">
      <w:pPr>
        <w:keepNext/>
        <w:ind w:firstLine="720"/>
      </w:pPr>
      <w:r w:rsidRPr="003F77F5">
        <w:rPr>
          <w:bCs/>
        </w:rPr>
        <w:t>δ</w:t>
      </w:r>
      <w:r w:rsidRPr="003F77F5">
        <w:rPr>
          <w:bCs/>
          <w:vertAlign w:val="superscript"/>
        </w:rPr>
        <w:t>13</w:t>
      </w:r>
      <w:r w:rsidRPr="003F77F5">
        <w:rPr>
          <w:bCs/>
        </w:rPr>
        <w:t xml:space="preserve">C </w:t>
      </w:r>
      <w:r w:rsidRPr="009867C1">
        <w:t>was highest in mushrooms, followed by litter and vegetation (</w:t>
      </w:r>
      <w:r w:rsidRPr="009867C1">
        <w:fldChar w:fldCharType="begin"/>
      </w:r>
      <w:r w:rsidRPr="009867C1">
        <w:instrText xml:space="preserve"> REF _Ref49955967 \h </w:instrText>
      </w:r>
      <w:r w:rsidR="009867C1">
        <w:instrText xml:space="preserve"> \* MERGEFORMAT </w:instrText>
      </w:r>
      <w:r w:rsidRPr="009867C1">
        <w:fldChar w:fldCharType="separate"/>
      </w:r>
      <w:r w:rsidR="000667DB" w:rsidRPr="009867C1">
        <w:t xml:space="preserve">Figure </w:t>
      </w:r>
      <w:r w:rsidR="000667DB">
        <w:rPr>
          <w:noProof/>
        </w:rPr>
        <w:t>3</w:t>
      </w:r>
      <w:r w:rsidR="000667DB">
        <w:rPr>
          <w:noProof/>
        </w:rPr>
        <w:noBreakHyphen/>
        <w:t>2</w:t>
      </w:r>
      <w:r w:rsidRPr="009867C1">
        <w:fldChar w:fldCharType="end"/>
      </w:r>
      <w:r w:rsidRPr="009867C1">
        <w:t xml:space="preserve">, </w:t>
      </w:r>
      <w:r w:rsidRPr="009867C1">
        <w:fldChar w:fldCharType="begin"/>
      </w:r>
      <w:r w:rsidRPr="009867C1">
        <w:instrText xml:space="preserve"> REF _Ref67938725 \h </w:instrText>
      </w:r>
      <w:r w:rsidR="009867C1">
        <w:instrText xml:space="preserve"> \* MERGEFORMAT </w:instrText>
      </w:r>
      <w:r w:rsidRPr="009867C1">
        <w:fldChar w:fldCharType="separate"/>
      </w:r>
      <w:r w:rsidR="000667DB" w:rsidRPr="009867C1">
        <w:t xml:space="preserve">Table </w:t>
      </w:r>
      <w:r w:rsidR="000667DB">
        <w:rPr>
          <w:noProof/>
        </w:rPr>
        <w:t>3</w:t>
      </w:r>
      <w:r w:rsidR="000667DB">
        <w:rPr>
          <w:noProof/>
        </w:rPr>
        <w:noBreakHyphen/>
        <w:t>1</w:t>
      </w:r>
      <w:r w:rsidRPr="009867C1">
        <w:fldChar w:fldCharType="end"/>
      </w:r>
      <w:r w:rsidRPr="009867C1">
        <w:t>) (no data for soil). Litter δ</w:t>
      </w:r>
      <w:r w:rsidRPr="009867C1">
        <w:rPr>
          <w:vertAlign w:val="superscript"/>
        </w:rPr>
        <w:t>13</w:t>
      </w:r>
      <w:r w:rsidRPr="009867C1">
        <w:t xml:space="preserve">C became depleted with increasing salmon density, while both vegetation and mushrooms became slightly enriched (small but significant slopes, </w:t>
      </w:r>
      <w:r w:rsidRPr="009867C1">
        <w:fldChar w:fldCharType="begin"/>
      </w:r>
      <w:r w:rsidRPr="009867C1">
        <w:instrText xml:space="preserve"> REF _Ref67938725 \h </w:instrText>
      </w:r>
      <w:r w:rsidR="009867C1">
        <w:instrText xml:space="preserve"> \* MERGEFORMAT </w:instrText>
      </w:r>
      <w:r w:rsidRPr="009867C1">
        <w:fldChar w:fldCharType="separate"/>
      </w:r>
      <w:r w:rsidR="000667DB" w:rsidRPr="009867C1">
        <w:t xml:space="preserve">Table </w:t>
      </w:r>
      <w:r w:rsidR="000667DB">
        <w:rPr>
          <w:noProof/>
        </w:rPr>
        <w:t>3</w:t>
      </w:r>
      <w:r w:rsidR="000667DB">
        <w:rPr>
          <w:noProof/>
        </w:rPr>
        <w:noBreakHyphen/>
        <w:t>1</w:t>
      </w:r>
      <w:r w:rsidRPr="009867C1">
        <w:fldChar w:fldCharType="end"/>
      </w:r>
      <w:r w:rsidRPr="009867C1">
        <w:t xml:space="preserve">). In the GLM analysis, litter showed a slight decrease in </w:t>
      </w:r>
      <w:r w:rsidRPr="009867C1">
        <w:rPr>
          <w:vertAlign w:val="superscript"/>
        </w:rPr>
        <w:t>13</w:t>
      </w:r>
      <w:r w:rsidRPr="009867C1">
        <w:t>C with salmon density, but no response to fungal genus, the vegetation PCAs, or nearest tree. Mushroom δ</w:t>
      </w:r>
      <w:r w:rsidRPr="009867C1">
        <w:rPr>
          <w:vertAlign w:val="superscript"/>
        </w:rPr>
        <w:t>13</w:t>
      </w:r>
      <w:r w:rsidRPr="009867C1">
        <w:t>C however was positively (</w:t>
      </w:r>
      <w:r w:rsidRPr="00291654">
        <w:rPr>
          <w:i/>
          <w:iCs/>
        </w:rPr>
        <w:t>Gliophorus</w:t>
      </w:r>
      <w:r w:rsidRPr="009867C1">
        <w:t xml:space="preserve">, </w:t>
      </w:r>
      <w:r w:rsidRPr="00291654">
        <w:rPr>
          <w:i/>
          <w:iCs/>
        </w:rPr>
        <w:t>Hypholoma</w:t>
      </w:r>
      <w:r w:rsidRPr="009867C1">
        <w:t xml:space="preserve">, </w:t>
      </w:r>
      <w:r w:rsidRPr="00291654">
        <w:rPr>
          <w:i/>
          <w:iCs/>
        </w:rPr>
        <w:t>Mycena</w:t>
      </w:r>
      <w:r w:rsidRPr="009867C1">
        <w:t xml:space="preserve">, </w:t>
      </w:r>
      <w:r w:rsidRPr="00291654">
        <w:rPr>
          <w:i/>
          <w:iCs/>
        </w:rPr>
        <w:t>Pholita</w:t>
      </w:r>
      <w:r w:rsidRPr="009867C1">
        <w:t>) or negatively (</w:t>
      </w:r>
      <w:r w:rsidRPr="00291654">
        <w:rPr>
          <w:i/>
          <w:iCs/>
        </w:rPr>
        <w:t>Alnicola</w:t>
      </w:r>
      <w:r w:rsidRPr="009867C1">
        <w:t xml:space="preserve">, </w:t>
      </w:r>
      <w:r w:rsidRPr="00291654">
        <w:rPr>
          <w:i/>
          <w:iCs/>
        </w:rPr>
        <w:t>Clavulina</w:t>
      </w:r>
      <w:r w:rsidRPr="009867C1">
        <w:t xml:space="preserve">, </w:t>
      </w:r>
      <w:r w:rsidRPr="00291654">
        <w:rPr>
          <w:i/>
          <w:iCs/>
        </w:rPr>
        <w:t>Cortinarius</w:t>
      </w:r>
      <w:r w:rsidRPr="009867C1">
        <w:t xml:space="preserve">, </w:t>
      </w:r>
      <w:r w:rsidRPr="00291654">
        <w:rPr>
          <w:i/>
          <w:iCs/>
        </w:rPr>
        <w:t>Craterellus</w:t>
      </w:r>
      <w:r w:rsidRPr="009867C1">
        <w:t xml:space="preserve">, </w:t>
      </w:r>
      <w:r w:rsidRPr="00291654">
        <w:rPr>
          <w:i/>
          <w:iCs/>
        </w:rPr>
        <w:t>Hebeloma</w:t>
      </w:r>
      <w:r w:rsidRPr="009867C1">
        <w:t xml:space="preserve">, </w:t>
      </w:r>
      <w:r w:rsidRPr="00291654">
        <w:rPr>
          <w:i/>
          <w:iCs/>
        </w:rPr>
        <w:t>Laccaria</w:t>
      </w:r>
      <w:r w:rsidRPr="009867C1">
        <w:t xml:space="preserve">, </w:t>
      </w:r>
      <w:r w:rsidRPr="00291654">
        <w:rPr>
          <w:i/>
          <w:iCs/>
        </w:rPr>
        <w:t>Lactarius</w:t>
      </w:r>
      <w:r w:rsidRPr="009867C1">
        <w:t xml:space="preserve">, and </w:t>
      </w:r>
      <w:r w:rsidRPr="00291654">
        <w:rPr>
          <w:i/>
          <w:iCs/>
        </w:rPr>
        <w:t>Russula</w:t>
      </w:r>
      <w:r w:rsidRPr="009867C1">
        <w:t>) affected by genus (</w:t>
      </w:r>
      <w:r w:rsidRPr="009867C1">
        <w:fldChar w:fldCharType="begin"/>
      </w:r>
      <w:r w:rsidRPr="009867C1">
        <w:instrText xml:space="preserve"> REF _Ref49956874 \h </w:instrText>
      </w:r>
      <w:r w:rsidR="009867C1">
        <w:instrText xml:space="preserve"> \* MERGEFORMAT </w:instrText>
      </w:r>
      <w:r w:rsidRPr="009867C1">
        <w:fldChar w:fldCharType="separate"/>
      </w:r>
      <w:r w:rsidR="000667DB" w:rsidRPr="009867C1">
        <w:t xml:space="preserve">Figure </w:t>
      </w:r>
      <w:r w:rsidR="000667DB">
        <w:rPr>
          <w:noProof/>
        </w:rPr>
        <w:t>3</w:t>
      </w:r>
      <w:r w:rsidR="000667DB">
        <w:rPr>
          <w:noProof/>
        </w:rPr>
        <w:noBreakHyphen/>
        <w:t>4</w:t>
      </w:r>
      <w:r w:rsidRPr="009867C1">
        <w:fldChar w:fldCharType="end"/>
      </w:r>
      <w:r w:rsidRPr="009867C1">
        <w:t>). The random forest model accorded high importance to salmon density and the vegetation PCAs to both mushrooms and litter, and distance from the stream to litter (</w:t>
      </w:r>
      <w:r w:rsidRPr="009867C1">
        <w:fldChar w:fldCharType="begin"/>
      </w:r>
      <w:r w:rsidRPr="009867C1">
        <w:instrText xml:space="preserve"> REF _Ref73895818 \h </w:instrText>
      </w:r>
      <w:r w:rsidR="009867C1">
        <w:instrText xml:space="preserve"> \* MERGEFORMAT </w:instrText>
      </w:r>
      <w:r w:rsidRPr="009867C1">
        <w:fldChar w:fldCharType="separate"/>
      </w:r>
    </w:p>
    <w:p w14:paraId="4F80CCC9" w14:textId="7CAC8189" w:rsidR="00D80E10" w:rsidRPr="009867C1" w:rsidRDefault="000667DB" w:rsidP="008E6662">
      <w:pPr>
        <w:keepNext/>
        <w:ind w:firstLine="720"/>
      </w:pPr>
      <w:r w:rsidRPr="009867C1">
        <w:t>Figure</w:t>
      </w:r>
      <w:r w:rsidRPr="009867C1">
        <w:rPr>
          <w:noProof/>
        </w:rPr>
        <w:t xml:space="preserve"> </w:t>
      </w:r>
      <w:r>
        <w:rPr>
          <w:noProof/>
        </w:rPr>
        <w:t>3</w:t>
      </w:r>
      <w:r>
        <w:rPr>
          <w:noProof/>
        </w:rPr>
        <w:noBreakHyphen/>
        <w:t>5</w:t>
      </w:r>
      <w:r w:rsidR="00D80E10" w:rsidRPr="009867C1">
        <w:fldChar w:fldCharType="end"/>
      </w:r>
      <w:r w:rsidR="00D80E10" w:rsidRPr="009867C1">
        <w:t>).</w:t>
      </w:r>
    </w:p>
    <w:p w14:paraId="1B3D104A" w14:textId="00DB0713" w:rsidR="00D80E10" w:rsidRPr="009867C1" w:rsidRDefault="00D80E10" w:rsidP="00D80E10">
      <w:pPr>
        <w:rPr>
          <w:bCs/>
        </w:rPr>
      </w:pPr>
      <w:r w:rsidRPr="003F77F5">
        <w:rPr>
          <w:bCs/>
        </w:rPr>
        <w:t>δ</w:t>
      </w:r>
      <w:r w:rsidRPr="003F77F5">
        <w:rPr>
          <w:bCs/>
          <w:vertAlign w:val="superscript"/>
        </w:rPr>
        <w:t>13</w:t>
      </w:r>
      <w:r w:rsidRPr="003F77F5">
        <w:rPr>
          <w:bCs/>
        </w:rPr>
        <w:t>C vs δ</w:t>
      </w:r>
      <w:r w:rsidRPr="003F77F5">
        <w:rPr>
          <w:bCs/>
          <w:vertAlign w:val="superscript"/>
        </w:rPr>
        <w:t>15</w:t>
      </w:r>
      <w:r w:rsidRPr="003F77F5">
        <w:rPr>
          <w:bCs/>
        </w:rPr>
        <w:t>N</w:t>
      </w:r>
      <w:r w:rsidRPr="009867C1">
        <w:rPr>
          <w:bCs/>
        </w:rPr>
        <w:t xml:space="preserve"> isoplot grouped vegetation, litter, and mushroom sporocarps separately (</w:t>
      </w:r>
      <w:r w:rsidRPr="009867C1">
        <w:rPr>
          <w:bCs/>
        </w:rPr>
        <w:fldChar w:fldCharType="begin"/>
      </w:r>
      <w:r w:rsidRPr="009867C1">
        <w:rPr>
          <w:bCs/>
        </w:rPr>
        <w:instrText xml:space="preserve"> REF _Ref73898975 \h </w:instrText>
      </w:r>
      <w:r w:rsidR="009867C1">
        <w:rPr>
          <w:bCs/>
        </w:rPr>
        <w:instrText xml:space="preserve"> \* MERGEFORMAT </w:instrText>
      </w:r>
      <w:r w:rsidRPr="009867C1">
        <w:rPr>
          <w:bCs/>
        </w:rPr>
      </w:r>
      <w:r w:rsidRPr="009867C1">
        <w:rPr>
          <w:bCs/>
        </w:rPr>
        <w:fldChar w:fldCharType="separate"/>
      </w:r>
      <w:r w:rsidR="000667DB" w:rsidRPr="009867C1">
        <w:t xml:space="preserve">Figure </w:t>
      </w:r>
      <w:r w:rsidR="000667DB">
        <w:rPr>
          <w:noProof/>
        </w:rPr>
        <w:t>3</w:t>
      </w:r>
      <w:r w:rsidR="000667DB">
        <w:rPr>
          <w:noProof/>
        </w:rPr>
        <w:noBreakHyphen/>
        <w:t>7</w:t>
      </w:r>
      <w:r w:rsidRPr="009867C1">
        <w:rPr>
          <w:bCs/>
        </w:rPr>
        <w:fldChar w:fldCharType="end"/>
      </w:r>
      <w:r w:rsidRPr="009867C1">
        <w:rPr>
          <w:bCs/>
        </w:rPr>
        <w:t xml:space="preserve">), with mushroom sporocarp showing more variability along both axes than the other two sample types. </w:t>
      </w:r>
    </w:p>
    <w:p w14:paraId="64144559" w14:textId="77777777" w:rsidR="000667DB" w:rsidRPr="009867C1" w:rsidRDefault="00D80E10" w:rsidP="000667DB">
      <w:pPr>
        <w:keepNext/>
        <w:ind w:firstLine="720"/>
      </w:pPr>
      <w:r w:rsidRPr="003F77F5">
        <w:rPr>
          <w:bCs/>
        </w:rPr>
        <w:t>%C</w:t>
      </w:r>
      <w:r w:rsidRPr="009867C1">
        <w:t xml:space="preserve"> was highest in litter and mushrooms together, followed by vegetation, and then soil over most of its range (</w:t>
      </w:r>
      <w:r w:rsidRPr="009867C1">
        <w:fldChar w:fldCharType="begin"/>
      </w:r>
      <w:r w:rsidRPr="009867C1">
        <w:instrText xml:space="preserve"> REF _Ref49955967 \h </w:instrText>
      </w:r>
      <w:r w:rsidR="009867C1">
        <w:instrText xml:space="preserve"> \* MERGEFORMAT </w:instrText>
      </w:r>
      <w:r w:rsidRPr="009867C1">
        <w:fldChar w:fldCharType="separate"/>
      </w:r>
      <w:r w:rsidR="000667DB" w:rsidRPr="009867C1">
        <w:t xml:space="preserve">Figure </w:t>
      </w:r>
      <w:r w:rsidR="000667DB">
        <w:rPr>
          <w:noProof/>
        </w:rPr>
        <w:t>3</w:t>
      </w:r>
      <w:r w:rsidR="000667DB">
        <w:rPr>
          <w:noProof/>
        </w:rPr>
        <w:noBreakHyphen/>
        <w:t>2</w:t>
      </w:r>
      <w:r w:rsidRPr="009867C1">
        <w:fldChar w:fldCharType="end"/>
      </w:r>
      <w:r w:rsidRPr="009867C1">
        <w:t xml:space="preserve">, </w:t>
      </w:r>
      <w:r w:rsidRPr="009867C1">
        <w:fldChar w:fldCharType="begin"/>
      </w:r>
      <w:r w:rsidRPr="009867C1">
        <w:instrText xml:space="preserve"> REF _Ref67938725 \h </w:instrText>
      </w:r>
      <w:r w:rsidR="009867C1">
        <w:instrText xml:space="preserve"> \* MERGEFORMAT </w:instrText>
      </w:r>
      <w:r w:rsidRPr="009867C1">
        <w:fldChar w:fldCharType="separate"/>
      </w:r>
      <w:r w:rsidR="000667DB" w:rsidRPr="009867C1">
        <w:t xml:space="preserve">Table </w:t>
      </w:r>
      <w:r w:rsidR="000667DB">
        <w:rPr>
          <w:noProof/>
        </w:rPr>
        <w:t>3</w:t>
      </w:r>
      <w:r w:rsidR="000667DB">
        <w:rPr>
          <w:noProof/>
        </w:rPr>
        <w:noBreakHyphen/>
        <w:t>1</w:t>
      </w:r>
      <w:r w:rsidRPr="009867C1">
        <w:fldChar w:fldCharType="end"/>
      </w:r>
      <w:r w:rsidRPr="009867C1">
        <w:t>). Along the salmon density gradient, %C decreased for all sample types except plants, which did not change. The GLM analysis showed that mushroom and soil %C were negatively correlated with salmon density, and that distance from stream also decreased mushroom %C (</w:t>
      </w:r>
      <w:r w:rsidRPr="009867C1">
        <w:fldChar w:fldCharType="begin"/>
      </w:r>
      <w:r w:rsidRPr="009867C1">
        <w:instrText xml:space="preserve"> REF _Ref49956874 \h </w:instrText>
      </w:r>
      <w:r w:rsidR="009867C1">
        <w:instrText xml:space="preserve"> \* MERGEFORMAT </w:instrText>
      </w:r>
      <w:r w:rsidRPr="009867C1">
        <w:fldChar w:fldCharType="separate"/>
      </w:r>
      <w:r w:rsidR="000667DB" w:rsidRPr="009867C1">
        <w:t xml:space="preserve">Figure </w:t>
      </w:r>
      <w:r w:rsidR="000667DB">
        <w:rPr>
          <w:noProof/>
        </w:rPr>
        <w:t>3</w:t>
      </w:r>
      <w:r w:rsidR="000667DB">
        <w:rPr>
          <w:noProof/>
        </w:rPr>
        <w:noBreakHyphen/>
        <w:t>4</w:t>
      </w:r>
      <w:r w:rsidRPr="009867C1">
        <w:fldChar w:fldCharType="end"/>
      </w:r>
      <w:r w:rsidRPr="009867C1">
        <w:t>). Presence of alder decreased %C in all sample types, and fungal genus and vegetation had a diversity of effects. The random forest model accorded high importance to salmon density and distance from the stream for all sample types, as well as the various vegetation PCAs (</w:t>
      </w:r>
      <w:r w:rsidRPr="009867C1">
        <w:fldChar w:fldCharType="begin"/>
      </w:r>
      <w:r w:rsidRPr="009867C1">
        <w:instrText xml:space="preserve"> REF _Ref73895818 \h </w:instrText>
      </w:r>
      <w:r w:rsidR="009867C1">
        <w:instrText xml:space="preserve"> \* MERGEFORMAT </w:instrText>
      </w:r>
      <w:r w:rsidRPr="009867C1">
        <w:fldChar w:fldCharType="separate"/>
      </w:r>
    </w:p>
    <w:p w14:paraId="10A6B57C" w14:textId="5F5AE695" w:rsidR="00D80E10" w:rsidRPr="009867C1" w:rsidRDefault="000667DB" w:rsidP="008E6662">
      <w:pPr>
        <w:keepNext/>
        <w:ind w:firstLine="720"/>
      </w:pPr>
      <w:r w:rsidRPr="009867C1">
        <w:t>Figure</w:t>
      </w:r>
      <w:r w:rsidRPr="009867C1">
        <w:rPr>
          <w:noProof/>
        </w:rPr>
        <w:t xml:space="preserve"> </w:t>
      </w:r>
      <w:r>
        <w:rPr>
          <w:noProof/>
        </w:rPr>
        <w:t>3</w:t>
      </w:r>
      <w:r>
        <w:rPr>
          <w:noProof/>
        </w:rPr>
        <w:noBreakHyphen/>
        <w:t>5</w:t>
      </w:r>
      <w:r w:rsidR="00D80E10" w:rsidRPr="009867C1">
        <w:fldChar w:fldCharType="end"/>
      </w:r>
      <w:r w:rsidR="00D80E10" w:rsidRPr="009867C1">
        <w:t xml:space="preserve">).  </w:t>
      </w:r>
    </w:p>
    <w:p w14:paraId="29AEB9C7" w14:textId="77777777" w:rsidR="000667DB" w:rsidRPr="009867C1" w:rsidRDefault="00D80E10" w:rsidP="000667DB">
      <w:pPr>
        <w:keepNext/>
        <w:ind w:firstLine="720"/>
      </w:pPr>
      <w:r w:rsidRPr="003F77F5">
        <w:rPr>
          <w:bCs/>
        </w:rPr>
        <w:t>C:N ratios</w:t>
      </w:r>
      <w:r w:rsidRPr="009867C1">
        <w:t xml:space="preserve"> were highest in litter, followed by soil, vegetation, and finally mushrooms (</w:t>
      </w:r>
      <w:r w:rsidRPr="009867C1">
        <w:fldChar w:fldCharType="begin"/>
      </w:r>
      <w:r w:rsidRPr="009867C1">
        <w:instrText xml:space="preserve"> REF _Ref49955967 \h </w:instrText>
      </w:r>
      <w:r w:rsidR="009867C1">
        <w:instrText xml:space="preserve"> \* MERGEFORMAT </w:instrText>
      </w:r>
      <w:r w:rsidRPr="009867C1">
        <w:fldChar w:fldCharType="separate"/>
      </w:r>
      <w:r w:rsidR="000667DB" w:rsidRPr="009867C1">
        <w:t xml:space="preserve">Figure </w:t>
      </w:r>
      <w:r w:rsidR="000667DB">
        <w:rPr>
          <w:noProof/>
        </w:rPr>
        <w:t>3</w:t>
      </w:r>
      <w:r w:rsidR="000667DB">
        <w:rPr>
          <w:noProof/>
        </w:rPr>
        <w:noBreakHyphen/>
        <w:t>2</w:t>
      </w:r>
      <w:r w:rsidRPr="009867C1">
        <w:fldChar w:fldCharType="end"/>
      </w:r>
      <w:r w:rsidRPr="009867C1">
        <w:t xml:space="preserve">, </w:t>
      </w:r>
      <w:r w:rsidRPr="009867C1">
        <w:fldChar w:fldCharType="begin"/>
      </w:r>
      <w:r w:rsidRPr="009867C1">
        <w:instrText xml:space="preserve"> REF _Ref67938725 \h </w:instrText>
      </w:r>
      <w:r w:rsidR="009867C1">
        <w:instrText xml:space="preserve"> \* MERGEFORMAT </w:instrText>
      </w:r>
      <w:r w:rsidRPr="009867C1">
        <w:fldChar w:fldCharType="separate"/>
      </w:r>
      <w:r w:rsidR="000667DB" w:rsidRPr="009867C1">
        <w:t xml:space="preserve">Table </w:t>
      </w:r>
      <w:r w:rsidR="000667DB">
        <w:rPr>
          <w:noProof/>
        </w:rPr>
        <w:t>3</w:t>
      </w:r>
      <w:r w:rsidR="000667DB">
        <w:rPr>
          <w:noProof/>
        </w:rPr>
        <w:noBreakHyphen/>
        <w:t>1</w:t>
      </w:r>
      <w:r w:rsidRPr="009867C1">
        <w:fldChar w:fldCharType="end"/>
      </w:r>
      <w:r w:rsidRPr="009867C1">
        <w:t>). C:N ratios stayed remarkably constant over the salmon density gradient; only soil had a slope significantly different than zero, and its C:N ratio decreased as salmon density increased. The GLM analysis similarly attributed a significant negative correlation to salmon density in soil (</w:t>
      </w:r>
      <w:r w:rsidRPr="009867C1">
        <w:fldChar w:fldCharType="begin"/>
      </w:r>
      <w:r w:rsidRPr="009867C1">
        <w:instrText xml:space="preserve"> REF _Ref49956874 \h </w:instrText>
      </w:r>
      <w:r w:rsidR="009867C1">
        <w:instrText xml:space="preserve"> \* MERGEFORMAT </w:instrText>
      </w:r>
      <w:r w:rsidRPr="009867C1">
        <w:fldChar w:fldCharType="separate"/>
      </w:r>
      <w:r w:rsidR="000667DB" w:rsidRPr="009867C1">
        <w:t xml:space="preserve">Figure </w:t>
      </w:r>
      <w:r w:rsidR="000667DB">
        <w:rPr>
          <w:noProof/>
        </w:rPr>
        <w:t>3</w:t>
      </w:r>
      <w:r w:rsidR="000667DB">
        <w:rPr>
          <w:noProof/>
        </w:rPr>
        <w:noBreakHyphen/>
        <w:t>4</w:t>
      </w:r>
      <w:r w:rsidRPr="009867C1">
        <w:fldChar w:fldCharType="end"/>
      </w:r>
      <w:r w:rsidRPr="009867C1">
        <w:t>), no association with distance to the stream, and a diversity of associations with fungal genus and vegetation. The random forest model also attributed high importance to salmon density and the vegetation PCAs, as well as distance from the stream (</w:t>
      </w:r>
      <w:r w:rsidRPr="009867C1">
        <w:fldChar w:fldCharType="begin"/>
      </w:r>
      <w:r w:rsidRPr="009867C1">
        <w:instrText xml:space="preserve"> REF _Ref73895818 \h </w:instrText>
      </w:r>
      <w:r w:rsidR="009867C1">
        <w:instrText xml:space="preserve"> \* MERGEFORMAT </w:instrText>
      </w:r>
      <w:r w:rsidRPr="009867C1">
        <w:fldChar w:fldCharType="separate"/>
      </w:r>
    </w:p>
    <w:p w14:paraId="668D1E47" w14:textId="0ACE15D8" w:rsidR="00D80E10" w:rsidRPr="009867C1" w:rsidRDefault="000667DB" w:rsidP="008E6662">
      <w:pPr>
        <w:keepNext/>
        <w:ind w:firstLine="720"/>
      </w:pPr>
      <w:r w:rsidRPr="009867C1">
        <w:t>Figure</w:t>
      </w:r>
      <w:r w:rsidRPr="009867C1">
        <w:rPr>
          <w:noProof/>
        </w:rPr>
        <w:t xml:space="preserve"> </w:t>
      </w:r>
      <w:r>
        <w:rPr>
          <w:noProof/>
        </w:rPr>
        <w:t>3</w:t>
      </w:r>
      <w:r>
        <w:rPr>
          <w:noProof/>
        </w:rPr>
        <w:noBreakHyphen/>
        <w:t>5</w:t>
      </w:r>
      <w:r w:rsidR="00D80E10" w:rsidRPr="009867C1">
        <w:fldChar w:fldCharType="end"/>
      </w:r>
      <w:r w:rsidR="00D80E10" w:rsidRPr="009867C1">
        <w:t xml:space="preserve">).  </w:t>
      </w:r>
    </w:p>
    <w:p w14:paraId="4ECF6787" w14:textId="7535258C" w:rsidR="00D80E10" w:rsidRPr="009867C1" w:rsidRDefault="00D80E10" w:rsidP="008E6662">
      <w:pPr>
        <w:ind w:firstLine="720"/>
      </w:pPr>
      <w:r w:rsidRPr="009867C1">
        <w:t xml:space="preserve">Finally, comparing </w:t>
      </w:r>
      <w:r w:rsidRPr="009867C1">
        <w:rPr>
          <w:bCs/>
        </w:rPr>
        <w:t>δ</w:t>
      </w:r>
      <w:r w:rsidRPr="009867C1">
        <w:rPr>
          <w:bCs/>
          <w:vertAlign w:val="superscript"/>
        </w:rPr>
        <w:t>15</w:t>
      </w:r>
      <w:r w:rsidRPr="009867C1">
        <w:rPr>
          <w:bCs/>
        </w:rPr>
        <w:t xml:space="preserve">N values for different fungal genera showed particularly high values in </w:t>
      </w:r>
      <w:r w:rsidRPr="009867C1">
        <w:rPr>
          <w:bCs/>
          <w:i/>
          <w:iCs/>
        </w:rPr>
        <w:t>Cortinarius</w:t>
      </w:r>
      <w:r w:rsidRPr="009867C1">
        <w:rPr>
          <w:bCs/>
        </w:rPr>
        <w:t xml:space="preserve">, </w:t>
      </w:r>
      <w:r w:rsidRPr="009867C1">
        <w:rPr>
          <w:bCs/>
          <w:i/>
          <w:iCs/>
        </w:rPr>
        <w:t>Laccaria</w:t>
      </w:r>
      <w:r w:rsidRPr="009867C1">
        <w:rPr>
          <w:bCs/>
        </w:rPr>
        <w:t xml:space="preserve">, </w:t>
      </w:r>
      <w:r w:rsidRPr="009867C1">
        <w:rPr>
          <w:bCs/>
          <w:i/>
          <w:iCs/>
        </w:rPr>
        <w:t>Gliophorus</w:t>
      </w:r>
      <w:r w:rsidRPr="009867C1">
        <w:rPr>
          <w:bCs/>
        </w:rPr>
        <w:t xml:space="preserve">, and </w:t>
      </w:r>
      <w:r w:rsidRPr="009867C1">
        <w:rPr>
          <w:bCs/>
          <w:i/>
          <w:iCs/>
        </w:rPr>
        <w:t>Hebeloma</w:t>
      </w:r>
      <w:r w:rsidRPr="009867C1">
        <w:rPr>
          <w:bCs/>
        </w:rPr>
        <w:t xml:space="preserve"> (</w:t>
      </w:r>
      <w:r w:rsidRPr="009867C1">
        <w:rPr>
          <w:bCs/>
        </w:rPr>
        <w:fldChar w:fldCharType="begin"/>
      </w:r>
      <w:r w:rsidRPr="009867C1">
        <w:rPr>
          <w:bCs/>
        </w:rPr>
        <w:instrText xml:space="preserve"> REF _Ref49957934 \h </w:instrText>
      </w:r>
      <w:r w:rsidR="009867C1">
        <w:rPr>
          <w:bCs/>
        </w:rPr>
        <w:instrText xml:space="preserve"> \* MERGEFORMAT </w:instrText>
      </w:r>
      <w:r w:rsidRPr="009867C1">
        <w:rPr>
          <w:bCs/>
        </w:rPr>
      </w:r>
      <w:r w:rsidRPr="009867C1">
        <w:rPr>
          <w:bCs/>
        </w:rPr>
        <w:fldChar w:fldCharType="separate"/>
      </w:r>
      <w:r w:rsidR="000667DB" w:rsidRPr="009867C1">
        <w:t xml:space="preserve">Figure </w:t>
      </w:r>
      <w:r w:rsidR="000667DB">
        <w:rPr>
          <w:noProof/>
        </w:rPr>
        <w:t>3</w:t>
      </w:r>
      <w:r w:rsidR="000667DB">
        <w:rPr>
          <w:noProof/>
        </w:rPr>
        <w:noBreakHyphen/>
        <w:t>8</w:t>
      </w:r>
      <w:r w:rsidRPr="009867C1">
        <w:rPr>
          <w:bCs/>
        </w:rPr>
        <w:fldChar w:fldCharType="end"/>
      </w:r>
      <w:r w:rsidRPr="009867C1">
        <w:rPr>
          <w:bCs/>
        </w:rPr>
        <w:t>).</w:t>
      </w:r>
    </w:p>
    <w:p w14:paraId="05C388CD" w14:textId="77777777" w:rsidR="00D80E10" w:rsidRPr="009867C1" w:rsidRDefault="00D80E10" w:rsidP="00D80E10">
      <w:pPr>
        <w:pStyle w:val="Heading3"/>
        <w:rPr>
          <w:lang w:val="en-CA"/>
        </w:rPr>
      </w:pPr>
      <w:bookmarkStart w:id="106" w:name="_Toc99385435"/>
      <w:r w:rsidRPr="009867C1">
        <w:rPr>
          <w:lang w:val="en-CA"/>
        </w:rPr>
        <w:t>Discussion</w:t>
      </w:r>
      <w:bookmarkEnd w:id="106"/>
    </w:p>
    <w:p w14:paraId="3963E362" w14:textId="77777777" w:rsidR="00D80E10" w:rsidRPr="009867C1" w:rsidRDefault="00D80E10" w:rsidP="00D80E10">
      <w:pPr>
        <w:pStyle w:val="Heading4"/>
      </w:pPr>
      <w:bookmarkStart w:id="107" w:name="_Toc99385436"/>
      <w:r w:rsidRPr="009867C1">
        <w:t>Nitrogen Isotopes as indicators of N-cycling</w:t>
      </w:r>
      <w:bookmarkEnd w:id="107"/>
    </w:p>
    <w:p w14:paraId="4817084F" w14:textId="191B437C" w:rsidR="00D80E10" w:rsidRPr="009867C1" w:rsidRDefault="00D80E10" w:rsidP="00D80E10">
      <w:pPr>
        <w:ind w:firstLine="720"/>
      </w:pPr>
      <w:r w:rsidRPr="009867C1">
        <w:t xml:space="preserve">The primary goal of this study was to examine the role of fungi in the ecosystem processing of MDN along migratory salmon rivers on the west coast of Canada. </w:t>
      </w:r>
      <w:r w:rsidR="008C7E6A">
        <w:t>The</w:t>
      </w:r>
      <w:r w:rsidRPr="009867C1">
        <w:t xml:space="preserve"> first hypothesis was that salmon would increase δ</w:t>
      </w:r>
      <w:r w:rsidRPr="009867C1">
        <w:rPr>
          <w:vertAlign w:val="superscript"/>
        </w:rPr>
        <w:t>15</w:t>
      </w:r>
      <w:r w:rsidRPr="009867C1">
        <w:t>N of all ecosystem compartments. This was borne out in the analysis, with all compartments showing positive slopes along the MDN gradient (</w:t>
      </w:r>
      <w:r w:rsidRPr="009867C1">
        <w:fldChar w:fldCharType="begin"/>
      </w:r>
      <w:r w:rsidRPr="009867C1">
        <w:instrText xml:space="preserve"> REF _Ref49955967 \h </w:instrText>
      </w:r>
      <w:r w:rsidR="009867C1">
        <w:instrText xml:space="preserve"> \* MERGEFORMAT </w:instrText>
      </w:r>
      <w:r w:rsidRPr="009867C1">
        <w:fldChar w:fldCharType="separate"/>
      </w:r>
      <w:r w:rsidR="000667DB" w:rsidRPr="009867C1">
        <w:t xml:space="preserve">Figure </w:t>
      </w:r>
      <w:r w:rsidR="000667DB">
        <w:rPr>
          <w:noProof/>
        </w:rPr>
        <w:t>3</w:t>
      </w:r>
      <w:r w:rsidR="000667DB">
        <w:rPr>
          <w:noProof/>
        </w:rPr>
        <w:noBreakHyphen/>
        <w:t>2</w:t>
      </w:r>
      <w:r w:rsidRPr="009867C1">
        <w:fldChar w:fldCharType="end"/>
      </w:r>
      <w:r w:rsidRPr="009867C1">
        <w:t>). This was also supported by the GLM analysis, which showed positive correlations with MDN to soil, sporocarp and litter δ</w:t>
      </w:r>
      <w:r w:rsidRPr="009867C1">
        <w:rPr>
          <w:vertAlign w:val="superscript"/>
        </w:rPr>
        <w:t>15</w:t>
      </w:r>
      <w:r w:rsidRPr="009867C1">
        <w:t xml:space="preserve">N. This ‘salmon effect’ is consistent with previous work done at these sites, which showed similar trends in both plant </w:t>
      </w:r>
      <w:r w:rsidRPr="009867C1">
        <w:fldChar w:fldCharType="begin"/>
      </w:r>
      <w:r w:rsidR="00AC0205">
        <w:instrText xml:space="preserve"> ADDIN ZOTERO_ITEM CSL_CITATION {"citationID":"Hrt5csV1","properties":{"formattedCitation":"(Hocking &amp; Reynolds, 2011)","plainCitation":"(Hocking &amp; Reynolds, 2011)","noteIndex":0},"citationItems":[{"id":550,"uris":["http://zotero.org/users/2189142/items/JR362H46"],"itemData":{"id":550,"type":"article-journal","abstract":"The study of natural gradients in nutrient subsidies between ecosystems allows for predictions of how changes in one system can affect biodiversity in another. We performed a large-scale empirical test of the role of Pacific salmon (Oncorhynchus spp.) in structuring riparian plant communities. A comparison of 50 watersheds in the remote Great Bear Rainforest of British Columbia’s central coast in Canada shows that salmon influence nutrient loading to plants, shifting plant communities toward nutrient-rich species, which in turn decreases plant diversity. These effects are mediated by interactions between salmon density and the physical characteristics of watersheds. Predicting how salmon affect terrestrial ecosystems is central to conservation plans that aim to better integrate ecosystem values into resource management.","container-title":"Science","DOI":"10.1126/science.1201079","ISSN":"0036-8075, 1095-9203","issue":"6024","journalAbbreviation":"Science","language":"en","note":"PMID: 21442794","page":"1609-1612","source":"www.sciencemag.org.ezproxy.library.ubc.ca","title":"Impacts of Salmon on Riparian Plant Diversity","volume":"331","author":[{"family":"Hocking","given":"Morgan D."},{"family":"Reynolds","given":"John D."}],"issued":{"date-parts":[["2011",3,25]]},"citation-key":"hocking_2011"}}],"schema":"https://github.com/citation-style-language/schema/raw/master/csl-citation.json"} </w:instrText>
      </w:r>
      <w:r w:rsidRPr="009867C1">
        <w:fldChar w:fldCharType="separate"/>
      </w:r>
      <w:r w:rsidR="0042141C" w:rsidRPr="009867C1">
        <w:t>(Hocking &amp; Reynolds, 2011)</w:t>
      </w:r>
      <w:r w:rsidRPr="009867C1">
        <w:fldChar w:fldCharType="end"/>
      </w:r>
      <w:r w:rsidRPr="009867C1">
        <w:t xml:space="preserve"> and animal δ</w:t>
      </w:r>
      <w:r w:rsidRPr="009867C1">
        <w:rPr>
          <w:vertAlign w:val="superscript"/>
        </w:rPr>
        <w:t>15</w:t>
      </w:r>
      <w:r w:rsidRPr="009867C1">
        <w:t xml:space="preserve">N pools </w:t>
      </w:r>
      <w:r w:rsidRPr="009867C1">
        <w:fldChar w:fldCharType="begin"/>
      </w:r>
      <w:r w:rsidR="00AC0205">
        <w:instrText xml:space="preserve"> ADDIN ZOTERO_ITEM CSL_CITATION {"citationID":"nuJieJkI","properties":{"formattedCitation":"(Hocking et al., 2013)","plainCitation":"(Hocking et al., 2013)","noteIndex":0},"citationItems":[{"id":185,"uris":["http://zotero.org/users/2189142/items/6N2GEE95"],"itemData":{"id":185,"type":"article-journal","abstract":"A general rule in ecology is that the abundance of species or individuals in communities sharing a common energy source decreases with increasing body size. However, external energy inputs in the form of resource subsidies can modify this size spectrum relationship. Here, we provide the first test of how a marine resource subsidy can affect size spectra of terrestrial communities, based on energy derived from Pacific salmon carcasses affecting a forest soil community beside streams in western Canada. Using both species-based and individual approaches, we found size structuring in this forest soil community, and transient community-wide doubling of standing biomass in response to energy pulses from Pacific salmon carcasses. One group of species were clear outliers in the middle of the size spectrum relationship: larval calliphorid and dryomyzid flies, which specialize on salmon carcasses, and which showed a tenfold increase in biomass in their size class when salmon were available. Thus, salmon subsidize their escape from the size spectrum. These results suggest that using a size-based perspective of resource subsidies can provide new insights into the structure and functioning of food webs.","container-title":"Proceedings of the Royal Society of London B: Biological Sciences","DOI":"10.1098/rspb.2012.2433","ISSN":"0962-8452, 1471-2954","issue":"1753","language":"en","note":"A general rule in ecology is that the abundance of species or individuals in communities sharing a common energy source decreases with increasing body size. However, external energy inputs in the form of resource subsidies can modify this size spectrum relationship. Here, we provide the first test of how a marine resource subsidy can affect size spectra of terrestrial communities, based on energy derived from Pacific salmon carcasses affecting a forest soil community beside streams in western Canada. Using both species-based and individual approaches, we found size structuring in this forest soil community, and transient community-wide doubling of standing biomass in response to energy pulses from Pacific salmon carcasses. One group of species were clear outliers in the middle of the size spectrum relationship: larval calliphorid and dryomyzid flies, which specialize on salmon carcasses, and which showed a tenfold increase in biomass in their size class when salmon were available. Thus, salmon subsidize their escape from the size spectrum. These results suggest that using a size-based perspective of resource subsidies can provide new insights into the structure and functioning of food webs.\nPMID: 23282994","page":"20122433","source":"rspb.royalsocietypublishing.org.ezproxy.library.ubc.ca","title":"Salmon subsidize an escape from a size spectrum","volume":"280","author":[{"family":"Hocking","given":"Morgan D."},{"family":"Dulvy","given":"Nicholas K."},{"family":"Reynolds","given":"John D."},{"family":"Ring","given":"Richard A."},{"family":"Reimchen","given":"T.E."}],"issued":{"date-parts":[["2013",2,22]]},"citation-key":"hocking_2013a"}}],"schema":"https://github.com/citation-style-language/schema/raw/master/csl-citation.json"} </w:instrText>
      </w:r>
      <w:r w:rsidRPr="009867C1">
        <w:fldChar w:fldCharType="separate"/>
      </w:r>
      <w:r w:rsidR="0042141C" w:rsidRPr="009867C1">
        <w:t>(Hocking et al., 2013)</w:t>
      </w:r>
      <w:r w:rsidRPr="009867C1">
        <w:fldChar w:fldCharType="end"/>
      </w:r>
      <w:r w:rsidRPr="009867C1">
        <w:t xml:space="preserve">. </w:t>
      </w:r>
    </w:p>
    <w:p w14:paraId="36A69325" w14:textId="17B4FD13" w:rsidR="00D80E10" w:rsidRPr="009867C1" w:rsidRDefault="00D80E10" w:rsidP="00D80E10">
      <w:pPr>
        <w:ind w:firstLine="720"/>
      </w:pPr>
      <w:r w:rsidRPr="009867C1">
        <w:t xml:space="preserve"> </w:t>
      </w:r>
      <w:r w:rsidR="008C7E6A">
        <w:t>The</w:t>
      </w:r>
      <w:r w:rsidRPr="009867C1">
        <w:t xml:space="preserve"> second hypothesis, that δ</w:t>
      </w:r>
      <w:r w:rsidRPr="009867C1">
        <w:rPr>
          <w:vertAlign w:val="superscript"/>
        </w:rPr>
        <w:t>15</w:t>
      </w:r>
      <w:r w:rsidRPr="009867C1">
        <w:t>N values would follow the order sporocarp &gt; soil &gt; litter &gt; vegetation, was supported with y-intercepts in the predicted order (</w:t>
      </w:r>
      <w:r w:rsidRPr="009867C1">
        <w:fldChar w:fldCharType="begin"/>
      </w:r>
      <w:r w:rsidRPr="009867C1">
        <w:instrText xml:space="preserve"> REF _Ref49955967 \h </w:instrText>
      </w:r>
      <w:r w:rsidR="009867C1">
        <w:instrText xml:space="preserve"> \* MERGEFORMAT </w:instrText>
      </w:r>
      <w:r w:rsidRPr="009867C1">
        <w:fldChar w:fldCharType="separate"/>
      </w:r>
      <w:r w:rsidR="000667DB" w:rsidRPr="009867C1">
        <w:t xml:space="preserve">Figure </w:t>
      </w:r>
      <w:r w:rsidR="000667DB">
        <w:rPr>
          <w:noProof/>
        </w:rPr>
        <w:t>3</w:t>
      </w:r>
      <w:r w:rsidR="000667DB">
        <w:rPr>
          <w:noProof/>
        </w:rPr>
        <w:noBreakHyphen/>
        <w:t>2</w:t>
      </w:r>
      <w:r w:rsidRPr="009867C1">
        <w:fldChar w:fldCharType="end"/>
      </w:r>
      <w:r w:rsidRPr="009867C1">
        <w:t>). Multiple comparisons however showed that there was no significant difference between a) sporocarps and soils, on the one hand, and between b) vegetation and litter on the other (</w:t>
      </w:r>
      <w:r w:rsidRPr="009867C1">
        <w:fldChar w:fldCharType="begin"/>
      </w:r>
      <w:r w:rsidRPr="009867C1">
        <w:instrText xml:space="preserve"> REF _Ref53671709 \h </w:instrText>
      </w:r>
      <w:r w:rsidR="009867C1">
        <w:instrText xml:space="preserve"> \* MERGEFORMAT </w:instrText>
      </w:r>
      <w:r w:rsidRPr="009867C1">
        <w:fldChar w:fldCharType="separate"/>
      </w:r>
      <w:r w:rsidR="000667DB" w:rsidRPr="009867C1">
        <w:t xml:space="preserve">Table </w:t>
      </w:r>
      <w:r w:rsidR="000667DB">
        <w:rPr>
          <w:noProof/>
        </w:rPr>
        <w:t>3</w:t>
      </w:r>
      <w:r w:rsidR="000667DB">
        <w:rPr>
          <w:noProof/>
        </w:rPr>
        <w:noBreakHyphen/>
        <w:t>2</w:t>
      </w:r>
      <w:r w:rsidRPr="009867C1">
        <w:fldChar w:fldCharType="end"/>
      </w:r>
      <w:r w:rsidRPr="009867C1">
        <w:t xml:space="preserve">). This is consistent with an interpretation that emphasizes a separation between above-ground and below-ground components. Soil and litter values follow patterns in soil profiles previously reported in boreal systems </w:t>
      </w:r>
      <w:r w:rsidRPr="009867C1">
        <w:fldChar w:fldCharType="begin"/>
      </w:r>
      <w:r w:rsidR="00AC0205">
        <w:instrText xml:space="preserve"> ADDIN ZOTERO_ITEM CSL_CITATION {"citationID":"vXbEDFQU","properties":{"formattedCitation":"(E. A. Hobbie &amp; H\\uc0\\u246{}gberg, 2012)","plainCitation":"(E. A. Hobbie &amp; Högberg, 2012)","noteIndex":0},"citationItems":[{"id":406,"uris":["http://zotero.org/users/2189142/items/MDGJ6QDZ"],"itemData":{"id":406,"type":"article-journal","abstract":"Contents\n\n\n\n\n\n\n\n\n\n\n\nSummary\n367\n\n\nI.\nIntroduction\n367\n\n\nII.\nBackground on isotopes\n368\n\n\nIII.\nPatterns of soil δ15N\n370\n\n\nIV.\nPatterns of fungal δ15N\n372\n\n\nV.\nBiochemical basis for the influence of fungi on δ15N patterns in plant–soil systems 373\n\n\nVI.\nPatterns of δ15N in plant and fungal culture studies\n374\n\n\nVII.\nMycoheterotrophic and parasitic plants\n375\n\n\nVIII.\nPatterns of foliar δ15N in autotrophic plants\n376\n\n\nIX.\nControls over plant δ15N\n377\n\n\nX.\nConclusions and research needs\n378\n\n\n\nAcknowledgements\n379\n\n\n\nReferences\n379\n\n\n\n\n\n\n\n\nSummary\n\nIn this review, we synthesize field and culture studies of the 15N/14N (expressed as δ15N) of autotrophic plants, mycoheterotrophic plants, parasitic plants, soil, and mycorrhizal fungi to assess the major controls of isotopic patterns. One major control for plants and fungi is the partitioning of nitrogen (N) into either 15N-depleted chitin, ammonia, or transfer compounds or 15N-enriched proteinaceous N. For example, parasitic plants and autotrophic hosts are similar in δ15N (with no partitioning between chitin and protein), mycoheterotrophic plants are higher in δ15N than their fungal hosts, presumably with preferential assimilation of fungal protein, and autotrophic, mycorrhizal plants are lower in 15N than their fungal symbionts, with saprotrophic fungi intermediate, because mycorrhizal fungi transfer 15N-depleted ammonia or amino acids to plants. Similarly, nodules of N2-fixing bacteria transferring ammonia are often higher in δ15N than their plant hosts. N losses via denitrification greatly influence bulk soil δ15N, whereas δ15N patterns within soil profiles are influenced both by vertical patterns of N losses and by N transfers within the soil–plant system. Climate correlates poorly with soil δ15N; climate may primarily influence δ15N patterns in soils and plants by determining the primary loss mechanisms and which types of mycorrhizal fungi and associated vegetation dominate across climatic gradients.","container-title":"New Phytologist","DOI":"10.1111/j.1469-8137.2012.04300.x","ISSN":"1469-8137","issue":"2","journalAbbreviation":"New Phytol","language":"en","page":"367-382","source":"Wiley Online Library","title":"Nitrogen isotopes link mycorrhizal fungi and plants to nitrogen dynamics","volume":"196","author":[{"family":"Hobbie","given":"Erik A."},{"family":"Högberg","given":"Peter"}],"issued":{"date-parts":[["2012",10,1]]},"citation-key":"hobbie_2012a"}}],"schema":"https://github.com/citation-style-language/schema/raw/master/csl-citation.json"} </w:instrText>
      </w:r>
      <w:r w:rsidRPr="009867C1">
        <w:fldChar w:fldCharType="separate"/>
      </w:r>
      <w:r w:rsidR="0042141C" w:rsidRPr="009867C1">
        <w:t>(E. A. Hobbie &amp; Högberg, 2012)</w:t>
      </w:r>
      <w:r w:rsidRPr="009867C1">
        <w:fldChar w:fldCharType="end"/>
      </w:r>
      <w:r w:rsidRPr="009867C1">
        <w:t xml:space="preserve">, and nearby on the west coast of Vancouver Island </w:t>
      </w:r>
      <w:r w:rsidRPr="009867C1">
        <w:fldChar w:fldCharType="begin"/>
      </w:r>
      <w:r w:rsidR="00AC0205">
        <w:instrText xml:space="preserve"> ADDIN ZOTERO_ITEM CSL_CITATION {"citationID":"QhELNqG9","properties":{"formattedCitation":"(Reimchen et al., 2003)","plainCitation":"(Reimchen et al., 2003)","noteIndex":0},"citationItems":[{"id":224,"uris":["http://zotero.org/users/2189142/items/JAJXMVKC"],"itemData":{"id":224,"type":"paper-conference","container-title":"American Fisheries Society Symposium","page":"59–70","publisher":"American Fisheries Society","source":"Google Scholar","title":"Isotopic evidence for enrichment of salmon-derived nutrients in vegetation, soil, and insects in riparian zones in coastal British Columbia","author":[{"family":"Reimchen","given":"T. E."},{"family":"Mathewson","given":"D. D."},{"family":"Hocking","given":"M. D."},{"family":"Moran","given":"J."},{"family":"Harris","given":"D."}],"issued":{"date-parts":[["2003"]]},"citation-key":"reimchen_2003"}}],"schema":"https://github.com/citation-style-language/schema/raw/master/csl-citation.json"} </w:instrText>
      </w:r>
      <w:r w:rsidRPr="009867C1">
        <w:fldChar w:fldCharType="separate"/>
      </w:r>
      <w:r w:rsidR="0042141C" w:rsidRPr="009867C1">
        <w:t>(Reimchen et al., 2003)</w:t>
      </w:r>
      <w:r w:rsidRPr="009867C1">
        <w:fldChar w:fldCharType="end"/>
      </w:r>
      <w:r w:rsidRPr="009867C1">
        <w:t>, where deeper soil profiles showed higher δ</w:t>
      </w:r>
      <w:r w:rsidRPr="009867C1">
        <w:rPr>
          <w:vertAlign w:val="superscript"/>
        </w:rPr>
        <w:t>15</w:t>
      </w:r>
      <w:r w:rsidRPr="009867C1">
        <w:t>N than shallower layers and plants (</w:t>
      </w:r>
      <w:r w:rsidRPr="009867C1">
        <w:rPr>
          <w:i/>
        </w:rPr>
        <w:t xml:space="preserve">Vaccinium </w:t>
      </w:r>
      <w:r w:rsidRPr="00291654">
        <w:rPr>
          <w:iCs/>
        </w:rPr>
        <w:t>sp</w:t>
      </w:r>
      <w:r w:rsidR="00291654">
        <w:rPr>
          <w:iCs/>
        </w:rPr>
        <w:t>p</w:t>
      </w:r>
      <w:r w:rsidRPr="00291654">
        <w:rPr>
          <w:iCs/>
        </w:rPr>
        <w:t>.</w:t>
      </w:r>
      <w:r w:rsidRPr="009867C1">
        <w:rPr>
          <w:i/>
        </w:rPr>
        <w:t xml:space="preserve"> </w:t>
      </w:r>
      <w:r w:rsidRPr="009867C1">
        <w:t>and</w:t>
      </w:r>
      <w:r w:rsidRPr="009867C1">
        <w:rPr>
          <w:i/>
        </w:rPr>
        <w:t xml:space="preserve"> Rubus spectabilis</w:t>
      </w:r>
      <w:r w:rsidRPr="009867C1">
        <w:t>) had the same or lower δ</w:t>
      </w:r>
      <w:r w:rsidRPr="009867C1">
        <w:rPr>
          <w:vertAlign w:val="superscript"/>
        </w:rPr>
        <w:t xml:space="preserve"> 15</w:t>
      </w:r>
      <w:r w:rsidRPr="009867C1">
        <w:t xml:space="preserve">N than surrounding soil. This is consistent with net fractionation for </w:t>
      </w:r>
      <w:r w:rsidRPr="009867C1">
        <w:rPr>
          <w:vertAlign w:val="superscript"/>
        </w:rPr>
        <w:t>15</w:t>
      </w:r>
      <w:r w:rsidRPr="009867C1">
        <w:t xml:space="preserve">N occurring with soil depth and fractionation against </w:t>
      </w:r>
      <w:r w:rsidRPr="009867C1">
        <w:rPr>
          <w:vertAlign w:val="superscript"/>
        </w:rPr>
        <w:t>15</w:t>
      </w:r>
      <w:r w:rsidRPr="009867C1">
        <w:t>N at the root</w:t>
      </w:r>
      <w:r w:rsidR="00291654">
        <w:t>:</w:t>
      </w:r>
      <w:r w:rsidRPr="009867C1">
        <w:t>soil interface</w:t>
      </w:r>
      <w:r w:rsidR="00940FED">
        <w:t xml:space="preserve"> </w:t>
      </w:r>
      <w:r w:rsidR="00940FED">
        <w:fldChar w:fldCharType="begin"/>
      </w:r>
      <w:r w:rsidR="00AC0205">
        <w:instrText xml:space="preserve"> ADDIN ZOTERO_ITEM CSL_CITATION {"citationID":"JzWeeFZr","properties":{"formattedCitation":"(Craine et al., 2015)","plainCitation":"(Craine et al., 2015)","noteIndex":0},"citationItems":[{"id":1883,"uris":["http://zotero.org/users/2189142/items/FEYM7R68"],"itemData":{"id":1883,"type":"article-journal","container-title":"Plant and Soil","issue":"1-2","note":"publisher: Springer","page":"1–26","source":"Google Scholar","title":"Ecological interpretations of nitrogen isotope ratios of terrestrial plants and soils","volume":"396","author":[{"family":"Craine","given":"Joseph M."},{"family":"Brookshire","given":"E. N. J."},{"family":"Cramer","given":"Michael D."},{"family":"Hasselquist","given":"Niles J."},{"family":"Koba","given":"Keisuke"},{"family":"Marin-Spiotta","given":"Erika"},{"family":"Wang","given":"Lixin"}],"issued":{"date-parts":[["2015"]]},"citation-key":"craine_2015"}}],"schema":"https://github.com/citation-style-language/schema/raw/master/csl-citation.json"} </w:instrText>
      </w:r>
      <w:r w:rsidR="00940FED">
        <w:fldChar w:fldCharType="separate"/>
      </w:r>
      <w:r w:rsidR="00940FED" w:rsidRPr="00940FED">
        <w:t>(Craine et al., 2015)</w:t>
      </w:r>
      <w:r w:rsidR="00940FED">
        <w:fldChar w:fldCharType="end"/>
      </w:r>
      <w:r w:rsidRPr="009867C1">
        <w:t xml:space="preserve">. </w:t>
      </w:r>
    </w:p>
    <w:p w14:paraId="2F67C11E" w14:textId="0931BAA1" w:rsidR="00D80E10" w:rsidRPr="009867C1" w:rsidRDefault="00D80E10" w:rsidP="00D80E10">
      <w:pPr>
        <w:ind w:firstLine="720"/>
      </w:pPr>
      <w:r w:rsidRPr="009867C1">
        <w:t xml:space="preserve">This enrichment with depth tends to be higher under plant species with ectomycorrhizal associations (ECM) than arbuscular mycorrhizal (AM) ones </w:t>
      </w:r>
      <w:r w:rsidRPr="009867C1">
        <w:fldChar w:fldCharType="begin"/>
      </w:r>
      <w:r w:rsidR="00AC0205">
        <w:instrText xml:space="preserve"> ADDIN ZOTERO_ITEM CSL_CITATION {"citationID":"QZlj6uA4","properties":{"formattedCitation":"(E. A. Hobbie &amp; Ouimette, 2009)","plainCitation":"(E. A. Hobbie &amp; Ouimette, 2009)","noteIndex":0},"citationItems":[{"id":880,"uris":["http://zotero.org/users/2189142/items/E92P3RV4"],"itemData":{"id":880,"type":"article-journal","abstract":"To determine the dominant processes controlling nitrogen (N) dynamics in soils and increase insights into soil N cycling from nitrogen isotope (δ15N) data, patterns of 15N enrichment in soil profiles were compiled from studies on tropical, temperate, and boreal systems. The maximum 15N enrichment between litter and deeper soil layers varied strongly with mycorrhizal fungal association, averaging 9.6 ± 0.4‰ in ectomycorrhizal systems and 4.6 ± 0.5‰ in arbuscular mycorrhizal systems. The 15N enrichment varied little with mean annual temperature, precipitation, or nitrification rates. One main factor controlling 15N in soil profiles, fractionation against 15N during N transfer by mycorrhizal fungi to host plants, leads to 15N-depleted plant litter at the soil surface and 15N-enriched nitrogen of fungal origin at depth. The preferential preservation of 15N-enriched compounds during decomposition and stabilization is a second important factor. A third mechanism, N loss during nitrification and denitrification, may account for large 15N enrichments with depth in less N-limited forests and may account for soil profiles where maximum δ15N is at intermediate depths. Mixing among soil horizons should also decrease differences among soil horizons. We suggest that dynamic models of isotope distributions within soil profiles that can incorporate multiple processes could provide additional information about the history of nitrogen movements and transformations at a site.","container-title":"Biogeochemistry","DOI":"10.1007/s10533-009-9328-6","ISSN":"0168-2563, 1573-515X","issue":"2-3","journalAbbreviation":"Biogeochemistry","language":"en","page":"355-371","source":"link.springer.com.ezproxy.library.ubc.ca","title":"Controls of nitrogen isotope patterns in soil profiles","volume":"95","author":[{"family":"Hobbie","given":"Erik A."},{"family":"Ouimette","given":"Andrew P."}],"issued":{"date-parts":[["2009",5,26]]},"citation-key":"hobbie_2009a"}}],"schema":"https://github.com/citation-style-language/schema/raw/master/csl-citation.json"} </w:instrText>
      </w:r>
      <w:r w:rsidRPr="009867C1">
        <w:fldChar w:fldCharType="separate"/>
      </w:r>
      <w:r w:rsidR="0042141C" w:rsidRPr="009867C1">
        <w:t>(E. A. Hobbie &amp; Ouimette, 2009)</w:t>
      </w:r>
      <w:r w:rsidRPr="009867C1">
        <w:fldChar w:fldCharType="end"/>
      </w:r>
      <w:r w:rsidRPr="009867C1">
        <w:t>. However, if there are high gaseous losses from soils, δ</w:t>
      </w:r>
      <w:r w:rsidRPr="009867C1">
        <w:rPr>
          <w:vertAlign w:val="superscript"/>
        </w:rPr>
        <w:t>15</w:t>
      </w:r>
      <w:r w:rsidRPr="009867C1">
        <w:t xml:space="preserve">N can instead show a ‘U’ shaped pattern with depth </w:t>
      </w:r>
      <w:r w:rsidRPr="009867C1">
        <w:fldChar w:fldCharType="begin"/>
      </w:r>
      <w:r w:rsidR="00AC0205">
        <w:instrText xml:space="preserve"> ADDIN ZOTERO_ITEM CSL_CITATION {"citationID":"bT8C6peQ","properties":{"formattedCitation":"(P. H\\uc0\\u246{}gberg et al., 2011)","plainCitation":"(P. Högberg et al., 2011)","noteIndex":0},"citationItems":[{"id":1941,"uris":["http://zotero.org/users/2189142/items/XSKCL3KK"],"itemData":{"id":1941,"type":"article-journal","container-title":"New Phytologist","issue":"2","note":"publisher: Wiley Online Library","page":"515–525","source":"Google Scholar","title":"Recovery of ectomycorrhiza after ‘nitrogen saturation’of a conifer forest","volume":"189","author":[{"family":"Högberg","given":"Peter"},{"family":"Johannisson","given":"Christian"},{"family":"Yarwood","given":"Stephanie"},{"family":"Callesen","given":"Ingeborg"},{"family":"Näsholm","given":"Torgny"},{"family":"Myrold","given":"David D."},{"family":"Högberg","given":"Mona N."}],"issued":{"date-parts":[["2011"]]},"citation-key":"hogberg_2011"}}],"schema":"https://github.com/citation-style-language/schema/raw/master/csl-citation.json"} </w:instrText>
      </w:r>
      <w:r w:rsidRPr="009867C1">
        <w:fldChar w:fldCharType="separate"/>
      </w:r>
      <w:r w:rsidR="0042141C" w:rsidRPr="009867C1">
        <w:t>(P. Högberg et al., 2011)</w:t>
      </w:r>
      <w:r w:rsidRPr="009867C1">
        <w:fldChar w:fldCharType="end"/>
      </w:r>
      <w:r w:rsidRPr="009867C1">
        <w:t xml:space="preserve">. </w:t>
      </w:r>
      <w:r w:rsidR="008C7E6A">
        <w:t>I</w:t>
      </w:r>
      <w:r w:rsidRPr="009867C1">
        <w:t xml:space="preserve"> expect minimal gaseous losses at these sites due to their very high organic matter, high C:N ratios, cold temperatures, very acid soils, and wet but well-drained conditions </w:t>
      </w:r>
      <w:r w:rsidRPr="009867C1">
        <w:fldChar w:fldCharType="begin"/>
      </w:r>
      <w:r w:rsidR="00AC0205">
        <w:instrText xml:space="preserve"> ADDIN ZOTERO_ITEM CSL_CITATION {"citationID":"VTakFzxx","properties":{"formattedCitation":"(Ji et al., 2015; Vermes &amp; Myrold, 1992)","plainCitation":"(Ji et al., 2015; Vermes &amp; Myrold, 1992)","noteIndex":0},"citationItems":[{"id":10018,"uris":["http://zotero.org/users/2189142/items/QUNQCM9R"],"itemData":{"id":10018,"type":"article-journal","abstract":"Understanding aerobic denitrification has become an important focus of environmental microbiology. Aerobic denitrification can be performed by various genera of microorganisms and describes the use of nitrate (NO3−) as oxidizing agents under an aerobic atmosphere. Isolation of aerobic denitrifiers, enzymes involved in aerobic denitrifiers, phylogenetic distribution of aerobic denitrifiers, factors affecting the performance of aerobic denitrifiers, attempts of applications and possible future trends are depicted. The periplasmic nitrate reductase is vital for aerobic denitrifiers and NapA gene may be the proof of aerobic denitrification. Phylogenetic analysis revealed that aerobic denitrifiers mainly belong to α-, β- and γ-Proteobacteria. Aerobic denitrifiers tend to work efficiently at 25 ~ 37°C and pH 7 ~ 8, when dissolved oxygen concentration is 3 ~ 5 mg/L and C/N load ratio is 5 ~ 10. In addition, recent progresses and applications on aerobic denitrifiers are described, including single aerobic reactors, sequencing batch reactor and biofilm reactors. The review attempts to shed light on the fundamental understanding in aerobic denitrification.","container-title":"Biotechnology and Bioprocess Engineering","DOI":"10.1007/s12257-015-0009-0","ISSN":"1226-8372, 1976-3816","issue":"4","journalAbbreviation":"Biotechnol Bioproc E","language":"en","page":"643-651","source":"DOI.org (Crossref)","title":"Aerobic denitrification: A review of important advances of the last 30 years","title-short":"Aerobic denitrification","volume":"20","author":[{"family":"Ji","given":"Bin"},{"family":"Yang","given":"Kai"},{"family":"Zhu","given":"Lei"},{"family":"Jiang","given":"Yu"},{"family":"Wang","given":"Hongyu"},{"family":"Zhou","given":"Jun"},{"family":"Zhang","given":"Huining"}],"issued":{"date-parts":[["2015",8]]},"citation-key":"ji_2015"}},{"id":1874,"uris":["http://zotero.org/users/2189142/items/F99Y3S2Z"],"itemData":{"id":1874,"type":"article-journal","abstract":"Denitrification represents a potential loss of N from forest soils as well as a source of N oxides to the atmosphere; however, this process has not been closely examined in forest ecosystems of the..., La dénitrification présente une perte potentielle de l'azote des sols forestiers aussi bien qu'une source d'oxydes azotés pour l'atmosphère. Ce processus n'a pas été examiné de près dans les écosys...","container-title":"Canadian Journal of Forest Research","DOI":"10.1139/x92-066","ISSN":"0045-5067","issue":"4","journalAbbreviation":"Can. J. For. Res.","note":"publisher: NRC Research Press","page":"504-512","source":"NRC Research Press","title":"Denitrification in forest soils of Oregon","volume":"22","author":[{"family":"Vermes","given":"Jean-François"},{"family":"Myrold","given":"David D."}],"issued":{"date-parts":[["1992",4,1]]},"citation-key":"vermes_1992"}}],"schema":"https://github.com/citation-style-language/schema/raw/master/csl-citation.json"} </w:instrText>
      </w:r>
      <w:r w:rsidRPr="009867C1">
        <w:fldChar w:fldCharType="separate"/>
      </w:r>
      <w:r w:rsidR="0042141C" w:rsidRPr="009867C1">
        <w:t>(Ji et al., 2015; Vermes &amp; Myrold, 1992)</w:t>
      </w:r>
      <w:r w:rsidRPr="009867C1">
        <w:fldChar w:fldCharType="end"/>
      </w:r>
      <w:r w:rsidRPr="009867C1">
        <w:t>. Unfortunately, as only two soil depths were measured in this study we cannot distinguish between linear and U-shaped trends with soil depth and so cannot directly address these alternatives. Measuring δ</w:t>
      </w:r>
      <w:r w:rsidRPr="009867C1">
        <w:rPr>
          <w:vertAlign w:val="superscript"/>
        </w:rPr>
        <w:t>15</w:t>
      </w:r>
      <w:r w:rsidRPr="009867C1">
        <w:t>N at multiple depths at these sites, as well as gaseous emissions directly, could give further insight on volatilization processes.</w:t>
      </w:r>
    </w:p>
    <w:p w14:paraId="3A686B19" w14:textId="0715CEA9" w:rsidR="00D80E10" w:rsidRPr="009867C1" w:rsidRDefault="00D80E10" w:rsidP="00D80E10">
      <w:pPr>
        <w:ind w:firstLine="720"/>
      </w:pPr>
      <w:r w:rsidRPr="009867C1">
        <w:t xml:space="preserve">Contrary to expectations, </w:t>
      </w:r>
      <w:r w:rsidR="008C7E6A">
        <w:t xml:space="preserve">I </w:t>
      </w:r>
      <w:r w:rsidRPr="009867C1">
        <w:t xml:space="preserve">found no support for </w:t>
      </w:r>
      <w:r w:rsidR="008C7E6A">
        <w:t>the</w:t>
      </w:r>
      <w:r w:rsidRPr="009867C1">
        <w:t xml:space="preserve"> third prediction of a convergence of δ</w:t>
      </w:r>
      <w:r w:rsidRPr="009867C1">
        <w:rPr>
          <w:vertAlign w:val="superscript"/>
        </w:rPr>
        <w:t>15</w:t>
      </w:r>
      <w:r w:rsidRPr="009867C1">
        <w:t>N values between plants and soils along the salmon density gradient. Slopes did tend to diverge across our MDN gradient (</w:t>
      </w:r>
      <w:r w:rsidRPr="009867C1">
        <w:fldChar w:fldCharType="begin"/>
      </w:r>
      <w:r w:rsidRPr="009867C1">
        <w:instrText xml:space="preserve"> REF _Ref49955967 \h </w:instrText>
      </w:r>
      <w:r w:rsidR="009867C1">
        <w:instrText xml:space="preserve"> \* MERGEFORMAT </w:instrText>
      </w:r>
      <w:r w:rsidRPr="009867C1">
        <w:fldChar w:fldCharType="separate"/>
      </w:r>
      <w:r w:rsidR="000667DB" w:rsidRPr="009867C1">
        <w:t xml:space="preserve">Figure </w:t>
      </w:r>
      <w:r w:rsidR="000667DB">
        <w:rPr>
          <w:noProof/>
        </w:rPr>
        <w:t>3</w:t>
      </w:r>
      <w:r w:rsidR="000667DB">
        <w:rPr>
          <w:noProof/>
        </w:rPr>
        <w:noBreakHyphen/>
        <w:t>2</w:t>
      </w:r>
      <w:r w:rsidRPr="009867C1">
        <w:fldChar w:fldCharType="end"/>
      </w:r>
      <w:r w:rsidRPr="009867C1">
        <w:t>), but given a lack of interaction effects between the slope estimate and sample type (</w:t>
      </w:r>
      <w:r w:rsidRPr="009867C1">
        <w:fldChar w:fldCharType="begin"/>
      </w:r>
      <w:r w:rsidRPr="009867C1">
        <w:instrText xml:space="preserve"> REF _Ref67938725 \h </w:instrText>
      </w:r>
      <w:r w:rsidR="009867C1">
        <w:instrText xml:space="preserve"> \* MERGEFORMAT </w:instrText>
      </w:r>
      <w:r w:rsidRPr="009867C1">
        <w:fldChar w:fldCharType="separate"/>
      </w:r>
      <w:r w:rsidR="000667DB" w:rsidRPr="009867C1">
        <w:t xml:space="preserve">Table </w:t>
      </w:r>
      <w:r w:rsidR="000667DB">
        <w:rPr>
          <w:noProof/>
        </w:rPr>
        <w:t>3</w:t>
      </w:r>
      <w:r w:rsidR="000667DB">
        <w:rPr>
          <w:noProof/>
        </w:rPr>
        <w:noBreakHyphen/>
        <w:t>1</w:t>
      </w:r>
      <w:r w:rsidRPr="009867C1">
        <w:fldChar w:fldCharType="end"/>
      </w:r>
      <w:r w:rsidRPr="009867C1">
        <w:t xml:space="preserve">) </w:t>
      </w:r>
      <w:r w:rsidR="008C7E6A">
        <w:t>I</w:t>
      </w:r>
      <w:r w:rsidRPr="009867C1">
        <w:t xml:space="preserve"> consider this weak evidence for changing mycorrhizal transfer ratios across the MDN gradient. This is contrary to previous work looking at N-addition via fertilization in boreal forests </w:t>
      </w:r>
      <w:r w:rsidRPr="009867C1">
        <w:fldChar w:fldCharType="begin"/>
      </w:r>
      <w:r w:rsidR="00AC0205">
        <w:instrText xml:space="preserve"> ADDIN ZOTERO_ITEM CSL_CITATION {"citationID":"lO9yxrgD","properties":{"formattedCitation":"(E. A. Hobbie et al., 2019)","plainCitation":"(E. A. Hobbie et al., 2019)","noteIndex":0},"citationItems":[{"id":1663,"uris":["http://zotero.org/users/2189142/items/V3262PM4"],"itemData":{"id":1663,"type":"article-journal","abstract":"To assess how nitrogen (N) availability affected ectomycorrhizal functioning and to test a theoretical model of ectomycorrhizal 15N partitioning, we measured C/N and δ15N in soils and nine fungal taxa in two Swedish N addition experiments. Sporocarp C/N and soil C/N decreased with fertilization, implying that N uptake per unit fungal growth increased. The S horizon was more responsive than the F and H horizons to changes in N addition, with N turnover for these horizons of 24, 57, and 57 y, respectively. Fungal and soil δ15N patterns identified fungal N sources, with N acquisition primarily from the S, F, or H horizon for two, five, and two taxa, respectively. With increasing N availability, sporocarp 15N enrichment increased in five taxa, in agreement with our model of fungal-plant N partitioning. However, it decreased in Lactarius rufus and Russula aeruginea, perhaps indicating shifts towards greater inorganic N uptake in these two taxa. This may relate to the generally lower sensitivity of these taxa to N deposition compared to the Cortinarius and Suillus taxa that fit our model of 15N partitioning.","container-title":"Fungal Ecology","DOI":"10.1016/j.funeco.2018.12.013","ISSN":"1754-5048","journalAbbreviation":"Fungal Ecology","language":"en","page":"267-275","source":"ScienceDirect","title":"Fertilization alters nitrogen isotopes and concentrations in ectomycorrhizal fungi and soil in pine forests","volume":"39","author":[{"family":"Hobbie","given":"Erik A."},{"family":"Chen","given":"Janet"},{"family":"Hasselquist","given":"Niles J."}],"issued":{"date-parts":[["2019",6,1]]},"citation-key":"hobbie_2019"}}],"schema":"https://github.com/citation-style-language/schema/raw/master/csl-citation.json"} </w:instrText>
      </w:r>
      <w:r w:rsidRPr="009867C1">
        <w:fldChar w:fldCharType="separate"/>
      </w:r>
      <w:r w:rsidR="0042141C" w:rsidRPr="009867C1">
        <w:t>(E. A. Hobbie et al., 2019)</w:t>
      </w:r>
      <w:r w:rsidRPr="009867C1">
        <w:fldChar w:fldCharType="end"/>
      </w:r>
      <w:r w:rsidRPr="009867C1">
        <w:t>, which showed that higher N additions reduced δ</w:t>
      </w:r>
      <w:r w:rsidRPr="009867C1">
        <w:rPr>
          <w:vertAlign w:val="superscript"/>
        </w:rPr>
        <w:t>15</w:t>
      </w:r>
      <w:r w:rsidRPr="009867C1">
        <w:t>N differences between plants and sporocarps. Unlike previous studies, interpretation here is complicated by the isotopically enriched nature of the N addition, which may accumulate in the fungi and would contribute to δ</w:t>
      </w:r>
      <w:r w:rsidRPr="009867C1">
        <w:rPr>
          <w:vertAlign w:val="superscript"/>
        </w:rPr>
        <w:t>15</w:t>
      </w:r>
      <w:r w:rsidRPr="009867C1">
        <w:t xml:space="preserve">N divergence, potentially countervailing any convergence expected due to lowered transfer rates. While acknowledging these limitations, </w:t>
      </w:r>
      <w:r w:rsidR="008C7E6A">
        <w:t>I</w:t>
      </w:r>
      <w:r w:rsidRPr="009867C1">
        <w:t xml:space="preserve"> believe the most parsimonious explanation of no convergence or divergence in δ</w:t>
      </w:r>
      <w:r w:rsidRPr="009867C1">
        <w:rPr>
          <w:vertAlign w:val="superscript"/>
        </w:rPr>
        <w:t>15</w:t>
      </w:r>
      <w:r w:rsidRPr="009867C1">
        <w:t>N values are that N transfer rates do not change across this N-addition gradient. One possible reason for this could be that the N-addition here is primarily in organic form (</w:t>
      </w:r>
      <w:r w:rsidR="008314BD">
        <w:t>C</w:t>
      </w:r>
      <w:r w:rsidRPr="008314BD">
        <w:t>hapter 2</w:t>
      </w:r>
      <w:r w:rsidRPr="009867C1">
        <w:t xml:space="preserve">). </w:t>
      </w:r>
    </w:p>
    <w:p w14:paraId="52E177B2" w14:textId="085ABF8E" w:rsidR="00D80E10" w:rsidRPr="009867C1" w:rsidRDefault="00D80E10" w:rsidP="00D80E10">
      <w:pPr>
        <w:ind w:firstLine="720"/>
      </w:pPr>
      <w:r w:rsidRPr="009867C1">
        <w:t xml:space="preserve">While this situation likely prevails over the majority of the area at these sites, chemistries may be different in locally high-N hotspots under salmon carcasses. Denitrification rates have rarely been measured in MDN systems, but </w:t>
      </w:r>
      <w:r w:rsidR="00AF6C40">
        <w:t xml:space="preserve">soils in a salmon carcass displacement experiment </w:t>
      </w:r>
      <w:r w:rsidRPr="009867C1">
        <w:t xml:space="preserve">in Alaska showed no difference in transformation rates </w:t>
      </w:r>
      <w:r w:rsidRPr="009867C1">
        <w:fldChar w:fldCharType="begin"/>
      </w:r>
      <w:r w:rsidR="00AC0205">
        <w:instrText xml:space="preserve"> ADDIN ZOTERO_ITEM CSL_CITATION {"citationID":"88qVeGLv","properties":{"formattedCitation":"(Feddern et al., 2019)","plainCitation":"(Feddern et al., 2019)","noteIndex":0},"citationItems":[{"id":1688,"uris":["http://zotero.org/users/2189142/items/YIC4UT3V"],"itemData":{"id":1688,"type":"article-journal","abstract":"Pacific salmon acquire most of their biomass in the ocean before returning to spawn and die in coastal streams and lakes, thus providing subsidies of marine-derived nitrogen (MDN) to freshwater and terrestrial ecosystems. Recent declines in salmon abundance have raised questions of whether managers should mitigate for losses of salmon MDN subsidies. To test the long-term importance of salmon subsidies to riparian ecosystems, we measured soil nitrogen cycling in response to a 20-yr manipulation where salmon carcasses were systematically removed from one bank and deposited on the opposite bank along a 2-km stream in southwestern Alaska. Soil samples were taken at different distances from the stream bank along nine paired transects and measured for organic and inorganic nitrogen concentrations, and nitrogen transformation rates. Marine-derived nitrogen was measured using 15N/14N for bulk soils, and NH4+ and NO3− soil pools. Stable isotope analyses confirmed 15N/14N was elevated on the salmon-enhanced bank compared to the salmon-depleted bank. However, 15N/14N values of plant-available inorganic nitrogen exceeded the 15N/14N of salmon inputs, highlighting nitrogen isotope fractionation in soils that raises significant methodological issues with standard MDN assessments in riparian systems. Surprisingly, despite 20 yr of salmon supplementation, the presence of MDN did not cause a long-term increase in soil nitrogen availability. This finding indicates the importance of MDN to ecosystem nitrogen biogeochemistry, and riparian vegetation may be overestimated for some systems. Given that essential nutrients can also be pollutants, we urge more critical analyses of the role of MDN to inform compensatory mitigation programs targeting salmon nutrient enhancement.","container-title":"Ecosphere","DOI":"10.1002/ecs2.2958","ISSN":"2150-8925","issue":"11","language":"en","page":"e02958","source":"Wiley Online Library","title":"Riparian soil nitrogen cycling and isotopic enrichment in response to a long-term salmon carcass manipulation experiment","volume":"10","author":[{"family":"Feddern","given":"Megan L."},{"family":"Holtgrieve","given":"Gordon W."},{"family":"Perakis","given":"Steven S."},{"family":"Hart","given":"Julia"},{"family":"Ro","given":"Hyejoo"},{"family":"Quinn","given":"Thomas P."}],"issued":{"date-parts":[["2019"]]},"citation-key":"feddern_2019"}}],"schema":"https://github.com/citation-style-language/schema/raw/master/csl-citation.json"} </w:instrText>
      </w:r>
      <w:r w:rsidRPr="009867C1">
        <w:fldChar w:fldCharType="separate"/>
      </w:r>
      <w:r w:rsidR="0042141C" w:rsidRPr="009867C1">
        <w:t>(Feddern et al., 2019)</w:t>
      </w:r>
      <w:r w:rsidRPr="009867C1">
        <w:fldChar w:fldCharType="end"/>
      </w:r>
      <w:r w:rsidRPr="009867C1">
        <w:t xml:space="preserve">. In measures of soils directly under salmon amendments in Idaho, most of the MDN-nitrogen was shown to enter the soil via the ammonia- and urea-rich metabolic wastes of flies and other insects </w:t>
      </w:r>
      <w:r w:rsidRPr="009867C1">
        <w:fldChar w:fldCharType="begin"/>
      </w:r>
      <w:r w:rsidR="00AC0205">
        <w:instrText xml:space="preserve"> ADDIN ZOTERO_ITEM CSL_CITATION {"citationID":"RTW9T412","properties":{"formattedCitation":"(T. A. Wheeler &amp; Kavanagh, 2017)","plainCitation":"(T. A. Wheeler &amp; Kavanagh, 2017)","noteIndex":0},"citationItems":[{"id":1598,"uris":["http://zotero.org/users/2189142/items/DF4W6BUL"],"itemData":{"id":1598,"type":"article-journal","abstract":"The historic abundance of salmonids returning to natal streams of the inland Pacific Northwest, USA, may have constituted a major nutrient influx into these commonly oligotrophic ecosystems. Inland..., L’abondance historique des salmonidés qui reviennent vers les cours d’eau où ils ont vu le jour dans l’arrière-pays du Pacific Northwest aux États-Unis, ont pu constituer un apport majeur de nutrim...","container-title":"Canadian Journal of Forest Research","DOI":"10.1139/cjfr-2017-0194","ISSN":"0045-5067","issue":"11","journalAbbreviation":"Can. J. For. Res.","page":"1506-1516","source":"NRC Research Press","title":"Soil biogeochemical responses to the deposition of anadromous fish carcasses in inland riparian forests of the Pacific Northwest, USA","volume":"47","author":[{"family":"Wheeler","given":"Tadd A."},{"family":"Kavanagh","given":"Kathleen L."}],"issued":{"date-parts":[["2017",9,5]]},"citation-key":"wheeler_2017"}}],"schema":"https://github.com/citation-style-language/schema/raw/master/csl-citation.json"} </w:instrText>
      </w:r>
      <w:r w:rsidRPr="009867C1">
        <w:fldChar w:fldCharType="separate"/>
      </w:r>
      <w:r w:rsidR="0042141C" w:rsidRPr="009867C1">
        <w:t>(T. A. Wheeler &amp; Kavanagh, 2017)</w:t>
      </w:r>
      <w:r w:rsidRPr="009867C1">
        <w:fldChar w:fldCharType="end"/>
      </w:r>
      <w:r w:rsidRPr="009867C1">
        <w:t xml:space="preserve">. This is consistent with high numbers of insect consumers seen in Haida Gwaii and British Columbia’s Central Coast </w:t>
      </w:r>
      <w:r w:rsidRPr="009867C1">
        <w:fldChar w:fldCharType="begin"/>
      </w:r>
      <w:r w:rsidR="00AC0205">
        <w:instrText xml:space="preserve"> ADDIN ZOTERO_ITEM CSL_CITATION {"citationID":"wVXMbKVk","properties":{"formattedCitation":"(Hocking &amp; Reimchen, 2002; Reimchen, 2017)","plainCitation":"(Hocking &amp; Reimchen, 2002; Reimchen, 2017)","noteIndex":0},"citationItems":[{"id":192,"uris":["http://zotero.org/users/2189142/items/9XWRC4P6"],"itemData":{"id":192,"type":"article-journal","abstract":"Background: Bi-directional flow of nutrients between marine and terrestrial ecosystems can \nprovide essential resources that structure communities in transitional habitats. On the Pacific coast \nof North America, anadromous salmon (Oncorhynchus spp.) constitute a dominant nutrient subsidy \nto aquatic habitats and riparian vegetation, although the contribution to terrestrial habitats is not \nwell established. We use a dual isotope approach of δ15N and δ13C to test for the contribution of \nsalmon nutrients to multiple trophic levels of litter-based terrestrial invertebrates below and above \nwaterfalls that act as a barrier to salmon migration on two watersheds in coastal British Columbia. \nResults: Invertebrates varied predictably in δ15N with enrichment of 3–8‰ below the falls \ncompared with above the falls in all trophic groups on both watersheds. We observed increasing \nδ15N levels in our invertebrate groups with increasing consumption of dietary protein. \nInvertebrates varied in δ13C but did not always vary predictably with trophic level or habitat. From \n19.4 to 71.5% of invertebrate total nitrogen was originally derived from salmon depending on taxa, \nwatershed, and degree of fractionation from the source. \nConclusions: Enrichment of δ15N in the invertebrate community below the falls in conjunction \nwith the absence of δ13C enrichment suggests that enrichment in δ15N occurs primarily through \nsalmon-derived nitrogen subsidies to litter, soil and vegetation N pools rather than from direct \nconsumption of salmon tissue or salmon tissue consumers. Salmon nutrient subsidies to terrestrial \nhabitats may result in shifts in invertebrate community structure, with subsequent implications for \nhigher vertebrate consumers, particularly the passerines.","language":"en","source":"dspace.library.uvic.ca","title":"Salmon-derived nitrogen in terrestrial invertebrates from coniferous forests of the Pacific Northwest","URL":"https://dspace.library.uvic.ca//handle/1828/5039","author":[{"family":"Hocking","given":"Morgan D."},{"family":"Reimchen","given":"T.E."}],"accessed":{"date-parts":[["2015",4,8]]},"issued":{"date-parts":[["2002"]]},"citation-key":"hocking_2002"}},{"id":183,"uris":["http://zotero.org/users/2189142/items/5XY9XX4M"],"itemData":{"id":183,"type":"article-journal","abstract":"Based on five years of field studies (1992, 1993, 1994, 1998, 2000), I quantified bi-directional movement of salmon nutrients through an estuary, stream, and old growth forest in a large protected reserve on Haida Gwaii, British Columbia. In 1993, when most data were collected, about 6000 Chum Salmon (Oncorhynchus keta) entered the river of which 22% of the total biomass of senescent carcasses were swept downstream into the estuary and were scavenged by gulls (n = 350) and subtidal invertebrates. Of the 3700 salmon (10 000 kg) transferred by American Black Bear (Ursus americanus) to the riparian zone and partially consumed along the 800 m of stream channel, 5070 kg of salmon tissues abandoned by the bears were scavenged by Northwestern Crows (Corvus caurinus; n = 200) but mostly (4100 kg) by calliphorid blowfly larvae resulting in larval densities averaging 240/m2 throughout the riparian zone. Total nitrogen input to the soils from the combined effects of bear and scavenger activity as well as carcass input was 18 g/m2 within 10 m of the stream channel. δ15N of foliar tissues of Lanky Moss (Rhytidiadelphus loreus), Red Huckleberry (Vaccinium parvifolium), Salal (Gaultheria shallon), and Western Hemlock (Tsuga heterophylla) ranged about 15‰ to 20‰ among adjacent microsites in each species, with higher values occurring in salmon carcass zones. Total nitrogen in foliar tissues ranged from 1% to 2.4% among microsites and was best predicted by positive correlations with foliar 15N values and secondarily by presence/absence of salmon carcasses. This is the first study to integrate estuarine to riparian ecological processes in the cycling of salmonid nutrients and identifies a range of ecological baselines that can inform the multiple restoration programs underway in degraded watersheds in the North Pacific.","container-title":"Canadian Field Naturalist","ISSN":"0008-3550","language":"en","source":"pubag.nal.usda.gov","title":"Diverse Ecological Pathways of Salmon Nutrients Through an Intact Marine-terrestrial Interface","URL":"https://pubag.nal.usda.gov/catalog/6040059","author":[{"family":"Reimchen","given":"T.E."}],"accessed":{"date-parts":[["2019",8,4]]},"issued":{"date-parts":[["2017"]]},"citation-key":"reimchen_2017"}}],"schema":"https://github.com/citation-style-language/schema/raw/master/csl-citation.json"} </w:instrText>
      </w:r>
      <w:r w:rsidRPr="009867C1">
        <w:fldChar w:fldCharType="separate"/>
      </w:r>
      <w:r w:rsidR="0042141C" w:rsidRPr="009867C1">
        <w:t>(Hocking &amp; Reimchen, 2002; Reimchen, 2017)</w:t>
      </w:r>
      <w:r w:rsidRPr="009867C1">
        <w:fldChar w:fldCharType="end"/>
      </w:r>
      <w:r w:rsidRPr="009867C1">
        <w:t xml:space="preserve">, and thus carcass exudates may avoid a stage of highly concentrated nitrate-N inputs. Given that </w:t>
      </w:r>
      <w:r w:rsidR="008C7E6A">
        <w:t>I</w:t>
      </w:r>
      <w:r w:rsidRPr="009867C1">
        <w:t xml:space="preserve"> saw no nonlinear increase in </w:t>
      </w:r>
      <w:r w:rsidRPr="009867C1">
        <w:rPr>
          <w:vertAlign w:val="superscript"/>
        </w:rPr>
        <w:t>15</w:t>
      </w:r>
      <w:r w:rsidRPr="009867C1">
        <w:t xml:space="preserve">N at high N-inputs, as would be expected with volatilization, </w:t>
      </w:r>
      <w:r w:rsidR="008C7E6A">
        <w:t>I</w:t>
      </w:r>
      <w:r w:rsidRPr="009867C1">
        <w:t xml:space="preserve"> argue that denitrification is low in general in these soils. </w:t>
      </w:r>
      <w:r w:rsidR="008C7E6A">
        <w:t>T</w:t>
      </w:r>
      <w:r w:rsidRPr="009867C1">
        <w:t>his</w:t>
      </w:r>
      <w:r w:rsidR="008C7E6A">
        <w:t xml:space="preserve"> could</w:t>
      </w:r>
      <w:r w:rsidRPr="009867C1">
        <w:t xml:space="preserve"> be confirmed either through incubation methodologies, inferred through transcriptomics or q-PCR, and </w:t>
      </w:r>
      <w:r w:rsidRPr="009867C1">
        <w:rPr>
          <w:vertAlign w:val="superscript"/>
        </w:rPr>
        <w:t>15</w:t>
      </w:r>
      <w:r w:rsidRPr="009867C1">
        <w:t xml:space="preserve">N of exudate inputs directly measured to give better marine-member input estimates. </w:t>
      </w:r>
    </w:p>
    <w:p w14:paraId="2EB9CACC" w14:textId="5A0815FB" w:rsidR="00D80E10" w:rsidRPr="009867C1" w:rsidRDefault="00D80E10" w:rsidP="00D80E10">
      <w:pPr>
        <w:ind w:firstLine="720"/>
      </w:pPr>
      <w:r w:rsidRPr="009867C1">
        <w:t>While not measuring denitrification directly, a bear exclusion experiment in Alaska showed very high transient N</w:t>
      </w:r>
      <w:r w:rsidRPr="009867C1">
        <w:rPr>
          <w:vertAlign w:val="subscript"/>
        </w:rPr>
        <w:t>2</w:t>
      </w:r>
      <w:r w:rsidRPr="009867C1">
        <w:t xml:space="preserve">O flux when both salmon and bears were present </w:t>
      </w:r>
      <w:r w:rsidRPr="009867C1">
        <w:fldChar w:fldCharType="begin"/>
      </w:r>
      <w:r w:rsidR="00AC0205">
        <w:instrText xml:space="preserve"> ADDIN ZOTERO_ITEM CSL_CITATION {"citationID":"qAKtHCYy","properties":{"formattedCitation":"(Holtgrieve et al., 2009)","plainCitation":"(Holtgrieve et al., 2009)","noteIndex":0},"citationItems":[{"id":973,"uris":["http://zotero.org/users/2189142/items/RNMUUKA3"],"itemData":{"id":973,"type":"article-journal","abstract":"Two important themes in ecology include the understanding of how interactions among species control ecosystem processes, and how habitats can be connected through transfers of nutrients and energy by mobile organisms. An impressive example of both is the large influx of nutrients and organic matter that anadromous salmon supply to inland aquatic and terrestrial ecosystems and the role of predation by brown bears (Ursus arctos) in transferring these marine-derived nutrients (MDN) from freshwater to riparian habitats. In spite of the recognition that salmon-bear interactions likely play an important role in controlling the flux of MDN from aquatic to riparian habitats, few studies have linked bear predation on salmon to processes such as nitrogen (N) or carbon (C) cycling. We combine landscape-level survey data and a replicated bear-exclosure experiment to test how bear foraging on salmon affects nitrous oxide (N2O) flux, carbon dioxide (CO2) flux, and nutrient concentrations of riparian soils. Our results show that bears feeding on salmon increased soil ammonium (NH4 +) concentrations three-fold and N2O flux by 32-fold. Soil CO2 flux, nitrate (NO3 −), and N transformation differences were negligible in areas where bears fed on salmon. Reference areas without concentrated bear activity showed no detectable change in soil N cycling after the arrival of salmon to streams. Exclosure experiments showed that bear effects on soil nutrient cycles were transient, and soil N processing returned to background conditions within 1 year after bears were removed from the system. These results suggest that recipient ecosystems do not show uniform responses to MDN inputs and highlight the importance of large mobile consumers in generating landscape heterogeneity in nutrient cycles.","container-title":"Ecological Research","DOI":"10.1007/s11284-009-0591-8","ISSN":"0912-3814, 1440-1703","issue":"5","journalAbbreviation":"Ecol Res","language":"en","page":"1125-1135","source":"link.springer.com.ezproxy.library.ubc.ca","title":"Large predators and biogeochemical hotspots: brown bear (Ursus arctos) predation on salmon alters nitrogen cycling in riparian soils","title-short":"Large predators and biogeochemical hotspots","volume":"24","author":[{"family":"Holtgrieve","given":"Gordon W."},{"family":"Schindler","given":"Daniel E."},{"family":"Jewett","given":"Peter K."}],"issued":{"date-parts":[["2009",3,18]]},"citation-key":"holtgrieve_2009"}}],"schema":"https://github.com/citation-style-language/schema/raw/master/csl-citation.json"} </w:instrText>
      </w:r>
      <w:r w:rsidRPr="009867C1">
        <w:fldChar w:fldCharType="separate"/>
      </w:r>
      <w:r w:rsidR="0042141C" w:rsidRPr="009867C1">
        <w:t>(Holtgrieve et al., 2009)</w:t>
      </w:r>
      <w:r w:rsidRPr="009867C1">
        <w:fldChar w:fldCharType="end"/>
      </w:r>
      <w:r w:rsidRPr="009867C1">
        <w:t>. In general, N</w:t>
      </w:r>
      <w:r w:rsidRPr="009867C1">
        <w:rPr>
          <w:vertAlign w:val="subscript"/>
        </w:rPr>
        <w:t>2</w:t>
      </w:r>
      <w:r w:rsidRPr="009867C1">
        <w:t>O flux rate is upregulated by high temperature, high NO</w:t>
      </w:r>
      <w:r w:rsidRPr="009867C1">
        <w:rPr>
          <w:vertAlign w:val="subscript"/>
        </w:rPr>
        <w:t>3</w:t>
      </w:r>
      <w:r w:rsidRPr="009867C1">
        <w:rPr>
          <w:vertAlign w:val="superscript"/>
        </w:rPr>
        <w:t>-</w:t>
      </w:r>
      <w:r w:rsidRPr="009867C1">
        <w:t xml:space="preserve"> concentrations, and high soil carbon concentrations </w:t>
      </w:r>
      <w:r w:rsidRPr="009867C1">
        <w:fldChar w:fldCharType="begin"/>
      </w:r>
      <w:r w:rsidR="00AC0205">
        <w:instrText xml:space="preserve"> ADDIN ZOTERO_ITEM CSL_CITATION {"citationID":"0gFZxI7B","properties":{"formattedCitation":"(Qin et al., 2019)","plainCitation":"(Qin et al., 2019)","noteIndex":0},"citationItems":[{"id":119,"uris":["http://zotero.org/users/2189142/items/CC2NLK9J"],"itemData":{"id":119,"type":"article-journal","abstract":"Tree species and seasonal change influence N2O flux and microbial communities, but the mechanisms are unclear. We studied N2O flux in soils planted with slash pine and oil-seed camellia trees. We sampled on typical days of the four seasons. We tested whether N-cycling communities respond more to tree species or seasonal change. We assessed how tree species affect N2O flux.","container-title":"Plant and Soil","DOI":"10.1007/s11104-018-3863-7","ISSN":"1573-5036","issue":"1","journalAbbreviation":"Plant Soil","language":"en","page":"95-109","source":"Springer Link","title":"Linking soil N2O emissions with soil microbial community abundance and structure related to nitrogen cycle in two acid forest soils","volume":"435","author":[{"family":"Qin","given":"Hongling"},{"family":"Xing","given":"Xiaoyi"},{"family":"Tang","given":"Yafang"},{"family":"Hou","given":"Haijun"},{"family":"Yang","given":"Jie"},{"family":"Shen","given":"Rong"},{"family":"Zhang","given":"Wenzhao"},{"family":"Liu","given":"Yi"},{"family":"Wei","given":"Wenxue"}],"issued":{"date-parts":[["2019",2,1]]},"citation-key":"qin_2019"}}],"schema":"https://github.com/citation-style-language/schema/raw/master/csl-citation.json"} </w:instrText>
      </w:r>
      <w:r w:rsidRPr="009867C1">
        <w:fldChar w:fldCharType="separate"/>
      </w:r>
      <w:r w:rsidR="0042141C" w:rsidRPr="009867C1">
        <w:t>(Qin et al., 2019)</w:t>
      </w:r>
      <w:r w:rsidRPr="009867C1">
        <w:fldChar w:fldCharType="end"/>
      </w:r>
      <w:r w:rsidRPr="009867C1">
        <w:t>. Since fungi lack the N</w:t>
      </w:r>
      <w:r w:rsidRPr="009867C1">
        <w:rPr>
          <w:vertAlign w:val="subscript"/>
        </w:rPr>
        <w:t>2</w:t>
      </w:r>
      <w:r w:rsidRPr="009867C1">
        <w:t>O reductase gene needed to complete transformation to N</w:t>
      </w:r>
      <w:r w:rsidRPr="009867C1">
        <w:rPr>
          <w:vertAlign w:val="subscript"/>
        </w:rPr>
        <w:t>2,</w:t>
      </w:r>
      <w:r w:rsidRPr="009867C1">
        <w:t xml:space="preserve"> the large N</w:t>
      </w:r>
      <w:r w:rsidRPr="009867C1">
        <w:rPr>
          <w:vertAlign w:val="subscript"/>
        </w:rPr>
        <w:t>2</w:t>
      </w:r>
      <w:r w:rsidRPr="009867C1">
        <w:t xml:space="preserve">O flux accompanying salmon arrival </w:t>
      </w:r>
      <w:r w:rsidRPr="009867C1">
        <w:fldChar w:fldCharType="begin"/>
      </w:r>
      <w:r w:rsidR="00AC0205">
        <w:instrText xml:space="preserve"> ADDIN ZOTERO_ITEM CSL_CITATION {"citationID":"VaqxHclM","properties":{"formattedCitation":"(Holtgrieve et al., 2009)","plainCitation":"(Holtgrieve et al., 2009)","noteIndex":0},"citationItems":[{"id":973,"uris":["http://zotero.org/users/2189142/items/RNMUUKA3"],"itemData":{"id":973,"type":"article-journal","abstract":"Two important themes in ecology include the understanding of how interactions among species control ecosystem processes, and how habitats can be connected through transfers of nutrients and energy by mobile organisms. An impressive example of both is the large influx of nutrients and organic matter that anadromous salmon supply to inland aquatic and terrestrial ecosystems and the role of predation by brown bears (Ursus arctos) in transferring these marine-derived nutrients (MDN) from freshwater to riparian habitats. In spite of the recognition that salmon-bear interactions likely play an important role in controlling the flux of MDN from aquatic to riparian habitats, few studies have linked bear predation on salmon to processes such as nitrogen (N) or carbon (C) cycling. We combine landscape-level survey data and a replicated bear-exclosure experiment to test how bear foraging on salmon affects nitrous oxide (N2O) flux, carbon dioxide (CO2) flux, and nutrient concentrations of riparian soils. Our results show that bears feeding on salmon increased soil ammonium (NH4 +) concentrations three-fold and N2O flux by 32-fold. Soil CO2 flux, nitrate (NO3 −), and N transformation differences were negligible in areas where bears fed on salmon. Reference areas without concentrated bear activity showed no detectable change in soil N cycling after the arrival of salmon to streams. Exclosure experiments showed that bear effects on soil nutrient cycles were transient, and soil N processing returned to background conditions within 1 year after bears were removed from the system. These results suggest that recipient ecosystems do not show uniform responses to MDN inputs and highlight the importance of large mobile consumers in generating landscape heterogeneity in nutrient cycles.","container-title":"Ecological Research","DOI":"10.1007/s11284-009-0591-8","ISSN":"0912-3814, 1440-1703","issue":"5","journalAbbreviation":"Ecol Res","language":"en","page":"1125-1135","source":"link.springer.com.ezproxy.library.ubc.ca","title":"Large predators and biogeochemical hotspots: brown bear (Ursus arctos) predation on salmon alters nitrogen cycling in riparian soils","title-short":"Large predators and biogeochemical hotspots","volume":"24","author":[{"family":"Holtgrieve","given":"Gordon W."},{"family":"Schindler","given":"Daniel E."},{"family":"Jewett","given":"Peter K."}],"issued":{"date-parts":[["2009",3,18]]},"citation-key":"holtgrieve_2009"}}],"schema":"https://github.com/citation-style-language/schema/raw/master/csl-citation.json"} </w:instrText>
      </w:r>
      <w:r w:rsidRPr="009867C1">
        <w:fldChar w:fldCharType="separate"/>
      </w:r>
      <w:r w:rsidR="0042141C" w:rsidRPr="009867C1">
        <w:t>(Holtgrieve et al., 2009)</w:t>
      </w:r>
      <w:r w:rsidRPr="009867C1">
        <w:fldChar w:fldCharType="end"/>
      </w:r>
      <w:r w:rsidRPr="009867C1">
        <w:t xml:space="preserve"> may imply that fungi, not bacteria as commonly assumed, are the primary drivers of N metabolism in these systems </w:t>
      </w:r>
      <w:r w:rsidRPr="009867C1">
        <w:fldChar w:fldCharType="begin"/>
      </w:r>
      <w:r w:rsidR="00AC0205">
        <w:instrText xml:space="preserve"> ADDIN ZOTERO_ITEM CSL_CITATION {"citationID":"s4gEmlaG","properties":{"formattedCitation":"(Laughlin &amp; Stevens, 2002)","plainCitation":"(Laughlin &amp; Stevens, 2002)","noteIndex":0},"citationItems":[{"id":1175,"uris":["http://zotero.org/users/2189142/items/NPCZZI6P"],"itemData":{"id":1175,"type":"article-journal","container-title":"Soil Science Society of America Journal","issue":"5","page":"1540–1548","source":"Google Scholar","title":"Evidence for fungal dominance of denitrification and codenitrification in a grassland soil","volume":"66","author":[{"family":"Laughlin","given":"Ronald J."},{"family":"Stevens","given":"R. James"}],"issued":{"date-parts":[["2002"]]},"citation-key":"laughlin_2002"}}],"schema":"https://github.com/citation-style-language/schema/raw/master/csl-citation.json"} </w:instrText>
      </w:r>
      <w:r w:rsidRPr="009867C1">
        <w:fldChar w:fldCharType="separate"/>
      </w:r>
      <w:r w:rsidR="0042141C" w:rsidRPr="009867C1">
        <w:t>(Laughlin &amp; Stevens, 2002)</w:t>
      </w:r>
      <w:r w:rsidRPr="009867C1">
        <w:fldChar w:fldCharType="end"/>
      </w:r>
      <w:r w:rsidRPr="009867C1">
        <w:t>. This possibility suggests that we should center fungi in investigations of N-metabolism in salmon forests.</w:t>
      </w:r>
    </w:p>
    <w:p w14:paraId="28A5B380" w14:textId="02C2BA66" w:rsidR="00D80E10" w:rsidRPr="009867C1" w:rsidRDefault="00D80E10" w:rsidP="00D80E10">
      <w:pPr>
        <w:ind w:firstLine="720"/>
      </w:pPr>
      <w:r w:rsidRPr="009867C1">
        <w:t>N</w:t>
      </w:r>
      <w:r w:rsidRPr="009867C1">
        <w:rPr>
          <w:vertAlign w:val="subscript"/>
        </w:rPr>
        <w:t>2</w:t>
      </w:r>
      <w:r w:rsidRPr="009867C1">
        <w:t xml:space="preserve">O </w:t>
      </w:r>
      <w:r w:rsidR="00C518CA">
        <w:t xml:space="preserve">(g) </w:t>
      </w:r>
      <w:r w:rsidRPr="009867C1">
        <w:t>can be produced by denitrifying processes, but it</w:t>
      </w:r>
      <w:r w:rsidR="00C518CA">
        <w:t>s production may be</w:t>
      </w:r>
      <w:r w:rsidRPr="009867C1">
        <w:t xml:space="preserve"> </w:t>
      </w:r>
      <w:r w:rsidR="00C518CA">
        <w:t>mitigated</w:t>
      </w:r>
      <w:r w:rsidRPr="009867C1">
        <w:t xml:space="preserve"> through dissimilatory nitrogen reduction to ammonia (DNRA) </w:t>
      </w:r>
      <w:r w:rsidRPr="009867C1">
        <w:fldChar w:fldCharType="begin"/>
      </w:r>
      <w:r w:rsidR="00AC0205">
        <w:instrText xml:space="preserve"> ADDIN ZOTERO_ITEM CSL_CITATION {"citationID":"LRvcVdli","properties":{"formattedCitation":"(R\\uc0\\u252{}tting et al., 2011)","plainCitation":"(Rütting et al., 2011)","noteIndex":0},"citationItems":[{"id":1959,"uris":["http://zotero.org/users/2189142/items/KUPRRHEX"],"itemData":{"id":1959,"type":"article-journal","abstract":"The nitrogen (N) cycle contains two different processes of dissimilatory nitrate (NO(3)(-)) reduction, denitrification and dissimilatory NO(3)(-) reduction to ammonium (DNRA). While there is general agreement that the denitrification process takes place in many soils, the occurrence and importance of DNRA is generally not considered. Two approaches have been used to investigate DNRA in soil, (1) microbiological techniques to identify soil microorganisms capable of DNRA and (2) (15)N tracing to elucidate the occurrence of DNRA and to quantify gross DNRA rates. There is evidence that many soil bacteria and fungi have the ability to perform DNRA. Redox status and C/NO(3)(-) ratio have been identified as the most important factors regulating DNRA in soil. (15)N tracing studies have shown that gross DNRA rates can be a significant or even a dominant NO(3)(-) consumption process in some ecosystems. Moreover, a link between heterotrophic nitrification and DNRA provides an alternative pathway of ammonium (NH(4)(+)) production to mineralisation. Numerical (15)N tracing models are particularly useful when investigating DNRA in the context of other N cycling processes. The results of correlation and regression analyses show that highest gross DNRA rates can be expected in soils with high organic matter content in humid regions, while its relative importance is higher in temperate climates. With this review we summarise the importance and current knowledge of this often overlooked NO(3)(-) consumption process within the terrestrial N cycle. We strongly encourage considering DNRA as a relevant process in future soil N cycling investigations.","container-title":"BIOGEOSCIENCES","DOI":"10.5194/bg-8-1779-2011","ISSN":"1726-4170","issue":"7","language":"eng","note":"number: 7","page":"1779-1791","source":"biblio.ugent.be","title":"Assessment of the importance of dissimilatory nitrate reduction to ammonium for the terrestrial nitrogen cycle","volume":"8","author":[{"family":"Rütting","given":"T."},{"family":"Boeckx","given":"Pascal"},{"family":"Müller","given":"C."},{"family":"Klemedtsson","given":"L."}],"issued":{"date-parts":[["2011"]]},"citation-key":"rutting_2011a"}}],"schema":"https://github.com/citation-style-language/schema/raw/master/csl-citation.json"} </w:instrText>
      </w:r>
      <w:r w:rsidRPr="009867C1">
        <w:fldChar w:fldCharType="separate"/>
      </w:r>
      <w:r w:rsidR="0042141C" w:rsidRPr="009867C1">
        <w:t>(Rütting et al., 2011)</w:t>
      </w:r>
      <w:r w:rsidRPr="009867C1">
        <w:fldChar w:fldCharType="end"/>
      </w:r>
      <w:r w:rsidRPr="009867C1">
        <w:t>. DNRA reduces nitrate to ammonium, and competes with denitrification for NO</w:t>
      </w:r>
      <w:r w:rsidRPr="009867C1">
        <w:rPr>
          <w:vertAlign w:val="subscript"/>
        </w:rPr>
        <w:t>3</w:t>
      </w:r>
      <w:r w:rsidRPr="009867C1">
        <w:t xml:space="preserve"> substrate. Ammonium has lower soil mobility and is less likely to be leached from soils than nitrate or off-gassed as nitrogenous gases; hence DNRA represents a pathway that retains nitrogen in the ecosystem. DNRA has been shown to account for between 20-100% of N metabolism in soil, including 99% in a Chilean temperate rainforest which resembles the biome investigated here. DNRA is favoured over denitrification in reduced, acidic, Fe-rich, cold, carbon-rich soil with high amounts of organic matter; these conditions </w:t>
      </w:r>
      <w:r w:rsidR="00EC136A">
        <w:t>exemplify</w:t>
      </w:r>
      <w:r w:rsidRPr="009867C1">
        <w:t xml:space="preserve"> the BC central coast </w:t>
      </w:r>
      <w:r w:rsidR="00EC136A">
        <w:t>F</w:t>
      </w:r>
      <w:r w:rsidRPr="009867C1">
        <w:t xml:space="preserve">olisols investigated here. If predominant, it may present an alternative means of N cycling and create a tighter and less leaky N cycle than previously assumed </w:t>
      </w:r>
      <w:r w:rsidRPr="009867C1">
        <w:fldChar w:fldCharType="begin"/>
      </w:r>
      <w:r w:rsidR="00AC0205">
        <w:instrText xml:space="preserve"> ADDIN ZOTERO_ITEM CSL_CITATION {"citationID":"MyqzvhMW","properties":{"formattedCitation":"(Amundson et al., 2003; Handley et al., 1999)","plainCitation":"(Amundson et al., 2003; Handley et al., 1999)","noteIndex":0},"citationItems":[{"id":879,"uris":["http://zotero.org/users/2189142/items/BXZVGJB4"],"itemData":{"id":879,"type":"article-journal","abstract":"We compiled new and published data on the natural abundance N isotope composition (δ15N values) of soil and plant organic matter from around the world. Across a broad range of climate and ecosystem types, we found that soil and plant δ15N values systematically decreased with increasing mean annual precipitation (MAP) and decreasing mean annual temperature (MAT). Because most undisturbed soils are near N steady state, the observations suggest that an increasing fraction of ecosystem N losses are 15N-depleted forms (NO3, N2O, etc.) with decreasing MAP and increasing MAT. Wetter and colder ecosystems appear to be more efficient in conserving and recycling mineral N. Globally, plant δ15N values are more negative than soils, but the difference (δ15Nplant-δ15Nsoil) increases with decreasing MAT (and secondarily increasing MAP), suggesting a systematic change in the source of plant-available N (organic/NH4+ versus NO3−) with climate. Nitrogen isotopes reflect time integrated measures of the controls on N storage that are critical for predictions of how these ecosystems will respond to human-mediated disturbances of the global N cycle.","container-title":"Global Biogeochemical Cycles","DOI":"10.1029/2002GB001903","ISSN":"1944-9224","issue":"1","journalAbbreviation":"Global Biogeochem. Cycles","language":"en","page":"1031","source":"Wiley Online Library","title":"Global patterns of the isotopic composition of soil and plant nitrogen","volume":"17","author":[{"family":"Amundson","given":"Ronald"},{"family":"Austin","given":"A. T."},{"family":"Schuur","given":"E. a. G."},{"family":"Yoo","given":"K."},{"family":"Matzek","given":"V."},{"family":"Kendall","given":"C."},{"family":"Uebersax","given":"A."},{"family":"Brenner","given":"D."},{"family":"Baisden","given":"W. T."}],"issued":{"date-parts":[["2003",3,1]]},"citation-key":"amundson_2003"}},{"id":725,"uris":["http://zotero.org/users/2189142/items/8KF5SC3B"],"itemData":{"id":725,"type":"article-journal","abstract":"We assembled a globally-derived data set for site-averaged foliar &amp;#948;&lt;sup&gt;15&lt;/sup&gt;N, the &amp;#948;&lt;sup&gt;15&lt;/sup&gt;N of whole surface mineral soil and corresponding site factors (mean annual rainfall and temperature, latitude, altitude and soil pH). The &amp;#948;&lt;sup&gt;15&lt;/sup&gt;N of whole soil was related to all of the site variables (including foliar &amp;#948;&lt;sup&gt;15&lt;/sup&gt; N) except altitude and, when regressed on latitude and rainfall, provided the best model of these data, accounting for 49% of the variation in whole soil &amp;#948;&lt;sup&gt;15&lt;/sup&gt;N. As single linear regressions, site-averaged foliar &amp;#948;&lt;sup&gt;15&lt;/sup&gt;N was more strongly related to rainfall than was whole soil &amp;#948;&lt;sup&gt;15&lt;/sup&gt;N. A smaller data set showed similar, negative correlations between whole soil &amp;#948;&lt;sup&gt;15&lt;/sup&gt;N, site-averaged foliar &amp;#948;&lt;sup&gt;15&lt;/sup&gt;N and soil moisture variations during a single growing season. The negative correlation between water availability (measured here by rainfall and temperature) and soil or plant &amp;#948;&lt;sup&gt;15&lt;/sup&gt;N fails at the landscape scale, where wet spots are &amp;#948;&lt;sup&gt;15&lt;/sup&gt;N-enriched relative to their drier surroundings. Here we present global and seasonal data, postulate a proximate mechanism for the overall relationship between water availability and ecosystem &amp;#948;&lt;sup&gt;15&lt;/sup&gt;N and, newly, a mechanism accounting for the highly &amp;#948;&lt;sup&gt;15&lt;/sup&gt;N-depleted values found in the foliage and soils of many wet/cold ecosystems. These hypotheses are complemented by documentation of the present gaps in knowledge, suggesting lines of research which will provide new insights into terrestrial N-cycling. Our conclusions are consistent with those of Austin and Vitousek (1998) that foliar (and soil) &amp;#948;&lt;sup&gt;15&lt;/sup&gt;N appear to be related to the residence time of whole ecosystem N.","container-title":"Functional Plant Biology","issue":"2","journalAbbreviation":"Functional Plant Biol.","page":"185-199","source":"CSIRO Publishing","title":"The 15N natural abundance (δ15N) of ecosystem samples reflects measures of water availability","volume":"26","author":[{"family":"Handley","given":"L. L."},{"family":"Austin","given":"A. T."},{"family":"Stewart","given":"G. R."},{"family":"Robinson","given":"D."},{"family":"Scrimgeour","given":"C. M."},{"family":"Raven","given":"J. A."},{"family":"Heaton","given":"T. H. E."},{"family":"Schmidt","given":"S."}],"issued":{"date-parts":[["1999",1,1]]},"citation-key":"handley_1999a"}}],"schema":"https://github.com/citation-style-language/schema/raw/master/csl-citation.json"} </w:instrText>
      </w:r>
      <w:r w:rsidRPr="009867C1">
        <w:fldChar w:fldCharType="separate"/>
      </w:r>
      <w:r w:rsidR="0042141C" w:rsidRPr="009867C1">
        <w:t>(Amundson et al., 2003; Handley et al., 1999)</w:t>
      </w:r>
      <w:r w:rsidRPr="009867C1">
        <w:fldChar w:fldCharType="end"/>
      </w:r>
      <w:r w:rsidRPr="009867C1">
        <w:t xml:space="preserve">.     </w:t>
      </w:r>
    </w:p>
    <w:p w14:paraId="77E40299" w14:textId="5967B955" w:rsidR="00D80E10" w:rsidRPr="009867C1" w:rsidRDefault="00D80E10" w:rsidP="00D80E10">
      <w:pPr>
        <w:ind w:firstLine="720"/>
      </w:pPr>
      <w:r w:rsidRPr="009867C1">
        <w:t xml:space="preserve">Indeed, measured nitrate pools in these systems are very low </w:t>
      </w:r>
      <w:r w:rsidRPr="009867C1">
        <w:fldChar w:fldCharType="begin"/>
      </w:r>
      <w:r w:rsidR="00AC0205">
        <w:instrText xml:space="preserve"> ADDIN ZOTERO_ITEM CSL_CITATION {"citationID":"OzfA01mj","properties":{"formattedCitation":"(Drake, 2005; Gende et al., 2007; Holtgrieve et al., 2009; T. A. Wheeler &amp; Kavanagh, 2017)","plainCitation":"(Drake, 2005; Gende et al., 2007; Holtgrieve et al., 2009; T. A. Wheeler &amp; Kavanagh, 2017)","noteIndex":0},"citationItems":[{"id":241,"uris":["http://zotero.org/users/2189142/items/STBQGJNS"],"itemData":{"id":241,"type":"thesis","publisher":"University of Washington","source":"Google Scholar","title":"The fate and influence of salmon nutrients in riparian soils and trees: seasonal to multi-century patterns","title-short":"The fate and influence of salmon nutrients in riparian soils and trees","URL":"http://weber.s.uw.edu/research/publications/ms_phd/Drake_D_PhD_W05.pdf","author":[{"family":"Drake","given":"Deanne. C."}],"accessed":{"date-parts":[["2015",6,24]]},"issued":{"date-parts":[["2005"]]},"citation-key":"drake_2005a"}},{"id":474,"uris":["http://zotero.org/users/2189142/items/3J3JTBR8"],"itemData":{"id":474,"type":"article-journal","abstract":"Long-term studies in Alaska have demonstrated that bears may capture and carry to the riparian forest a large number of salmon that return to spawn in small freshwater streams. Most of the carcasses are partially consumed, resulting in a large amount of salmon nutrients in the form of biomass deposited on the forest floor. Using an experimental approach, we examined how these carcasses may influence the spatial and temporal dynamics of soil C and N in a riparian forest in southeastern Alaska. At their peak, ammonium (NH4+-N) concentrations in soil 10 cm from carcasses were as much as several orders of magnitude greater than soils in adjacent control plots without carcasses and remained elevated until the onset of winter. Nitrate (NO3–-N) and δ15N concentrations also increased coincident with maximum NH4+-N concentrations. However, soil N concentrations were only moderately elevated 20 cm from carcasses and closely resembled background concentrations at 30 cm. These results suggest that salmon carcasses, v..., Des études à long terme réalisées en Alaska ont démontré que les ours peuvent capturer et transporter vers la forêt riveraine un grand nombre de saumons qui reviennent frayer dans les petits ruisseaux d’eau douce. La plupart des carcasses sont partiellement consommées entraînant le dépôt dune grande quantité de nutriments sous forme de biomasse sur le parterre forestier. À l’aide d’une approche expérimentale, nous avons examiné comment ces carcasses peuvent influencer la dynamique spatiale et temporelle du C et de N du sol dans une forêt riveraine du sud-est de l’Alaska. À son maximum, la concentration d’ammonium (NH4+-N) dans le sol à 10 cm des carcasses était jusqu’à plusieurs ordres de grandeur plus élevée que dans le sol de parcelles témoins adjacentes sans carcasses et est demeurée élevée jusqu’au début de l’hiver. Les concentrations de nitrate (NO3–-N) et de δ15N ont aussi augmenté en même temps que la concentration maximum de NH4+-N. Cependant, la concentration de N dans le sol était seulement modé...","container-title":"Canadian Journal of Forest Research","DOI":"10.1139/X06-318","ISSN":"0045-5067","issue":"7","journalAbbreviation":"Can. J. For. Res.","page":"1194-1202","source":"NRC Research Press","title":"The effects of salmon carcasses on soil nitrogen pools in a riparian forest of southeastern Alaska","volume":"37","author":[{"family":"Gende","given":"Scott M."},{"family":"Miller","given":"Amy E."},{"family":"Hood","given":"Eran"}],"issued":{"date-parts":[["2007",7,1]]},"citation-key":"gende_2007"}},{"id":973,"uris":["http://zotero.org/users/2189142/items/RNMUUKA3"],"itemData":{"id":973,"type":"article-journal","abstract":"Two important themes in ecology include the understanding of how interactions among species control ecosystem processes, and how habitats can be connected through transfers of nutrients and energy by mobile organisms. An impressive example of both is the large influx of nutrients and organic matter that anadromous salmon supply to inland aquatic and terrestrial ecosystems and the role of predation by brown bears (Ursus arctos) in transferring these marine-derived nutrients (MDN) from freshwater to riparian habitats. In spite of the recognition that salmon-bear interactions likely play an important role in controlling the flux of MDN from aquatic to riparian habitats, few studies have linked bear predation on salmon to processes such as nitrogen (N) or carbon (C) cycling. We combine landscape-level survey data and a replicated bear-exclosure experiment to test how bear foraging on salmon affects nitrous oxide (N2O) flux, carbon dioxide (CO2) flux, and nutrient concentrations of riparian soils. Our results show that bears feeding on salmon increased soil ammonium (NH4 +) concentrations three-fold and N2O flux by 32-fold. Soil CO2 flux, nitrate (NO3 −), and N transformation differences were negligible in areas where bears fed on salmon. Reference areas without concentrated bear activity showed no detectable change in soil N cycling after the arrival of salmon to streams. Exclosure experiments showed that bear effects on soil nutrient cycles were transient, and soil N processing returned to background conditions within 1 year after bears were removed from the system. These results suggest that recipient ecosystems do not show uniform responses to MDN inputs and highlight the importance of large mobile consumers in generating landscape heterogeneity in nutrient cycles.","container-title":"Ecological Research","DOI":"10.1007/s11284-009-0591-8","ISSN":"0912-3814, 1440-1703","issue":"5","journalAbbreviation":"Ecol Res","language":"en","page":"1125-1135","source":"link.springer.com.ezproxy.library.ubc.ca","title":"Large predators and biogeochemical hotspots: brown bear (Ursus arctos) predation on salmon alters nitrogen cycling in riparian soils","title-short":"Large predators and biogeochemical hotspots","volume":"24","author":[{"family":"Holtgrieve","given":"Gordon W."},{"family":"Schindler","given":"Daniel E."},{"family":"Jewett","given":"Peter K."}],"issued":{"date-parts":[["2009",3,18]]},"citation-key":"holtgrieve_2009"}},{"id":1598,"uris":["http://zotero.org/users/2189142/items/DF4W6BUL"],"itemData":{"id":1598,"type":"article-journal","abstract":"The historic abundance of salmonids returning to natal streams of the inland Pacific Northwest, USA, may have constituted a major nutrient influx into these commonly oligotrophic ecosystems. Inland..., L’abondance historique des salmonidés qui reviennent vers les cours d’eau où ils ont vu le jour dans l’arrière-pays du Pacific Northwest aux États-Unis, ont pu constituer un apport majeur de nutrim...","container-title":"Canadian Journal of Forest Research","DOI":"10.1139/cjfr-2017-0194","ISSN":"0045-5067","issue":"11","journalAbbreviation":"Can. J. For. Res.","page":"1506-1516","source":"NRC Research Press","title":"Soil biogeochemical responses to the deposition of anadromous fish carcasses in inland riparian forests of the Pacific Northwest, USA","volume":"47","author":[{"family":"Wheeler","given":"Tadd A."},{"family":"Kavanagh","given":"Kathleen L."}],"issued":{"date-parts":[["2017",9,5]]},"citation-key":"wheeler_2017"}}],"schema":"https://github.com/citation-style-language/schema/raw/master/csl-citation.json"} </w:instrText>
      </w:r>
      <w:r w:rsidRPr="009867C1">
        <w:fldChar w:fldCharType="separate"/>
      </w:r>
      <w:r w:rsidR="0042141C" w:rsidRPr="009867C1">
        <w:t>(Drake, 2005; Gende et al., 2007; Holtgrieve et al., 2009; T. A. Wheeler &amp; Kavanagh, 2017)</w:t>
      </w:r>
      <w:r w:rsidRPr="009867C1">
        <w:fldChar w:fldCharType="end"/>
      </w:r>
      <w:r w:rsidRPr="009867C1">
        <w:t xml:space="preserve"> (</w:t>
      </w:r>
      <w:r w:rsidR="008314BD">
        <w:t>C</w:t>
      </w:r>
      <w:r w:rsidRPr="008314BD">
        <w:t>hapter 2).</w:t>
      </w:r>
      <w:r w:rsidRPr="009867C1">
        <w:t xml:space="preserve"> Ammonium is the dominant chemical form of labile N, and whe</w:t>
      </w:r>
      <w:r w:rsidR="00EC136A">
        <w:t>n</w:t>
      </w:r>
      <w:r w:rsidRPr="009867C1">
        <w:t xml:space="preserve"> differentiated, the ammonium pool showed increased </w:t>
      </w:r>
      <w:r w:rsidRPr="009867C1">
        <w:rPr>
          <w:vertAlign w:val="superscript"/>
        </w:rPr>
        <w:t>15</w:t>
      </w:r>
      <w:r w:rsidRPr="009867C1">
        <w:t xml:space="preserve">N but nitrate did not </w:t>
      </w:r>
      <w:r w:rsidRPr="009867C1">
        <w:fldChar w:fldCharType="begin"/>
      </w:r>
      <w:r w:rsidR="00AC0205">
        <w:instrText xml:space="preserve"> ADDIN ZOTERO_ITEM CSL_CITATION {"citationID":"mBlOC9GN","properties":{"formattedCitation":"(Feddern et al., 2019)","plainCitation":"(Feddern et al., 2019)","noteIndex":0},"citationItems":[{"id":1688,"uris":["http://zotero.org/users/2189142/items/YIC4UT3V"],"itemData":{"id":1688,"type":"article-journal","abstract":"Pacific salmon acquire most of their biomass in the ocean before returning to spawn and die in coastal streams and lakes, thus providing subsidies of marine-derived nitrogen (MDN) to freshwater and terrestrial ecosystems. Recent declines in salmon abundance have raised questions of whether managers should mitigate for losses of salmon MDN subsidies. To test the long-term importance of salmon subsidies to riparian ecosystems, we measured soil nitrogen cycling in response to a 20-yr manipulation where salmon carcasses were systematically removed from one bank and deposited on the opposite bank along a 2-km stream in southwestern Alaska. Soil samples were taken at different distances from the stream bank along nine paired transects and measured for organic and inorganic nitrogen concentrations, and nitrogen transformation rates. Marine-derived nitrogen was measured using 15N/14N for bulk soils, and NH4+ and NO3− soil pools. Stable isotope analyses confirmed 15N/14N was elevated on the salmon-enhanced bank compared to the salmon-depleted bank. However, 15N/14N values of plant-available inorganic nitrogen exceeded the 15N/14N of salmon inputs, highlighting nitrogen isotope fractionation in soils that raises significant methodological issues with standard MDN assessments in riparian systems. Surprisingly, despite 20 yr of salmon supplementation, the presence of MDN did not cause a long-term increase in soil nitrogen availability. This finding indicates the importance of MDN to ecosystem nitrogen biogeochemistry, and riparian vegetation may be overestimated for some systems. Given that essential nutrients can also be pollutants, we urge more critical analyses of the role of MDN to inform compensatory mitigation programs targeting salmon nutrient enhancement.","container-title":"Ecosphere","DOI":"10.1002/ecs2.2958","ISSN":"2150-8925","issue":"11","language":"en","page":"e02958","source":"Wiley Online Library","title":"Riparian soil nitrogen cycling and isotopic enrichment in response to a long-term salmon carcass manipulation experiment","volume":"10","author":[{"family":"Feddern","given":"Megan L."},{"family":"Holtgrieve","given":"Gordon W."},{"family":"Perakis","given":"Steven S."},{"family":"Hart","given":"Julia"},{"family":"Ro","given":"Hyejoo"},{"family":"Quinn","given":"Thomas P."}],"issued":{"date-parts":[["2019"]]},"citation-key":"feddern_2019"}}],"schema":"https://github.com/citation-style-language/schema/raw/master/csl-citation.json"} </w:instrText>
      </w:r>
      <w:r w:rsidRPr="009867C1">
        <w:fldChar w:fldCharType="separate"/>
      </w:r>
      <w:r w:rsidR="0042141C" w:rsidRPr="009867C1">
        <w:t>(Feddern et al., 2019)</w:t>
      </w:r>
      <w:r w:rsidRPr="009867C1">
        <w:fldChar w:fldCharType="end"/>
      </w:r>
      <w:r w:rsidRPr="009867C1">
        <w:t>. This supports a salmon – protein – amino acid – urea - NH</w:t>
      </w:r>
      <w:r w:rsidRPr="009867C1">
        <w:rPr>
          <w:vertAlign w:val="subscript"/>
        </w:rPr>
        <w:t>4</w:t>
      </w:r>
      <w:r w:rsidRPr="009867C1">
        <w:t xml:space="preserve"> pathway of N metabolism with minimal oxidation to nitrate</w:t>
      </w:r>
      <w:r w:rsidR="00EC136A">
        <w:t>,</w:t>
      </w:r>
      <w:r w:rsidRPr="009867C1">
        <w:t xml:space="preserve"> as speculated by </w:t>
      </w:r>
      <w:r w:rsidRPr="009867C1">
        <w:fldChar w:fldCharType="begin"/>
      </w:r>
      <w:r w:rsidR="00AC0205">
        <w:instrText xml:space="preserve"> ADDIN ZOTERO_ITEM CSL_CITATION {"citationID":"DC62sqXm","properties":{"formattedCitation":"(Gende et al., 2007)","plainCitation":"(Gende et al., 2007)","noteIndex":0},"citationItems":[{"id":474,"uris":["http://zotero.org/users/2189142/items/3J3JTBR8"],"itemData":{"id":474,"type":"article-journal","abstract":"Long-term studies in Alaska have demonstrated that bears may capture and carry to the riparian forest a large number of salmon that return to spawn in small freshwater streams. Most of the carcasses are partially consumed, resulting in a large amount of salmon nutrients in the form of biomass deposited on the forest floor. Using an experimental approach, we examined how these carcasses may influence the spatial and temporal dynamics of soil C and N in a riparian forest in southeastern Alaska. At their peak, ammonium (NH4+-N) concentrations in soil 10 cm from carcasses were as much as several orders of magnitude greater than soils in adjacent control plots without carcasses and remained elevated until the onset of winter. Nitrate (NO3–-N) and δ15N concentrations also increased coincident with maximum NH4+-N concentrations. However, soil N concentrations were only moderately elevated 20 cm from carcasses and closely resembled background concentrations at 30 cm. These results suggest that salmon carcasses, v..., Des études à long terme réalisées en Alaska ont démontré que les ours peuvent capturer et transporter vers la forêt riveraine un grand nombre de saumons qui reviennent frayer dans les petits ruisseaux d’eau douce. La plupart des carcasses sont partiellement consommées entraînant le dépôt dune grande quantité de nutriments sous forme de biomasse sur le parterre forestier. À l’aide d’une approche expérimentale, nous avons examiné comment ces carcasses peuvent influencer la dynamique spatiale et temporelle du C et de N du sol dans une forêt riveraine du sud-est de l’Alaska. À son maximum, la concentration d’ammonium (NH4+-N) dans le sol à 10 cm des carcasses était jusqu’à plusieurs ordres de grandeur plus élevée que dans le sol de parcelles témoins adjacentes sans carcasses et est demeurée élevée jusqu’au début de l’hiver. Les concentrations de nitrate (NO3–-N) et de δ15N ont aussi augmenté en même temps que la concentration maximum de NH4+-N. Cependant, la concentration de N dans le sol était seulement modé...","container-title":"Canadian Journal of Forest Research","DOI":"10.1139/X06-318","ISSN":"0045-5067","issue":"7","journalAbbreviation":"Can. J. For. Res.","page":"1194-1202","source":"NRC Research Press","title":"The effects of salmon carcasses on soil nitrogen pools in a riparian forest of southeastern Alaska","volume":"37","author":[{"family":"Gende","given":"Scott M."},{"family":"Miller","given":"Amy E."},{"family":"Hood","given":"Eran"}],"issued":{"date-parts":[["2007",7,1]]},"citation-key":"gende_2007"}}],"schema":"https://github.com/citation-style-language/schema/raw/master/csl-citation.json"} </w:instrText>
      </w:r>
      <w:r w:rsidRPr="009867C1">
        <w:fldChar w:fldCharType="separate"/>
      </w:r>
      <w:r w:rsidR="0042141C" w:rsidRPr="009867C1">
        <w:t>(Gende et al., 2007)</w:t>
      </w:r>
      <w:r w:rsidRPr="009867C1">
        <w:fldChar w:fldCharType="end"/>
      </w:r>
      <w:r w:rsidRPr="009867C1">
        <w:t xml:space="preserve">. This scenario again would entail minimal fractionation from denitrification, and hence </w:t>
      </w:r>
      <w:r w:rsidRPr="009867C1">
        <w:rPr>
          <w:vertAlign w:val="superscript"/>
        </w:rPr>
        <w:t>15</w:t>
      </w:r>
      <w:r w:rsidRPr="009867C1">
        <w:t xml:space="preserve">N signatures are more likely to reflect MDN addition than denitrification rates. </w:t>
      </w:r>
    </w:p>
    <w:p w14:paraId="0144A444" w14:textId="77777777" w:rsidR="00D80E10" w:rsidRPr="009867C1" w:rsidRDefault="00D80E10" w:rsidP="00D80E10">
      <w:pPr>
        <w:ind w:firstLine="720"/>
      </w:pPr>
    </w:p>
    <w:p w14:paraId="415E81C5" w14:textId="77777777" w:rsidR="00D80E10" w:rsidRPr="009867C1" w:rsidRDefault="00D80E10" w:rsidP="00D80E10">
      <w:pPr>
        <w:pStyle w:val="Heading4"/>
      </w:pPr>
      <w:bookmarkStart w:id="108" w:name="_Toc99385437"/>
      <w:r w:rsidRPr="009867C1">
        <w:t>Effects of MDN on Nitrogen Concentrations</w:t>
      </w:r>
      <w:bookmarkEnd w:id="108"/>
      <w:r w:rsidRPr="009867C1">
        <w:t xml:space="preserve"> </w:t>
      </w:r>
    </w:p>
    <w:p w14:paraId="61A53DD4" w14:textId="22A55491" w:rsidR="00D80E10" w:rsidRPr="009867C1" w:rsidRDefault="00D80E10" w:rsidP="00D80E10">
      <w:pPr>
        <w:ind w:firstLine="720"/>
      </w:pPr>
      <w:r w:rsidRPr="009867C1">
        <w:t xml:space="preserve">MDN had limited or no effect on %N values, contrary to </w:t>
      </w:r>
      <w:r w:rsidR="00D311FD">
        <w:t>the</w:t>
      </w:r>
      <w:r w:rsidRPr="009867C1">
        <w:t xml:space="preserve"> fourth hypothesis. This contrasts with previous studies on salmon forest soils, which found higher N in soils directly under or near carcasses </w:t>
      </w:r>
      <w:r w:rsidRPr="009867C1">
        <w:fldChar w:fldCharType="begin"/>
      </w:r>
      <w:r w:rsidR="00AC0205">
        <w:instrText xml:space="preserve"> ADDIN ZOTERO_ITEM CSL_CITATION {"citationID":"hy3YlXZ5","properties":{"formattedCitation":"(Drake et al., 2005; Gende et al., 2007; T. A. Wheeler et al., 2014; T. A. Wheeler &amp; Kavanagh, 2017)","plainCitation":"(Drake et al., 2005; Gende et al., 2007; T. A. Wheeler et al., 2014; T. A. Wheeler &amp; Kavanagh, 2017)","noteIndex":0},"citationItems":[{"id":795,"uris":["http://zotero.org/users/2189142/items/RN834UDP"],"itemData":{"id":795,"type":"article-journal","container-title":"Northwest Science","issue":"1","page":"61–71","source":"Google Scholar","title":"Salmon decay and nutrient contributions to riparian forest soils","volume":"79","author":[{"family":"Drake","given":"Deanne C."},{"family":"Smith","given":"Jaron V."},{"family":"Naiman","given":"Robert J."}],"issued":{"date-parts":[["2005"]]},"citation-key":"drake_2005"}},{"id":474,"uris":["http://zotero.org/users/2189142/items/3J3JTBR8"],"itemData":{"id":474,"type":"article-journal","abstract":"Long-term studies in Alaska have demonstrated that bears may capture and carry to the riparian forest a large number of salmon that return to spawn in small freshwater streams. Most of the carcasses are partially consumed, resulting in a large amount of salmon nutrients in the form of biomass deposited on the forest floor. Using an experimental approach, we examined how these carcasses may influence the spatial and temporal dynamics of soil C and N in a riparian forest in southeastern Alaska. At their peak, ammonium (NH4+-N) concentrations in soil 10 cm from carcasses were as much as several orders of magnitude greater than soils in adjacent control plots without carcasses and remained elevated until the onset of winter. Nitrate (NO3–-N) and δ15N concentrations also increased coincident with maximum NH4+-N concentrations. However, soil N concentrations were only moderately elevated 20 cm from carcasses and closely resembled background concentrations at 30 cm. These results suggest that salmon carcasses, v..., Des études à long terme réalisées en Alaska ont démontré que les ours peuvent capturer et transporter vers la forêt riveraine un grand nombre de saumons qui reviennent frayer dans les petits ruisseaux d’eau douce. La plupart des carcasses sont partiellement consommées entraînant le dépôt dune grande quantité de nutriments sous forme de biomasse sur le parterre forestier. À l’aide d’une approche expérimentale, nous avons examiné comment ces carcasses peuvent influencer la dynamique spatiale et temporelle du C et de N du sol dans une forêt riveraine du sud-est de l’Alaska. À son maximum, la concentration d’ammonium (NH4+-N) dans le sol à 10 cm des carcasses était jusqu’à plusieurs ordres de grandeur plus élevée que dans le sol de parcelles témoins adjacentes sans carcasses et est demeurée élevée jusqu’au début de l’hiver. Les concentrations de nitrate (NO3–-N) et de δ15N ont aussi augmenté en même temps que la concentration maximum de NH4+-N. Cependant, la concentration de N dans le sol était seulement modé...","container-title":"Canadian Journal of Forest Research","DOI":"10.1139/X06-318","ISSN":"0045-5067","issue":"7","journalAbbreviation":"Can. J. For. Res.","page":"1194-1202","source":"NRC Research Press","title":"The effects of salmon carcasses on soil nitrogen pools in a riparian forest of southeastern Alaska","volume":"37","author":[{"family":"Gende","given":"Scott M."},{"family":"Miller","given":"Amy E."},{"family":"Hood","given":"Eran"}],"issued":{"date-parts":[["2007",7,1]]},"citation-key":"gende_2007"}},{"id":838,"uris":["http://zotero.org/users/2189142/items/G2C7ZEPI"],"itemData":{"id":838,"type":"article-journal","abstract":"Terrestrial salmon carcass decomposition and nutrient dynamics have been reported for coastal marine ecosystems of the Pacific Northwest but are lacking for semi-arid inland ecosystems of this region. Understanding these processes is a critical step in accurately understanding the biochemical responses to natural salmon deposition and appropriately mitigating for its loss. Additionally, the movement of carcasses for nutrient enhancement poses the risk of spreading pathogens and disease. Freezing and pasteurization of the carcasses reduces this risk. However, the effect of these treatments on decomposition processes is unknown. Decomposition rate and nutrient dynamics were investigated in semi-arid central Idaho by decomposing salmon carcasses in soil-filled microcosms. Rapid thermal accumulation in this semi-arid climate resulted in completion of soft tissue decomposition (skeletonization) in 16 days. Soil dissolved organic C (DOC) and dissolved total N (DTN) increased dramatically with respective increases from pretreatment concentrations of 7 and 48 fold by the time skeletonization occurred. Isotopic analysis of fluids beneath the carcasses revealed up to a 6‰ change in fluid δ13C and δ15N during decomposition as well as an overall 4‰ enrichment in mean fluid δ515N, relative to whole reference carcasses. Freezing and pasteurization of carcasses only yielded differences during the first few days of decomposition relative to the fresh carcasses. These results suggest that decomposition of carcasses in inland riparian forests proceeds very rapidly and that treated carcasses are suitable surrogates for fresh carcasses in semi-arid regions of central Idaho.","container-title":"Northwest Science","DOI":"10.3955/046.088.0206","ISSN":"0029-344X","issue":"2","journalAbbreviation":"Northwest Science","page":"106-119","source":"bioone.org.ezproxy.library.ubc.ca (Atypon)","title":"Terrestrial Salmon Carcass Decomposition: Nutrient and Isotopic Dynamics in Central Idaho","title-short":"Terrestrial Salmon Carcass Decomposition","volume":"88","author":[{"family":"Wheeler","given":"Tadd A."},{"family":"Kavanagh","given":"Kathleen L."},{"family":"Daanen","given":"Steven A."}],"issued":{"date-parts":[["2014",5,1]]},"citation-key":"wheeler_2014"}},{"id":1598,"uris":["http://zotero.org/users/2189142/items/DF4W6BUL"],"itemData":{"id":1598,"type":"article-journal","abstract":"The historic abundance of salmonids returning to natal streams of the inland Pacific Northwest, USA, may have constituted a major nutrient influx into these commonly oligotrophic ecosystems. Inland..., L’abondance historique des salmonidés qui reviennent vers les cours d’eau où ils ont vu le jour dans l’arrière-pays du Pacific Northwest aux États-Unis, ont pu constituer un apport majeur de nutrim...","container-title":"Canadian Journal of Forest Research","DOI":"10.1139/cjfr-2017-0194","ISSN":"0045-5067","issue":"11","journalAbbreviation":"Can. J. For. Res.","page":"1506-1516","source":"NRC Research Press","title":"Soil biogeochemical responses to the deposition of anadromous fish carcasses in inland riparian forests of the Pacific Northwest, USA","volume":"47","author":[{"family":"Wheeler","given":"Tadd A."},{"family":"Kavanagh","given":"Kathleen L."}],"issued":{"date-parts":[["2017",9,5]]},"citation-key":"wheeler_2017"}}],"schema":"https://github.com/citation-style-language/schema/raw/master/csl-citation.json"} </w:instrText>
      </w:r>
      <w:r w:rsidRPr="009867C1">
        <w:fldChar w:fldCharType="separate"/>
      </w:r>
      <w:r w:rsidR="0042141C" w:rsidRPr="009867C1">
        <w:t>(Drake et al., 2005; Gende et al., 2007; T. A. Wheeler et al., 2014; T. A. Wheeler &amp; Kavanagh, 2017)</w:t>
      </w:r>
      <w:r w:rsidRPr="009867C1">
        <w:fldChar w:fldCharType="end"/>
      </w:r>
      <w:r w:rsidRPr="009867C1">
        <w:t xml:space="preserve">, downstream of salmon migration barriers </w:t>
      </w:r>
      <w:r w:rsidRPr="009867C1">
        <w:fldChar w:fldCharType="begin"/>
      </w:r>
      <w:r w:rsidR="00AC0205">
        <w:instrText xml:space="preserve"> ADDIN ZOTERO_ITEM CSL_CITATION {"citationID":"t6Ig9gP5","properties":{"formattedCitation":"(Perry et al., 2017)","plainCitation":"(Perry et al., 2017)","noteIndex":0},"citationItems":[{"id":1599,"uris":["http://zotero.org/users/2189142/items/UCTPBSFV"],"itemData":{"id":1599,"type":"article-journal","abstract":"Riparian forest soils can be highly dynamic, due to frequent fluvial disturbance, erosion, and sediment deposition, but effects of dams on riparian soils are poorly understood. We examined soils along toposequences within three river segments located upstream, between, and downstream of two dams on the Elwha River to evaluate relationships between riparian soil development and forest age, succession, and channel proximity, explore dam effects on riparian soils, and provide a baseline for the largest dam removal in history. We found that older, later-successional forests and geomorphic surfaces contained soils with finer texture and greater depth to cobble, supporting greater forest floor mass, mineral soil nutrient levels, and cation exchange. Forest stand age was a better predictor than channel proximity for many soil characteristics, though elevation and distance from the channel were often also important, highlighting how complex interactions between fluvial disturbance, sediment deposition, and biotic retention regulate soil development in this ecosystem. Soils between the dams, and to a lesser extent below the lower dam, had finer textures and higher mineral soil carbon, nitrogen, and cation exchange than above the dams. These results suggested that decreased fluvial disturbance below the dams, due to reduced sediment supply and channel stabilization, accelerated soil development. In addition, reduced sediment supply below the dams may have decreased soil phosphorus. Soil δ15N suggested that salmon exclusion by the dams had no discernable effect on nitrogen inputs to upstream soils. Recent dam removal may alter riparian soils further, with ongoing implications for riparian ecosystems.","container-title":"Ecosystems","DOI":"10.1007/s10021-016-0080-1","ISSN":"1435-0629","issue":"1","journalAbbreviation":"Ecosystems","language":"en","page":"104-129","source":"Springer Link","title":"Riparian Soil Development Linked to Forest Succession Above and Below Dams Along the Elwha River, Washington, USA","volume":"20","author":[{"family":"Perry","given":"Laura G."},{"family":"Shafroth","given":"Patrick B."},{"family":"Perakis","given":"Steven S."}],"issued":{"date-parts":[["2017",1,1]]},"citation-key":"perry_2017"}}],"schema":"https://github.com/citation-style-language/schema/raw/master/csl-citation.json"} </w:instrText>
      </w:r>
      <w:r w:rsidRPr="009867C1">
        <w:fldChar w:fldCharType="separate"/>
      </w:r>
      <w:r w:rsidR="0042141C" w:rsidRPr="009867C1">
        <w:t>(Perry et al., 2017)</w:t>
      </w:r>
      <w:r w:rsidRPr="009867C1">
        <w:fldChar w:fldCharType="end"/>
      </w:r>
      <w:r w:rsidRPr="009867C1">
        <w:t xml:space="preserve"> or outside of bear exclusion treatments </w:t>
      </w:r>
      <w:r w:rsidRPr="009867C1">
        <w:fldChar w:fldCharType="begin"/>
      </w:r>
      <w:r w:rsidR="00AC0205">
        <w:instrText xml:space="preserve"> ADDIN ZOTERO_ITEM CSL_CITATION {"citationID":"zRsnIoAs","properties":{"formattedCitation":"(Holtgrieve et al., 2009)","plainCitation":"(Holtgrieve et al., 2009)","noteIndex":0},"citationItems":[{"id":973,"uris":["http://zotero.org/users/2189142/items/RNMUUKA3"],"itemData":{"id":973,"type":"article-journal","abstract":"Two important themes in ecology include the understanding of how interactions among species control ecosystem processes, and how habitats can be connected through transfers of nutrients and energy by mobile organisms. An impressive example of both is the large influx of nutrients and organic matter that anadromous salmon supply to inland aquatic and terrestrial ecosystems and the role of predation by brown bears (Ursus arctos) in transferring these marine-derived nutrients (MDN) from freshwater to riparian habitats. In spite of the recognition that salmon-bear interactions likely play an important role in controlling the flux of MDN from aquatic to riparian habitats, few studies have linked bear predation on salmon to processes such as nitrogen (N) or carbon (C) cycling. We combine landscape-level survey data and a replicated bear-exclosure experiment to test how bear foraging on salmon affects nitrous oxide (N2O) flux, carbon dioxide (CO2) flux, and nutrient concentrations of riparian soils. Our results show that bears feeding on salmon increased soil ammonium (NH4 +) concentrations three-fold and N2O flux by 32-fold. Soil CO2 flux, nitrate (NO3 −), and N transformation differences were negligible in areas where bears fed on salmon. Reference areas without concentrated bear activity showed no detectable change in soil N cycling after the arrival of salmon to streams. Exclosure experiments showed that bear effects on soil nutrient cycles were transient, and soil N processing returned to background conditions within 1 year after bears were removed from the system. These results suggest that recipient ecosystems do not show uniform responses to MDN inputs and highlight the importance of large mobile consumers in generating landscape heterogeneity in nutrient cycles.","container-title":"Ecological Research","DOI":"10.1007/s11284-009-0591-8","ISSN":"0912-3814, 1440-1703","issue":"5","journalAbbreviation":"Ecol Res","language":"en","page":"1125-1135","source":"link.springer.com.ezproxy.library.ubc.ca","title":"Large predators and biogeochemical hotspots: brown bear (Ursus arctos) predation on salmon alters nitrogen cycling in riparian soils","title-short":"Large predators and biogeochemical hotspots","volume":"24","author":[{"family":"Holtgrieve","given":"Gordon W."},{"family":"Schindler","given":"Daniel E."},{"family":"Jewett","given":"Peter K."}],"issued":{"date-parts":[["2009",3,18]]},"citation-key":"holtgrieve_2009"}}],"schema":"https://github.com/citation-style-language/schema/raw/master/csl-citation.json"} </w:instrText>
      </w:r>
      <w:r w:rsidRPr="009867C1">
        <w:fldChar w:fldCharType="separate"/>
      </w:r>
      <w:r w:rsidR="0042141C" w:rsidRPr="009867C1">
        <w:t>(Holtgrieve et al., 2009)</w:t>
      </w:r>
      <w:r w:rsidRPr="009867C1">
        <w:fldChar w:fldCharType="end"/>
      </w:r>
      <w:r w:rsidRPr="009867C1">
        <w:t xml:space="preserve">. It is consistent, however, with previous findings showing no increase in soil N below salmon barriers </w:t>
      </w:r>
      <w:r w:rsidRPr="009867C1">
        <w:fldChar w:fldCharType="begin"/>
      </w:r>
      <w:r w:rsidR="00AC0205">
        <w:instrText xml:space="preserve"> ADDIN ZOTERO_ITEM CSL_CITATION {"citationID":"4i67f9SF","properties":{"formattedCitation":"(Bartz &amp; Naiman, 2005)","plainCitation":"(Bartz &amp; Naiman, 2005)","noteIndex":0},"citationItems":[{"id":979,"uris":["http://zotero.org/users/2189142/items/ZW3R5NUV"],"itemData":{"id":979,"type":"article-journal","container-title":"Ecosystems","issue":"5","page":"529–545","source":"Google Scholar","title":"Effects of salmon-borne nutrients on riparian soils and vegetation in southwest Alaska","volume":"8","author":[{"family":"Bartz","given":"Krista K."},{"family":"Naiman","given":"Robert J."}],"issued":{"date-parts":[["2005"]]},"citation-key":"bartz_2005"}}],"schema":"https://github.com/citation-style-language/schema/raw/master/csl-citation.json"} </w:instrText>
      </w:r>
      <w:r w:rsidRPr="009867C1">
        <w:fldChar w:fldCharType="separate"/>
      </w:r>
      <w:r w:rsidR="0042141C" w:rsidRPr="009867C1">
        <w:t>(Bartz &amp; Naiman, 2005)</w:t>
      </w:r>
      <w:r w:rsidRPr="009867C1">
        <w:fldChar w:fldCharType="end"/>
      </w:r>
      <w:r w:rsidRPr="009867C1">
        <w:t xml:space="preserve">, between enriched and non-enriched banks </w:t>
      </w:r>
      <w:r w:rsidRPr="009867C1">
        <w:fldChar w:fldCharType="begin"/>
      </w:r>
      <w:r w:rsidR="00AC0205">
        <w:instrText xml:space="preserve"> ADDIN ZOTERO_ITEM CSL_CITATION {"citationID":"cbUXUd3k","properties":{"formattedCitation":"(Feddern et al., 2019)","plainCitation":"(Feddern et al., 2019)","noteIndex":0},"citationItems":[{"id":1688,"uris":["http://zotero.org/users/2189142/items/YIC4UT3V"],"itemData":{"id":1688,"type":"article-journal","abstract":"Pacific salmon acquire most of their biomass in the ocean before returning to spawn and die in coastal streams and lakes, thus providing subsidies of marine-derived nitrogen (MDN) to freshwater and terrestrial ecosystems. Recent declines in salmon abundance have raised questions of whether managers should mitigate for losses of salmon MDN subsidies. To test the long-term importance of salmon subsidies to riparian ecosystems, we measured soil nitrogen cycling in response to a 20-yr manipulation where salmon carcasses were systematically removed from one bank and deposited on the opposite bank along a 2-km stream in southwestern Alaska. Soil samples were taken at different distances from the stream bank along nine paired transects and measured for organic and inorganic nitrogen concentrations, and nitrogen transformation rates. Marine-derived nitrogen was measured using 15N/14N for bulk soils, and NH4+ and NO3− soil pools. Stable isotope analyses confirmed 15N/14N was elevated on the salmon-enhanced bank compared to the salmon-depleted bank. However, 15N/14N values of plant-available inorganic nitrogen exceeded the 15N/14N of salmon inputs, highlighting nitrogen isotope fractionation in soils that raises significant methodological issues with standard MDN assessments in riparian systems. Surprisingly, despite 20 yr of salmon supplementation, the presence of MDN did not cause a long-term increase in soil nitrogen availability. This finding indicates the importance of MDN to ecosystem nitrogen biogeochemistry, and riparian vegetation may be overestimated for some systems. Given that essential nutrients can also be pollutants, we urge more critical analyses of the role of MDN to inform compensatory mitigation programs targeting salmon nutrient enhancement.","container-title":"Ecosphere","DOI":"10.1002/ecs2.2958","ISSN":"2150-8925","issue":"11","language":"en","page":"e02958","source":"Wiley Online Library","title":"Riparian soil nitrogen cycling and isotopic enrichment in response to a long-term salmon carcass manipulation experiment","volume":"10","author":[{"family":"Feddern","given":"Megan L."},{"family":"Holtgrieve","given":"Gordon W."},{"family":"Perakis","given":"Steven S."},{"family":"Hart","given":"Julia"},{"family":"Ro","given":"Hyejoo"},{"family":"Quinn","given":"Thomas P."}],"issued":{"date-parts":[["2019"]]},"citation-key":"feddern_2019"}}],"schema":"https://github.com/citation-style-language/schema/raw/master/csl-citation.json"} </w:instrText>
      </w:r>
      <w:r w:rsidRPr="009867C1">
        <w:fldChar w:fldCharType="separate"/>
      </w:r>
      <w:r w:rsidR="0042141C" w:rsidRPr="009867C1">
        <w:t>(Feddern et al., 2019)</w:t>
      </w:r>
      <w:r w:rsidRPr="009867C1">
        <w:fldChar w:fldCharType="end"/>
      </w:r>
      <w:r w:rsidRPr="009867C1">
        <w:t>, and in total N along these same gradients (</w:t>
      </w:r>
      <w:r w:rsidR="008314BD" w:rsidRPr="008314BD">
        <w:t>C</w:t>
      </w:r>
      <w:r w:rsidRPr="008314BD">
        <w:t>hapter 2</w:t>
      </w:r>
      <w:r w:rsidRPr="009867C1">
        <w:t xml:space="preserve">). A possible reason for these discrepancies is the diversity of soil types investigated in the literature </w:t>
      </w:r>
      <w:r w:rsidRPr="009867C1">
        <w:fldChar w:fldCharType="begin"/>
      </w:r>
      <w:r w:rsidR="00AC0205">
        <w:instrText xml:space="preserve"> ADDIN ZOTERO_ITEM CSL_CITATION {"citationID":"koWUfs1p","properties":{"formattedCitation":"(D\\uc0\\u8217{}Amore et al., 2011, 2020)","plainCitation":"(D’Amore et al., 2011, 2020)","noteIndex":0},"citationItems":[{"id":970,"uris":["http://zotero.org/users/2189142/items/SQPRJQMG"],"itemData":{"id":970,"type":"article-journal","abstract":"The influence of salmon-derived nutrients (SDN) is widely accepted as a potential factor in the maintenance of aquatic and terrestrial productivity in North American Coastal rainforests. Holocene alluvial landforms are intimately connected with the return of anadromous salmon, but the influence of the soils that occupy these landforms and support this important terrestrial–aquatic ecological coupling have not been examined in SDN studies. We used paleo-ecologic information, soil resource inventories and measurements of soil morphology to construct a soil-geomorphic model for alluvial landforms along salmon spawning channels on Prince of Wales Island, Southeast Alaska, USA. Post-glacial sea-level rise, crustal uplift and subsidence combined with Holocene sediment deposition have formed alluvial terraces and floodplains along rivers on Prince of Wales Island. These alluvial landforms have soils that are mapped as Entisols (Tonowek soil series) and Spodosols (Tuxekan soil series). We propose a soil-geomorphic model where the Spodosols located on terraces are estimated to derive from sediments deposited after the stabilization of landscape approximately 8 kybp to 6 kybp. The stability of these soils is reflected through mature soil development with organic matter accumulation and podzolization. Our model identifies Entisols on floodplains developed from alluvial deposition in the latter Holocene that have soil morphologic features consistent with recent deposition and limited soil development. We used this soil-geomorphic model to test the hypothesis that the terrestrial end-member value commonly used to quantify nitrogen (N) loading on soils through stable isotope analysis differs by soil type and found that the two soil types had significantly different N isotopic (δ15N) values more consistent with soil development than SDN loading. The use of a soil-geomorphic model provides a means to stratify alluvial landforms and constrain the natural variability encountered in studies of riparian nutrient cycles associated with the feedbacks between SDN and terrestrial ecosystems to improve estimates of the fate of SDN in soils and vegetation.","collection-title":"Geomorphology on Multiscale Feedbacks in Ecogeomorphology","container-title":"Geomorphology","DOI":"10.1016/j.geomorph.2010.04.014","ISSN":"0169-555X","issue":"3–4","journalAbbreviation":"Geomorphology","page":"377-386","source":"ScienceDirect","title":"Holocene soil-geomorphic surfaces influence the role of salmon-derived nutrients in the coastal temperate rainforest of Southeast Alaska","volume":"126","author":[{"family":"D'Amore","given":"David V."},{"family":"Bonzey","given":"Nicholas S."},{"family":"Berkowitz","given":"Jacob"},{"family":"Rüegg","given":"Janine"},{"family":"Bridgham","given":"Scott"}],"issued":{"date-parts":[["2011",3,15]]},"citation-key":"damore_2011"}},{"id":2083,"uris":["http://zotero.org/users/2189142/items/UL2T3I39"],"itemData":{"id":2083,"type":"article-journal","container-title":"Soil Science Society of America Journal","issue":"3","note":"publisher: Wiley Online Library","page":"877–887","source":"Google Scholar","title":"The nutrient legacy left by salmon tissue on riparian soils in Southeast Alaska","volume":"84","author":[{"family":"D'Amore","given":"David V."},{"family":"Chaloner","given":"Dominic T."},{"family":"Gerig","given":"Brandon S."},{"family":"Berkowitz","given":"Jacob F."},{"family":"Bridgham","given":"Scott D."}],"issued":{"date-parts":[["2020"]]},"citation-key":"damore_2020"}}],"schema":"https://github.com/citation-style-language/schema/raw/master/csl-citation.json"} </w:instrText>
      </w:r>
      <w:r w:rsidRPr="009867C1">
        <w:fldChar w:fldCharType="separate"/>
      </w:r>
      <w:r w:rsidR="0042141C" w:rsidRPr="009867C1">
        <w:t>(D’Amore et al., 2011, 2020)</w:t>
      </w:r>
      <w:r w:rsidRPr="009867C1">
        <w:fldChar w:fldCharType="end"/>
      </w:r>
      <w:r w:rsidRPr="009867C1">
        <w:t xml:space="preserve">; whether nitrate, ammonium, total N, or organic-N is under discussion </w:t>
      </w:r>
      <w:r w:rsidRPr="009867C1">
        <w:fldChar w:fldCharType="begin"/>
      </w:r>
      <w:r w:rsidR="00AC0205">
        <w:instrText xml:space="preserve"> ADDIN ZOTERO_ITEM CSL_CITATION {"citationID":"ANUSDJj6","properties":{"formattedCitation":"(Feddern et al., 2019; Gende et al., 2007)","plainCitation":"(Feddern et al., 2019; Gende et al., 2007)","noteIndex":0},"citationItems":[{"id":1688,"uris":["http://zotero.org/users/2189142/items/YIC4UT3V"],"itemData":{"id":1688,"type":"article-journal","abstract":"Pacific salmon acquire most of their biomass in the ocean before returning to spawn and die in coastal streams and lakes, thus providing subsidies of marine-derived nitrogen (MDN) to freshwater and terrestrial ecosystems. Recent declines in salmon abundance have raised questions of whether managers should mitigate for losses of salmon MDN subsidies. To test the long-term importance of salmon subsidies to riparian ecosystems, we measured soil nitrogen cycling in response to a 20-yr manipulation where salmon carcasses were systematically removed from one bank and deposited on the opposite bank along a 2-km stream in southwestern Alaska. Soil samples were taken at different distances from the stream bank along nine paired transects and measured for organic and inorganic nitrogen concentrations, and nitrogen transformation rates. Marine-derived nitrogen was measured using 15N/14N for bulk soils, and NH4+ and NO3− soil pools. Stable isotope analyses confirmed 15N/14N was elevated on the salmon-enhanced bank compared to the salmon-depleted bank. However, 15N/14N values of plant-available inorganic nitrogen exceeded the 15N/14N of salmon inputs, highlighting nitrogen isotope fractionation in soils that raises significant methodological issues with standard MDN assessments in riparian systems. Surprisingly, despite 20 yr of salmon supplementation, the presence of MDN did not cause a long-term increase in soil nitrogen availability. This finding indicates the importance of MDN to ecosystem nitrogen biogeochemistry, and riparian vegetation may be overestimated for some systems. Given that essential nutrients can also be pollutants, we urge more critical analyses of the role of MDN to inform compensatory mitigation programs targeting salmon nutrient enhancement.","container-title":"Ecosphere","DOI":"10.1002/ecs2.2958","ISSN":"2150-8925","issue":"11","language":"en","page":"e02958","source":"Wiley Online Library","title":"Riparian soil nitrogen cycling and isotopic enrichment in response to a long-term salmon carcass manipulation experiment","volume":"10","author":[{"family":"Feddern","given":"Megan L."},{"family":"Holtgrieve","given":"Gordon W."},{"family":"Perakis","given":"Steven S."},{"family":"Hart","given":"Julia"},{"family":"Ro","given":"Hyejoo"},{"family":"Quinn","given":"Thomas P."}],"issued":{"date-parts":[["2019"]]},"citation-key":"feddern_2019"}},{"id":474,"uris":["http://zotero.org/users/2189142/items/3J3JTBR8"],"itemData":{"id":474,"type":"article-journal","abstract":"Long-term studies in Alaska have demonstrated that bears may capture and carry to the riparian forest a large number of salmon that return to spawn in small freshwater streams. Most of the carcasses are partially consumed, resulting in a large amount of salmon nutrients in the form of biomass deposited on the forest floor. Using an experimental approach, we examined how these carcasses may influence the spatial and temporal dynamics of soil C and N in a riparian forest in southeastern Alaska. At their peak, ammonium (NH4+-N) concentrations in soil 10 cm from carcasses were as much as several orders of magnitude greater than soils in adjacent control plots without carcasses and remained elevated until the onset of winter. Nitrate (NO3–-N) and δ15N concentrations also increased coincident with maximum NH4+-N concentrations. However, soil N concentrations were only moderately elevated 20 cm from carcasses and closely resembled background concentrations at 30 cm. These results suggest that salmon carcasses, v..., Des études à long terme réalisées en Alaska ont démontré que les ours peuvent capturer et transporter vers la forêt riveraine un grand nombre de saumons qui reviennent frayer dans les petits ruisseaux d’eau douce. La plupart des carcasses sont partiellement consommées entraînant le dépôt dune grande quantité de nutriments sous forme de biomasse sur le parterre forestier. À l’aide d’une approche expérimentale, nous avons examiné comment ces carcasses peuvent influencer la dynamique spatiale et temporelle du C et de N du sol dans une forêt riveraine du sud-est de l’Alaska. À son maximum, la concentration d’ammonium (NH4+-N) dans le sol à 10 cm des carcasses était jusqu’à plusieurs ordres de grandeur plus élevée que dans le sol de parcelles témoins adjacentes sans carcasses et est demeurée élevée jusqu’au début de l’hiver. Les concentrations de nitrate (NO3–-N) et de δ15N ont aussi augmenté en même temps que la concentration maximum de NH4+-N. Cependant, la concentration de N dans le sol était seulement modé...","container-title":"Canadian Journal of Forest Research","DOI":"10.1139/X06-318","ISSN":"0045-5067","issue":"7","journalAbbreviation":"Can. J. For. Res.","page":"1194-1202","source":"NRC Research Press","title":"The effects of salmon carcasses on soil nitrogen pools in a riparian forest of southeastern Alaska","volume":"37","author":[{"family":"Gende","given":"Scott M."},{"family":"Miller","given":"Amy E."},{"family":"Hood","given":"Eran"}],"issued":{"date-parts":[["2007",7,1]]},"citation-key":"gende_2007"}}],"schema":"https://github.com/citation-style-language/schema/raw/master/csl-citation.json"} </w:instrText>
      </w:r>
      <w:r w:rsidRPr="009867C1">
        <w:fldChar w:fldCharType="separate"/>
      </w:r>
      <w:r w:rsidR="0042141C" w:rsidRPr="009867C1">
        <w:t>(Feddern et al., 2019; Gende et al., 2007)</w:t>
      </w:r>
      <w:r w:rsidRPr="009867C1">
        <w:fldChar w:fldCharType="end"/>
      </w:r>
      <w:r w:rsidRPr="009867C1">
        <w:t>; or the added complexity of diverse and changing soil and plant communities observed across these studies (</w:t>
      </w:r>
      <w:r w:rsidR="008314BD">
        <w:t>C</w:t>
      </w:r>
      <w:r w:rsidRPr="008314BD">
        <w:t>hapter 4</w:t>
      </w:r>
      <w:r w:rsidRPr="009867C1">
        <w:t>).</w:t>
      </w:r>
    </w:p>
    <w:p w14:paraId="1B41DC76" w14:textId="27B2B81F" w:rsidR="00D80E10" w:rsidRPr="009867C1" w:rsidRDefault="00D80E10" w:rsidP="00D80E10">
      <w:pPr>
        <w:ind w:firstLine="720"/>
      </w:pPr>
      <w:r w:rsidRPr="009867C1">
        <w:t xml:space="preserve">In this study, neither foliar nor litter %N varied along the MDN gradient. Positive responses in understory plant foliar-%N to MDN have been shown at these or similar sites </w:t>
      </w:r>
      <w:r w:rsidRPr="009867C1">
        <w:fldChar w:fldCharType="begin"/>
      </w:r>
      <w:r w:rsidR="00AC0205">
        <w:instrText xml:space="preserve"> ADDIN ZOTERO_ITEM CSL_CITATION {"citationID":"8DPrxPZR","properties":{"formattedCitation":"(Hocking &amp; Reynolds, 2011, 2012; Sayer, 2008)","plainCitation":"(Hocking &amp; Reynolds, 2011, 2012; Sayer, 2008)","noteIndex":0},"citationItems":[{"id":550,"uris":["http://zotero.org/users/2189142/items/JR362H46"],"itemData":{"id":550,"type":"article-journal","abstract":"The study of natural gradients in nutrient subsidies between ecosystems allows for predictions of how changes in one system can affect biodiversity in another. We performed a large-scale empirical test of the role of Pacific salmon (Oncorhynchus spp.) in structuring riparian plant communities. A comparison of 50 watersheds in the remote Great Bear Rainforest of British Columbia’s central coast in Canada shows that salmon influence nutrient loading to plants, shifting plant communities toward nutrient-rich species, which in turn decreases plant diversity. These effects are mediated by interactions between salmon density and the physical characteristics of watersheds. Predicting how salmon affect terrestrial ecosystems is central to conservation plans that aim to better integrate ecosystem values into resource management.","container-title":"Science","DOI":"10.1126/science.1201079","ISSN":"0036-8075, 1095-9203","issue":"6024","journalAbbreviation":"Science","language":"en","note":"PMID: 21442794","page":"1609-1612","source":"www.sciencemag.org.ezproxy.library.ubc.ca","title":"Impacts of Salmon on Riparian Plant Diversity","volume":"331","author":[{"family":"Hocking","given":"Morgan D."},{"family":"Reynolds","given":"John D."}],"issued":{"date-parts":[["2011",3,25]]},"citation-key":"hocking_2011"}},{"id":515,"uris":["http://zotero.org/users/2189142/items/8AG4QIVC"],"itemData":{"id":515,"type":"article-journal","abstract":"Bears (Ursus spp.) and other predators can capture and transport large numbers of Pacific salmon (Oncorhynchus spp.) to riparian areas beside small coastal streams, a process that may affect site productivity and local plant communities. We used a novel experimental manipulation of salmon carcasses to analyze understory plant uptake of salmon-derived N. A hierarchical before–after, control–impact design was used with the addition of chum salmon (Oncorhynchus keta (Walbaum in Artedi, 1792)) carcasses to forest sites along 11 streams on the central coast of British Columbia, Canada. Eight months after carcass placement, the foliar %N and δ15N in three herbaceous and one moss species had increased by an average of 14%–60% (%N) and 0.5–3.3‰ (δ15N) at treatment carcass sites versus control sites. Treatment effects for %N were typically greater than for δ15N. Nitrogen isotope signatures at carcass sites were highly variable (δ15N range = 30.1‰) and were mediated by plant species, stream salmon density, carcass ..., Les ours (Ursus spp.) et autres prédateurs peuvent capturer et transporter un grand nombre de saumons du Pacifique (Oncorhynchus spp.) dans les zones riveraines le long de cours d’eau côtiers, un processus qui pourrait influencer la productivité du site et les communautés végétales locales. Nous avons utilisé une nouvelle manipulation expérimentale des carcasses de saumon pour analyser le prélèvement de N provenant du saumon par les plantes du sous-bois. Un plan expérimental hiérarchique avant–après avec témoin a été utilisé avec l’ajout de carcasses de saumon kéta (Oncorhynchus keta (Walbaum in Artedi, 1792)) dans des stations forestières le long de 11 cours d’eau sur la côte centrale de la Colombie-Britannique, au Canada. Huit mois après avoir placé les carcasses, %N et δ15N dans les feuilles de trois espèces d’herbacées et une espèce de mousse avaient augmenté en moyenne de 14 % – 60 % (%N) et de 0,5 ‰ – 3,3 ‰ (δ15N) dans les stations traitées avec des carcasses versus les stations témoins. Les effets ...","container-title":"Canadian Journal of Forest Research","DOI":"10.1139/x2012-045","ISSN":"0045-5067","issue":"5","journalAbbreviation":"Can. J. For. Res.","page":"908-917","source":"NRC Research Press","title":"Nitrogen uptake by plants subsidized by Pacific salmon carcasses: a hierarchical experiment","title-short":"Nitrogen uptake by plants subsidized by Pacific salmon carcasses","volume":"42","author":[{"family":"Hocking","given":"Morgan D."},{"family":"Reynolds","given":"John D."}],"issued":{"date-parts":[["2012",4,11]]},"citation-key":"hocking_2012"}},{"id":206,"uris":["http://zotero.org/users/2189142/items/NKXFZRH5"],"itemData":{"id":206,"type":"thesis","abstract":"The scope and ecological implications of riparian vegetation marine-derived nitrogen (MDN) and alder-derived nitrogen (ADN) use were investigated. Several plant species were sampled during early and late summer at paired salmon and reference streams. Foliar stable nitrogen (δ15N) and carbon (δ13C) isotope values, %N, and Picea lutzii needle length were measured. P. lutzii demonstrated the greatest increase in δ15N and %N at salmon streams. Several species δ15N values increased after salmon spawning, indicating immediate MDN uptake. Spatial δ15N gradients were inconsistent. Alders had a greater influence on some species %N than salmon, but salmon had a greater influence on P. lutzii %N. P. lutzii needle length is positively correlated with MDN use. These findings are the first to depict salmon influences on Kenai Peninsula riparian vegetation mineral nutrition. They demonstrate that MDN effects are not universal across all plant species and are influenced by plant community ecology.","event-place":"United States -- Alaska","genre":"M.S.","language":"English","number-of-pages":"96","publisher":"University of Alaska Anchorage","publisher-place":"United States -- Alaska","source":"ProQuest","title":"Marine derived nitrogen use by Kenai Peninsula riparian plants: Effects on mineral nutrition and growth","title-short":"Marine derived nitrogen use by Kenai Peninsula riparian plants","URL":"http://search.proquest.com/docview/304337010/abstract/C7CCAEBBB7F540B2PQ/1","author":[{"family":"Sayer","given":"Allison M."}],"accessed":{"date-parts":[["2019",8,3]]},"issued":{"date-parts":[["2008"]]},"citation-key":"sayer_2008"}}],"schema":"https://github.com/citation-style-language/schema/raw/master/csl-citation.json"} </w:instrText>
      </w:r>
      <w:r w:rsidRPr="009867C1">
        <w:fldChar w:fldCharType="separate"/>
      </w:r>
      <w:r w:rsidR="0042141C" w:rsidRPr="009867C1">
        <w:t>(Hocking &amp; Reynolds, 2011, 2012; Sayer, 2008)</w:t>
      </w:r>
      <w:r w:rsidRPr="009867C1">
        <w:fldChar w:fldCharType="end"/>
      </w:r>
      <w:r w:rsidRPr="009867C1">
        <w:t xml:space="preserve">, although these studies included treatments over a wider salmon density range than was investigated here. Positive foliar-N responses have also been seen in spruce needles along enriched and non-enriched banks </w:t>
      </w:r>
      <w:r w:rsidRPr="009867C1">
        <w:fldChar w:fldCharType="begin"/>
      </w:r>
      <w:r w:rsidR="00AC0205">
        <w:instrText xml:space="preserve"> ADDIN ZOTERO_ITEM CSL_CITATION {"citationID":"ZlQabL6Z","properties":{"formattedCitation":"(Quinn et al., 2018)","plainCitation":"(Quinn et al., 2018)","noteIndex":0},"citationItems":[{"id":1760,"uris":["http://zotero.org/users/2189142/items/68FQB8H2"],"itemData":{"id":1760,"type":"article-journal","abstract":"As they return to spawn and die in their natal streams, anadromous, semelparous fishes such as Pacific salmon import marine-derived nutrients to otherwise nutrient-poor freshwater and riparian ecosystems. Diverse organisms exploit this resource, and previous studies have indicated that riparian tree growth may be enhanced by such marine-derived nutrients. However, these studies were largely inferential and did not account for all factors affecting tree growth. As an experimental test of the contribution of carcasses to tree growth, for 20 yr, we systematically deposited all sockeye salmon (Oncorhynchus nerka) carcasses (217,055 individual salmon) in the riparian zone on one bank of a 2-km-long stream in southwestern Alaska, reducing carcass accumulation on one bank and enhancing it on the other. After accounting for partial consumption and movement of carcasses by brown bears (Ursus arctos) and variation in salmon abundance and body size, we estimated that 267,620 kg of salmon were deposited on the enhanced bank and 45,200 kg on the depleted bank over the 20 yr, for a 5.9-fold difference in total mass. In 2016, we sampled needles of 84 white spruce trees (Picea glauca) the dominant riparian tree species, for foliar nitrogen (N) content and stable isotope ratios (δ15N), and took core samples for annual growth increments. Stable isotope analysis indicated that marine-derived N was incorporated into the new growth of the trees on the enhanced bank. Analysis of tree cores indicated that in the two decades prior to our enhancement experiment, trees on the south-facing (subsequently the depleted) bank grew faster than those on the north-facing (later enhanced) bank. This difference was reduced significantly during the two decades of fertilization, indicating an effect of the carcass transfer experiment against the background of other factors affecting tree growth.","container-title":"Ecology","DOI":"10.1002/ecy.2453","ISSN":"1939-9170","issue":"11","language":"en","page":"2433-2441","source":"Wiley Online Library","title":"A multidecade experiment shows that fertilization by salmon carcasses enhanced tree growth in the riparian zone","volume":"99","author":[{"family":"Quinn","given":"Thomas P."},{"family":"Helfield","given":"James M."},{"family":"Austin","given":"Catherine S."},{"family":"Hovel","given":"Rachel A."},{"family":"Bunn","given":"Andrew G."}],"issued":{"date-parts":[["2018"]]},"citation-key":"quinn_2018a"}}],"schema":"https://github.com/citation-style-language/schema/raw/master/csl-citation.json"} </w:instrText>
      </w:r>
      <w:r w:rsidRPr="009867C1">
        <w:fldChar w:fldCharType="separate"/>
      </w:r>
      <w:r w:rsidR="0042141C" w:rsidRPr="009867C1">
        <w:t>(Quinn et al., 2018)</w:t>
      </w:r>
      <w:r w:rsidRPr="009867C1">
        <w:fldChar w:fldCharType="end"/>
      </w:r>
      <w:r w:rsidRPr="009867C1">
        <w:t xml:space="preserve">, in multiple species at sites in Haida Gwaii </w:t>
      </w:r>
      <w:r w:rsidRPr="009867C1">
        <w:fldChar w:fldCharType="begin"/>
      </w:r>
      <w:r w:rsidR="00AC0205">
        <w:instrText xml:space="preserve"> ADDIN ZOTERO_ITEM CSL_CITATION {"citationID":"mKTXRVVc","properties":{"formattedCitation":"(Reimchen, 2017)","plainCitation":"(Reimchen, 2017)","noteIndex":0},"citationItems":[{"id":183,"uris":["http://zotero.org/users/2189142/items/5XY9XX4M"],"itemData":{"id":183,"type":"article-journal","abstract":"Based on five years of field studies (1992, 1993, 1994, 1998, 2000), I quantified bi-directional movement of salmon nutrients through an estuary, stream, and old growth forest in a large protected reserve on Haida Gwaii, British Columbia. In 1993, when most data were collected, about 6000 Chum Salmon (Oncorhynchus keta) entered the river of which 22% of the total biomass of senescent carcasses were swept downstream into the estuary and were scavenged by gulls (n = 350) and subtidal invertebrates. Of the 3700 salmon (10 000 kg) transferred by American Black Bear (Ursus americanus) to the riparian zone and partially consumed along the 800 m of stream channel, 5070 kg of salmon tissues abandoned by the bears were scavenged by Northwestern Crows (Corvus caurinus; n = 200) but mostly (4100 kg) by calliphorid blowfly larvae resulting in larval densities averaging 240/m2 throughout the riparian zone. Total nitrogen input to the soils from the combined effects of bear and scavenger activity as well as carcass input was 18 g/m2 within 10 m of the stream channel. δ15N of foliar tissues of Lanky Moss (Rhytidiadelphus loreus), Red Huckleberry (Vaccinium parvifolium), Salal (Gaultheria shallon), and Western Hemlock (Tsuga heterophylla) ranged about 15‰ to 20‰ among adjacent microsites in each species, with higher values occurring in salmon carcass zones. Total nitrogen in foliar tissues ranged from 1% to 2.4% among microsites and was best predicted by positive correlations with foliar 15N values and secondarily by presence/absence of salmon carcasses. This is the first study to integrate estuarine to riparian ecological processes in the cycling of salmonid nutrients and identifies a range of ecological baselines that can inform the multiple restoration programs underway in degraded watersheds in the North Pacific.","container-title":"Canadian Field Naturalist","ISSN":"0008-3550","language":"en","source":"pubag.nal.usda.gov","title":"Diverse Ecological Pathways of Salmon Nutrients Through an Intact Marine-terrestrial Interface","URL":"https://pubag.nal.usda.gov/catalog/6040059","author":[{"family":"Reimchen","given":"T.E."}],"accessed":{"date-parts":[["2019",8,4]]},"issued":{"date-parts":[["2017"]]},"citation-key":"reimchen_2017"}}],"schema":"https://github.com/citation-style-language/schema/raw/master/csl-citation.json"} </w:instrText>
      </w:r>
      <w:r w:rsidRPr="009867C1">
        <w:fldChar w:fldCharType="separate"/>
      </w:r>
      <w:r w:rsidR="0042141C" w:rsidRPr="009867C1">
        <w:t>(Reimchen, 2017)</w:t>
      </w:r>
      <w:r w:rsidRPr="009867C1">
        <w:fldChar w:fldCharType="end"/>
      </w:r>
      <w:r w:rsidRPr="009867C1">
        <w:t xml:space="preserve">, in moss and liverwort species </w:t>
      </w:r>
      <w:r w:rsidRPr="009867C1">
        <w:fldChar w:fldCharType="begin"/>
      </w:r>
      <w:r w:rsidR="00AC0205">
        <w:instrText xml:space="preserve"> ADDIN ZOTERO_ITEM CSL_CITATION {"citationID":"J8zcQpqk","properties":{"formattedCitation":"(C. E. Wilkinson et al., 2005)","plainCitation":"(C. E. Wilkinson et al., 2005)","noteIndex":0},"citationItems":[{"id":191,"uris":["http://zotero.org/users/2189142/items/DAPK9QQH"],"itemData":{"id":191,"type":"article-journal","abstract":"Throughout forested watersheds bordering the North Pacific, anadromous salmon (Oncorhynchus spp.) are transferred into coastal forests by numerous predators and scavengers with remnants providing an important nutrient subsidy to riparian zones. The contribution of these nutrients to mosses and liverworts, which are the dominant ground cover of coastal forests, has not been investigated. We examine here δ15N isotope signatures and foliar percent N of eight moss and liverwort species, as well as moss and liverwort community structure, in multiple habitat blocks that vary in access to salmon nutrients from two watersheds on the central coast of British Columbia. For the most common moss Rhytidiadelphus loreus, we also examine δ15N values and foliar percent N among salmon carcass micro-sites and along wildlife trails. Overall, δ15N signatures ranged from 2‰ to 7‰ higher below the falls near the salmon stream than above the small falls that are impassable to salmon, or at the adjacent control watershed that had no salmon. Among micro-sites, δ15N and %N values were highest near bony carcass remnants from transfer during previous years and high adjacent to wildlife trails indicating spatial heterogeneity in the salmon nutrient pools of these forests. Species richness and prevalence of nitrogen-rich soil indicators were also highest in forests adjacent to the salmon stream. These data suggest an important contribution of salmon-derived nutrients to the non-vascular plants of the riparian zone of old-growth forests throughout the Pacific Rim.","container-title":"Oikos","DOI":"10.1111/j.0030-1299.2005.13277.x","ISSN":"1600-0706","issue":"1","journalAbbreviation":"Oikos","language":"en","page":"85-98","source":"Wiley Online Library","title":"Uptake of salmon-derived nitrogen by mosses and liverworts in coastal British Columbia","volume":"108","author":[{"family":"Wilkinson","given":"C. E."},{"family":"Hocking","given":"M. D."},{"family":"Reimchen","given":"T.E."}],"issued":{"date-parts":[["2005",1,1]]},"citation-key":"wilkinson_2005"}}],"schema":"https://github.com/citation-style-language/schema/raw/master/csl-citation.json"} </w:instrText>
      </w:r>
      <w:r w:rsidRPr="009867C1">
        <w:fldChar w:fldCharType="separate"/>
      </w:r>
      <w:r w:rsidR="0042141C" w:rsidRPr="009867C1">
        <w:t>(C. E. Wilkinson et al., 2005)</w:t>
      </w:r>
      <w:r w:rsidRPr="009867C1">
        <w:fldChar w:fldCharType="end"/>
      </w:r>
      <w:r w:rsidRPr="009867C1">
        <w:t xml:space="preserve">, and downstream of salmon migration barriers </w:t>
      </w:r>
      <w:r w:rsidRPr="009867C1">
        <w:fldChar w:fldCharType="begin"/>
      </w:r>
      <w:r w:rsidR="00AC0205">
        <w:instrText xml:space="preserve"> ADDIN ZOTERO_ITEM CSL_CITATION {"citationID":"mQ8dBRA9","properties":{"formattedCitation":"(Mathewson et al., 2003)","plainCitation":"(Mathewson et al., 2003)","noteIndex":0},"citationItems":[{"id":1025,"uris":["http://zotero.org/users/2189142/items/BXEZ2MWG"],"itemData":{"id":1025,"type":"article-journal","abstract":"Background Recent studies of anadromous salmon (Oncorhynchus spp.) on the Pacific Coast of North America indicate an important and previously unrecognized role of salmonid nutrients to terrestrial biota. However, the extent of this uptake by primary producers and consumers and the influences on community structure remain poorly described. We examine here the contribution of salmon nutrients to multiple taxa of riparian vegetation (Blechnum spicant, Menziesii ferruginea, Oplopanax horridus, Rubus spectabilis, Vaccinium alaskaense, V. parvifolium, Tsuga heterophylla) and measure foliar δ15N, total %N and plant community structure at two geographically separated watersheds in coastal British Columbia. To reduce potentially confounding effects of precipitation, substrate and other abiotic variables, we made comparisons across a sharp ecological boundary of salmon density that resulted from a waterfall barrier to salmon migration. Results δ15N and %N in foliage, and %cover of soil nitrogen indicators differed across the waterfall barrier to salmon at each watershed. δ15N values were enriched by 1.4‰ to 9.0‰ below the falls depending on species and watershed, providing a relative contribution of marine-derived nitrogen (MDN) to vegetation of 10% to 60%. %N in foliar tissues was slightly higher below the falls, with the majority of variance occurring between vegetation species. Community structure also differed with higher incidence of nitrogen-rich soil indicator species below the waterfalls. Conclusions Measures of δ15N, %N and vegetation cover indicate a consistent difference in the riparian community across a sharp ecological boundary of salmon density. The additional N source that salmon provide to nitrogen-limited habitats appears to have significant impacts on the N budget of riparian vegetation, which may increase primary productivity, and result in community shifts between sites with and without salmon access. This, in turn, may have cascading ecosystem effects in forests adjacent to salmon streams.","container-title":"BMC Ecology","DOI":"10.1186/1472-6785-3-4","ISSN":"1472-6785","issue":"1","journalAbbreviation":"BMC Ecol","language":"en","page":"1-11","source":"link.springer.com.ezproxy.library.ubc.ca","title":"Nitrogen uptake in riparian plant communities across a sharp ecological boundary of salmon density","volume":"3","author":[{"family":"Mathewson","given":"D. D."},{"family":"Hocking","given":"M. D."},{"family":"Reimchen","given":"T. E."}],"issued":{"date-parts":[["2003",5,3]]},"citation-key":"mathewson_2003"}}],"schema":"https://github.com/citation-style-language/schema/raw/master/csl-citation.json"} </w:instrText>
      </w:r>
      <w:r w:rsidRPr="009867C1">
        <w:fldChar w:fldCharType="separate"/>
      </w:r>
      <w:r w:rsidR="0042141C" w:rsidRPr="009867C1">
        <w:t>(Mathewson et al., 2003)</w:t>
      </w:r>
      <w:r w:rsidRPr="009867C1">
        <w:fldChar w:fldCharType="end"/>
      </w:r>
      <w:r w:rsidRPr="009867C1">
        <w:t xml:space="preserve">. One reason why this was not found here is that vegetation and soil communities change over this gradient </w:t>
      </w:r>
      <w:r w:rsidRPr="009867C1">
        <w:fldChar w:fldCharType="begin"/>
      </w:r>
      <w:r w:rsidR="00AC0205">
        <w:instrText xml:space="preserve"> ADDIN ZOTERO_ITEM CSL_CITATION {"citationID":"zB8CYzto","properties":{"formattedCitation":"(Hocking &amp; Reynolds, 2011)","plainCitation":"(Hocking &amp; Reynolds, 2011)","noteIndex":0},"citationItems":[{"id":550,"uris":["http://zotero.org/users/2189142/items/JR362H46"],"itemData":{"id":550,"type":"article-journal","abstract":"The study of natural gradients in nutrient subsidies between ecosystems allows for predictions of how changes in one system can affect biodiversity in another. We performed a large-scale empirical test of the role of Pacific salmon (Oncorhynchus spp.) in structuring riparian plant communities. A comparison of 50 watersheds in the remote Great Bear Rainforest of British Columbia’s central coast in Canada shows that salmon influence nutrient loading to plants, shifting plant communities toward nutrient-rich species, which in turn decreases plant diversity. These effects are mediated by interactions between salmon density and the physical characteristics of watersheds. Predicting how salmon affect terrestrial ecosystems is central to conservation plans that aim to better integrate ecosystem values into resource management.","container-title":"Science","DOI":"10.1126/science.1201079","ISSN":"0036-8075, 1095-9203","issue":"6024","journalAbbreviation":"Science","language":"en","note":"PMID: 21442794","page":"1609-1612","source":"www.sciencemag.org.ezproxy.library.ubc.ca","title":"Impacts of Salmon on Riparian Plant Diversity","volume":"331","author":[{"family":"Hocking","given":"Morgan D."},{"family":"Reynolds","given":"John D."}],"issued":{"date-parts":[["2011",3,25]]},"citation-key":"hocking_2011"}}],"schema":"https://github.com/citation-style-language/schema/raw/master/csl-citation.json"} </w:instrText>
      </w:r>
      <w:r w:rsidRPr="009867C1">
        <w:fldChar w:fldCharType="separate"/>
      </w:r>
      <w:r w:rsidR="0042141C" w:rsidRPr="009867C1">
        <w:t>(Hocking &amp; Reynolds, 2011)</w:t>
      </w:r>
      <w:r w:rsidRPr="009867C1">
        <w:fldChar w:fldCharType="end"/>
      </w:r>
      <w:r w:rsidRPr="009867C1">
        <w:t xml:space="preserve"> (</w:t>
      </w:r>
      <w:r w:rsidR="008314BD" w:rsidRPr="008314BD">
        <w:t>C</w:t>
      </w:r>
      <w:r w:rsidRPr="008314BD">
        <w:t>hapter 4</w:t>
      </w:r>
      <w:r w:rsidRPr="009867C1">
        <w:t xml:space="preserve">) and this was not directly controlled for here. Higher N addition may also be proportioned to increased plant biomass rather than nutrient density; at these and other sites it has been shown that salmon enhance tree growth </w:t>
      </w:r>
      <w:r w:rsidRPr="009867C1">
        <w:fldChar w:fldCharType="begin"/>
      </w:r>
      <w:r w:rsidR="00AC0205">
        <w:instrText xml:space="preserve"> ADDIN ZOTERO_ITEM CSL_CITATION {"citationID":"Gp6kF2LA","properties":{"formattedCitation":"(Quinn et al., 2018; Reimchen &amp; Arbellay, 2018)","plainCitation":"(Quinn et al., 2018; Reimchen &amp; Arbellay, 2018)","noteIndex":0},"citationItems":[{"id":1760,"uris":["http://zotero.org/users/2189142/items/68FQB8H2"],"itemData":{"id":1760,"type":"article-journal","abstract":"As they return to spawn and die in their natal streams, anadromous, semelparous fishes such as Pacific salmon import marine-derived nutrients to otherwise nutrient-poor freshwater and riparian ecosystems. Diverse organisms exploit this resource, and previous studies have indicated that riparian tree growth may be enhanced by such marine-derived nutrients. However, these studies were largely inferential and did not account for all factors affecting tree growth. As an experimental test of the contribution of carcasses to tree growth, for 20 yr, we systematically deposited all sockeye salmon (Oncorhynchus nerka) carcasses (217,055 individual salmon) in the riparian zone on one bank of a 2-km-long stream in southwestern Alaska, reducing carcass accumulation on one bank and enhancing it on the other. After accounting for partial consumption and movement of carcasses by brown bears (Ursus arctos) and variation in salmon abundance and body size, we estimated that 267,620 kg of salmon were deposited on the enhanced bank and 45,200 kg on the depleted bank over the 20 yr, for a 5.9-fold difference in total mass. In 2016, we sampled needles of 84 white spruce trees (Picea glauca) the dominant riparian tree species, for foliar nitrogen (N) content and stable isotope ratios (δ15N), and took core samples for annual growth increments. Stable isotope analysis indicated that marine-derived N was incorporated into the new growth of the trees on the enhanced bank. Analysis of tree cores indicated that in the two decades prior to our enhancement experiment, trees on the south-facing (subsequently the depleted) bank grew faster than those on the north-facing (later enhanced) bank. This difference was reduced significantly during the two decades of fertilization, indicating an effect of the carcass transfer experiment against the background of other factors affecting tree growth.","container-title":"Ecology","DOI":"10.1002/ecy.2453","ISSN":"1939-9170","issue":"11","language":"en","page":"2433-2441","source":"Wiley Online Library","title":"A multidecade experiment shows that fertilization by salmon carcasses enhanced tree growth in the riparian zone","volume":"99","author":[{"family":"Quinn","given":"Thomas P."},{"family":"Helfield","given":"James M."},{"family":"Austin","given":"Catherine S."},{"family":"Hovel","given":"Rachel A."},{"family":"Bunn","given":"Andrew G."}],"issued":{"date-parts":[["2018"]]},"citation-key":"quinn_2018a"}},{"id":1761,"uris":["http://zotero.org/users/2189142/items/ZNXJC24N"],"itemData":{"id":1761,"type":"article-journal","abstract":"Tree-ring studies using increment cores have increasingly measured elemental (N) and isotopic (δ15N) nitrogen values to evaluate environmental changes in the nitrogen cycle. The paucity of nitrogen..., Les valeurs d’azote élémentaire (N) et isotopique (δ15N) sont de plus en plus souvent mesurées dans les carottes prélevées lors d’études des anneaux de croissance des arbres, afin d’évaluer les cha...","container-title":"Botany","DOI":"10.1139/cjb-2018-0112","ISSN":"1916-2790","issue":"12","journalAbbreviation":"Botany","page":"851-857","source":"NRC Research Press","title":"Intra-annual variability in isotopic and total nitrogen in tree rings of old growth Sitka spruce from coastal British Columbia","volume":"96","author":[{"family":"Reimchen","given":"T.E."},{"family":"Arbellay","given":"Estelle"}],"issued":{"date-parts":[["2018",11,22]]},"citation-key":"reimchen_2018"}}],"schema":"https://github.com/citation-style-language/schema/raw/master/csl-citation.json"} </w:instrText>
      </w:r>
      <w:r w:rsidRPr="009867C1">
        <w:fldChar w:fldCharType="separate"/>
      </w:r>
      <w:r w:rsidR="0042141C" w:rsidRPr="009867C1">
        <w:t>(Quinn et al., 2018; Reimchen &amp; Arbellay, 2018)</w:t>
      </w:r>
      <w:r w:rsidRPr="009867C1">
        <w:fldChar w:fldCharType="end"/>
      </w:r>
      <w:r w:rsidRPr="009867C1">
        <w:t xml:space="preserve"> and understory plant fecundity </w:t>
      </w:r>
      <w:r w:rsidRPr="009867C1">
        <w:fldChar w:fldCharType="begin"/>
      </w:r>
      <w:r w:rsidR="00AC0205">
        <w:instrText xml:space="preserve"> ADDIN ZOTERO_ITEM CSL_CITATION {"citationID":"DegPXO7E","properties":{"formattedCitation":"(Siemens et al., 2020)","plainCitation":"(Siemens et al., 2020)","noteIndex":0},"citationItems":[{"id":2359,"uris":["http://zotero.org/users/2189142/items/HE5K9YT7"],"itemData":{"id":2359,"type":"article-journal","container-title":"Ecosphere","issue":"11","note":"publisher: Wiley Online Library","page":"e03282","source":"Google Scholar","title":"Spawning salmon density influences fruit production of salmonberry (&lt;i&gt;Rubus spectabilis&lt;/i&gt;)","volume":"11","author":[{"family":"Siemens","given":"Lisa D."},{"family":"Dennert","given":"Allison M."},{"family":"Obrist","given":"Debora S."},{"family":"Reynolds","given":"John D."}],"issued":{"date-parts":[["2020"]]},"citation-key":"siemens_2020"}}],"schema":"https://github.com/citation-style-language/schema/raw/master/csl-citation.json"} </w:instrText>
      </w:r>
      <w:r w:rsidRPr="009867C1">
        <w:fldChar w:fldCharType="separate"/>
      </w:r>
      <w:r w:rsidR="0042141C" w:rsidRPr="009867C1">
        <w:t>(Siemens et al., 2020)</w:t>
      </w:r>
      <w:r w:rsidRPr="009867C1">
        <w:fldChar w:fldCharType="end"/>
      </w:r>
      <w:r w:rsidRPr="009867C1">
        <w:t>.</w:t>
      </w:r>
    </w:p>
    <w:p w14:paraId="48B36AAA" w14:textId="2C247E53" w:rsidR="00D80E10" w:rsidRPr="009867C1" w:rsidRDefault="00D80E10" w:rsidP="00D80E10">
      <w:pPr>
        <w:ind w:firstLine="720"/>
      </w:pPr>
      <w:r w:rsidRPr="009867C1">
        <w:t xml:space="preserve">Finally, along </w:t>
      </w:r>
      <w:r w:rsidR="00D311FD">
        <w:t>the</w:t>
      </w:r>
      <w:r w:rsidRPr="009867C1">
        <w:t xml:space="preserve"> MDN gradient sporocarps showed no, or perhaps even a decline, in %N. This is in contrast to expectations of a positive correlation from other N-addition studies </w:t>
      </w:r>
      <w:r w:rsidRPr="009867C1">
        <w:fldChar w:fldCharType="begin"/>
      </w:r>
      <w:r w:rsidR="00AC0205">
        <w:instrText xml:space="preserve"> ADDIN ZOTERO_ITEM CSL_CITATION {"citationID":"cCLsENlT","properties":{"formattedCitation":"(E. A. Hobbie et al., 2019)","plainCitation":"(E. A. Hobbie et al., 2019)","noteIndex":0},"citationItems":[{"id":1663,"uris":["http://zotero.org/users/2189142/items/V3262PM4"],"itemData":{"id":1663,"type":"article-journal","abstract":"To assess how nitrogen (N) availability affected ectomycorrhizal functioning and to test a theoretical model of ectomycorrhizal 15N partitioning, we measured C/N and δ15N in soils and nine fungal taxa in two Swedish N addition experiments. Sporocarp C/N and soil C/N decreased with fertilization, implying that N uptake per unit fungal growth increased. The S horizon was more responsive than the F and H horizons to changes in N addition, with N turnover for these horizons of 24, 57, and 57 y, respectively. Fungal and soil δ15N patterns identified fungal N sources, with N acquisition primarily from the S, F, or H horizon for two, five, and two taxa, respectively. With increasing N availability, sporocarp 15N enrichment increased in five taxa, in agreement with our model of fungal-plant N partitioning. However, it decreased in Lactarius rufus and Russula aeruginea, perhaps indicating shifts towards greater inorganic N uptake in these two taxa. This may relate to the generally lower sensitivity of these taxa to N deposition compared to the Cortinarius and Suillus taxa that fit our model of 15N partitioning.","container-title":"Fungal Ecology","DOI":"10.1016/j.funeco.2018.12.013","ISSN":"1754-5048","journalAbbreviation":"Fungal Ecology","language":"en","page":"267-275","source":"ScienceDirect","title":"Fertilization alters nitrogen isotopes and concentrations in ectomycorrhizal fungi and soil in pine forests","volume":"39","author":[{"family":"Hobbie","given":"Erik A."},{"family":"Chen","given":"Janet"},{"family":"Hasselquist","given":"Niles J."}],"issued":{"date-parts":[["2019",6,1]]},"citation-key":"hobbie_2019"}}],"schema":"https://github.com/citation-style-language/schema/raw/master/csl-citation.json"} </w:instrText>
      </w:r>
      <w:r w:rsidRPr="009867C1">
        <w:fldChar w:fldCharType="separate"/>
      </w:r>
      <w:r w:rsidR="0042141C" w:rsidRPr="009867C1">
        <w:t>(E. A. Hobbie et al., 2019)</w:t>
      </w:r>
      <w:r w:rsidRPr="009867C1">
        <w:fldChar w:fldCharType="end"/>
      </w:r>
      <w:r w:rsidRPr="009867C1">
        <w:t xml:space="preserve"> but consistent with a study from nearby forests </w:t>
      </w:r>
      <w:r w:rsidRPr="009867C1">
        <w:fldChar w:fldCharType="begin"/>
      </w:r>
      <w:r w:rsidR="00AC0205">
        <w:instrText xml:space="preserve"> ADDIN ZOTERO_ITEM CSL_CITATION {"citationID":"Jvu7W5Xj","properties":{"formattedCitation":"(Kranabetter &amp; MacKenzie, 2009)","plainCitation":"(Kranabetter &amp; MacKenzie, 2009)","noteIndex":0},"citationItems":[{"id":940,"uris":["http://zotero.org/users/2189142/items/C3JSWJ6N"],"itemData":{"id":940,"type":"article-journal","abstract":"The distribution of plant species in boreal forest understories is hypothesized to reflect mycorrhizal guilds and associated adaptations for organic nitrogen (N) acquisition. In this study of a natural edaphic gradient, where supply rates of inorganic N increase with site productivity, we noted a decline in understory ectomycorrhizal, ericoid, and arbutoid plant communities on productive sites, in contrast to a positive response by most arbuscular species. We then assessed the rate of change in foliar N concentration (Nconc) and abundance of 15N (δ15N) of select plants from these mycorrhizal guilds. Two arbuscular plant species (Rubus parviflorus and Viburnum edule) had the sharpest increases in foliar Nconc with enhanced supplies of NH4 + and NO3 −, but with no differences in foliar δ15N. An ectomycorrhizal species, Abies lasiocarpa, and ericoid species, Vaccinium membranaceum, had parallel increases in both Nconc and δ15N with soil N supply. The foliar δ15N of two arbutoid plants (Orthilia secunda and Pyrola asarifolia) were as enriched as ectomycorrhizal sporocarps, likely indicating N transfer from mycorrhizal networks. The depletion of foliar δ15N by ectomycorrhizal and ericoid plants on poorer sites likely reflected a high degree of N retention and photosynthate demand by fungi, whereas arbuscular plants may have had a less significant δ15N response because of a more passive role by fungi in scavenging organic N. The results suggest differences in how mycorrhiza exploit diverse soil N supplies (recalcitrant and labile organic N, NH4 +, NO3 −, and parasitized N) could be an important factor in boreal plant community composition.","container-title":"Ecosystems","DOI":"10.1007/s10021-009-9304-y","ISSN":"1432-9840, 1435-0629","issue":"1","journalAbbreviation":"Ecosystems","language":"en","page":"108-117","source":"link.springer.com.ezproxy.library.ubc.ca","title":"Contrasts Among Mycorrhizal Plant Guilds in Foliar Nitrogen Concentration and δ15N Along Productivity Gradients of a Boreal Forest","volume":"13","author":[{"family":"Kranabetter","given":"J. M."},{"family":"MacKenzie","given":"W. H."}],"issued":{"date-parts":[["2009",12,5]]},"citation-key":"kranabetter_2009"}}],"schema":"https://github.com/citation-style-language/schema/raw/master/csl-citation.json"} </w:instrText>
      </w:r>
      <w:r w:rsidRPr="009867C1">
        <w:fldChar w:fldCharType="separate"/>
      </w:r>
      <w:r w:rsidR="0042141C" w:rsidRPr="009867C1">
        <w:t>(Kranabetter &amp; MacKenzie, 2009)</w:t>
      </w:r>
      <w:r w:rsidRPr="009867C1">
        <w:fldChar w:fldCharType="end"/>
      </w:r>
      <w:r w:rsidRPr="009867C1">
        <w:t>. Interpretation here is difficult due to the phylogenetic diversity of measured sporocarps, the possible increase of total fungal biomass, and the possible up-regulation of mycorrhizal-N transfer.</w:t>
      </w:r>
    </w:p>
    <w:p w14:paraId="260FE6C2" w14:textId="77777777" w:rsidR="00D80E10" w:rsidRPr="009867C1" w:rsidRDefault="00D80E10" w:rsidP="00D80E10">
      <w:pPr>
        <w:ind w:firstLine="720"/>
      </w:pPr>
    </w:p>
    <w:p w14:paraId="4B1462A3" w14:textId="77777777" w:rsidR="00D80E10" w:rsidRPr="009867C1" w:rsidRDefault="00D80E10" w:rsidP="00D80E10">
      <w:pPr>
        <w:pStyle w:val="Heading4"/>
      </w:pPr>
      <w:bookmarkStart w:id="109" w:name="_Toc99385438"/>
      <w:r w:rsidRPr="009867C1">
        <w:t>Effects of MDN on Carbon Cycling</w:t>
      </w:r>
      <w:bookmarkEnd w:id="109"/>
    </w:p>
    <w:p w14:paraId="6818EFF6" w14:textId="0D845B54" w:rsidR="00D80E10" w:rsidRPr="009867C1" w:rsidRDefault="00D80E10" w:rsidP="00D80E10">
      <w:pPr>
        <w:ind w:firstLine="720"/>
      </w:pPr>
      <w:r w:rsidRPr="009867C1">
        <w:t xml:space="preserve">Consistent with </w:t>
      </w:r>
      <w:r w:rsidR="00D311FD">
        <w:t>the</w:t>
      </w:r>
      <w:r w:rsidRPr="009867C1">
        <w:t xml:space="preserve"> fifth prediction, soil, fungal, and litter carbon decreased along the MDN gradient (</w:t>
      </w:r>
      <w:r w:rsidRPr="009867C1">
        <w:fldChar w:fldCharType="begin"/>
      </w:r>
      <w:r w:rsidRPr="009867C1">
        <w:instrText xml:space="preserve"> REF _Ref49955967 \h </w:instrText>
      </w:r>
      <w:r w:rsidR="009867C1">
        <w:instrText xml:space="preserve"> \* MERGEFORMAT </w:instrText>
      </w:r>
      <w:r w:rsidRPr="009867C1">
        <w:fldChar w:fldCharType="separate"/>
      </w:r>
      <w:r w:rsidR="000667DB" w:rsidRPr="009867C1">
        <w:t xml:space="preserve">Figure </w:t>
      </w:r>
      <w:r w:rsidR="000667DB">
        <w:rPr>
          <w:noProof/>
        </w:rPr>
        <w:t>3</w:t>
      </w:r>
      <w:r w:rsidR="000667DB">
        <w:rPr>
          <w:noProof/>
        </w:rPr>
        <w:noBreakHyphen/>
        <w:t>2</w:t>
      </w:r>
      <w:r w:rsidRPr="009867C1">
        <w:fldChar w:fldCharType="end"/>
      </w:r>
      <w:r w:rsidRPr="009867C1">
        <w:t xml:space="preserve">). Nitrogen fertilization is thought to increase ecosystem metabolism and reduce soil C in the short term </w:t>
      </w:r>
      <w:r w:rsidRPr="009867C1">
        <w:fldChar w:fldCharType="begin"/>
      </w:r>
      <w:r w:rsidR="00AC0205">
        <w:instrText xml:space="preserve"> ADDIN ZOTERO_ITEM CSL_CITATION {"citationID":"w0C3cLmM","properties":{"formattedCitation":"(Q. Gao et al., 2014)","plainCitation":"(Q. Gao et al., 2014)","noteIndex":0},"citationItems":[{"id":2352,"uris":["http://zotero.org/users/2189142/items/65IAZL3P"],"itemData":{"id":2352,"type":"article-journal","abstract":"Little is known about the effects of nitrogen (N) additions on soil respiration (Rs) in tropical and subtropical forests. We therefore conducted an N-fertilization experiment in a subtropical evergreen forest in eastern China to better understand the short-term response of Rs to increased N availability. N additions stimulated Rs compared to control plots, yet the magnitude of the increase depended on the amount of N added, with Rs being greater in the low-N treatment (50 kg N ha−1 yr−1) than the high-N treatment (100 kg N ha−1 yr−1). Differences in Rs among treatments correlated with changes in fine root biomass, suggesting increases in Rs reflect those in autotrophic respiration. Our findings challenge the dogma that N fertilization often reduces soil respiration and highlights the need to better understand the effects of low N additions, so as to reliably predict how projected climate change scenarios may affect the cycling of soil carbon (C) in tropical and subtropical forests.","container-title":"Soil Biology and Biochemistry","DOI":"10.1016/j.soilbio.2014.04.020","ISSN":"0038-0717","journalAbbreviation":"Soil Biology and Biochemistry","language":"en","page":"297-300","source":"ScienceDirect","title":"Short-term response of soil respiration to nitrogen fertilization in a subtropical evergreen forest","volume":"76","author":[{"family":"Gao","given":"Qiang"},{"family":"Hasselquist","given":"Niles J."},{"family":"Palmroth","given":"Sari"},{"family":"Zheng","given":"Zemei"},{"family":"You","given":"Wenhui"}],"issued":{"date-parts":[["2014",9,1]]},"citation-key":"gao_2014"}}],"schema":"https://github.com/citation-style-language/schema/raw/master/csl-citation.json"} </w:instrText>
      </w:r>
      <w:r w:rsidRPr="009867C1">
        <w:fldChar w:fldCharType="separate"/>
      </w:r>
      <w:r w:rsidR="0042141C" w:rsidRPr="009867C1">
        <w:t>(Q. Gao et al., 2014)</w:t>
      </w:r>
      <w:r w:rsidRPr="009867C1">
        <w:fldChar w:fldCharType="end"/>
      </w:r>
      <w:r w:rsidRPr="009867C1">
        <w:t xml:space="preserve"> as recalcitrant C is accessed by soil microbes increasing their enzyme activity and plants decrease belowground C allocations to mycorrhizal partners </w:t>
      </w:r>
      <w:r w:rsidRPr="009867C1">
        <w:fldChar w:fldCharType="begin"/>
      </w:r>
      <w:r w:rsidR="00AC0205">
        <w:instrText xml:space="preserve"> ADDIN ZOTERO_ITEM CSL_CITATION {"citationID":"eSNdt0K4","properties":{"formattedCitation":"(D. Tian et al., 2018)","plainCitation":"(D. Tian et al., 2018)","noteIndex":0},"citationItems":[{"id":2355,"uris":["http://zotero.org/users/2189142/items/WSSM2XIE"],"itemData":{"id":2355,"type":"article-journal","abstract":"China has been experiencing a rapid increase in nitrogen (N) deposition due to intensified anthropogenic N emissions since the late 1970s. By synthesizing experimental and observational data taken from literature, we reviewed the responses of China's forests to increasing N deposition over time, with a focus on soil biogeochemical properties and acidification, plant nutrient stoichiometry, understory biodiversity, forest growth, and carbon (C) sequestration. Nitrogen deposition generally increased soil N availability and soil N leaching and decreased soil pH in China's forests. Consequently, microbial biomass C and microbial biomass N were both decreased, especially in subtropical forests. Nitrogen deposition increased the leaf N concentration and phosphorus resorption efficiency, which might induce nutrient imbalances in the forest ecosystems. Although experimental N addition might not affect plant species richness in the overstorey, it did significantly alter species composition of understory plants. Increased N stimulated tree growth in temperate forests, but this effect was weak in subtropical and tropical forests. Soil respiration in temperate forests was non-linearly responsive to N additions, with an increase at dosages of &lt;60 kg N ha−1 yr−1 and a decrease at dosages of &gt;60 kg N ha−1 yr−1. However, it was consistently decreased by increased N inputs in subtropical and tropical forests. In light of future trends in the composition (e.g., reduced N vs. oxidized N) and the loads of N deposition in China, further research on the effects of N deposition on forest ecosystems will have critical implications for the management strategies of China's forests.","container-title":"Environmental Pollution","DOI":"10.1016/j.envpol.2018.08.010","ISSN":"0269-7491","journalAbbreviation":"Environmental Pollution","language":"en","page":"75-86","source":"ScienceDirect","title":"Responses of forest ecosystems to increasing N deposition in China: A critical review","title-short":"Responses of forest ecosystems to increasing N deposition in China","volume":"243","author":[{"family":"Tian","given":"Di"},{"family":"Du","given":"Enzai"},{"family":"Jiang","given":"Lai"},{"family":"Ma","given":"Suhui"},{"family":"Zeng","given":"Wenjing"},{"family":"Zou","given":"Anlong"},{"family":"Feng","given":"Chanying"},{"family":"Xu","given":"Longchao"},{"family":"Xing","given":"Aijun"},{"family":"Wang","given":"Wei"},{"family":"Zheng","given":"Chengyang"},{"family":"Ji","given":"Chengjun"},{"family":"Shen","given":"Haihua"},{"family":"Fang","given":"Jingyun"}],"issued":{"date-parts":[["2018",12,1]]},"citation-key":"tian_2018"}}],"schema":"https://github.com/citation-style-language/schema/raw/master/csl-citation.json"} </w:instrText>
      </w:r>
      <w:r w:rsidRPr="009867C1">
        <w:fldChar w:fldCharType="separate"/>
      </w:r>
      <w:r w:rsidR="0042141C" w:rsidRPr="009867C1">
        <w:t>(D. Tian et al., 2018)</w:t>
      </w:r>
      <w:r w:rsidRPr="009867C1">
        <w:fldChar w:fldCharType="end"/>
      </w:r>
      <w:r w:rsidRPr="009867C1">
        <w:t xml:space="preserve">. This decreased belowground allocation would be compounded by microbial processing, as labile C is thought to contribute more to long-term soil organic matter stores than lignic-C </w:t>
      </w:r>
      <w:r w:rsidRPr="009867C1">
        <w:fldChar w:fldCharType="begin"/>
      </w:r>
      <w:r w:rsidR="00AC0205">
        <w:instrText xml:space="preserve"> ADDIN ZOTERO_ITEM CSL_CITATION {"citationID":"ynGxfuuk","properties":{"formattedCitation":"(Haddix et al., 2016)","plainCitation":"(Haddix et al., 2016)","noteIndex":0},"citationItems":[{"id":10033,"uris":["http://zotero.org/users/2189142/items/J87NFIFT"],"itemData":{"id":10033,"type":"article-journal","abstract":"The formation and stabilization of soil organic matter (SOM) are major concerns in the context of global change for carbon sequestration and soil health. It is presently believed that lignin is not selectively preserved in soil and that chemically labile compounds bonding to minerals comprise a large fraction of the SOM. Labile plant inputs have been suggested to be the main precursor of the mineral-bonded SOM. Litter decomposition and SOM formation are expected to have temperature sensitivity varying with the lability of plant inputs. We tested this framework using dual 13C and 15N differentially labeled plant material to distinguish the metabolic and structural components within a single plant material. Big Bluestem (Andropogon gerardii) seedlings were grown in an enriched 13C and 15N environment and then prior to harvest, removed from the enriched environment and allowed to incorporate natural abundance 13C–CO2 and 15N fertilizer into the metabolic plant components. This enabled us to achieve a greater than one atom % difference in 13C between the metabolic and structural components within the plant litter. This differentially labeled litter was incubated in soil at 15 and 35 °C, for 386 days with CO2 measured throughout the incubation. After 14, 28, 147, and 386 days of incubation, the soil was subsequently fractionated. There was no difference in temperature sensitivity of the metabolic and structural components with regard to how much was respired or in the amount of litter biomass stabilized. Only the metabolic litter component was found in the sand, silt, or clay fraction while the structural component was exclusively found in the light fraction. These results support the stabilization framework that labile plant components are the main precursor of mineral-associated organic matter.","container-title":"Global Change Biology","DOI":"10.1111/gcb.13237","ISSN":"13541013","issue":"6","journalAbbreviation":"Glob Change Biol","language":"en","page":"2301-2312","source":"DOI.org (Crossref)","title":"Dual, differential isotope labeling shows the preferential movement of labile plant constituents into mineral-bonded soil organic matter","volume":"22","author":[{"family":"Haddix","given":"Michelle L."},{"family":"Paul","given":"Eldor A."},{"family":"Cotrufo","given":"M. Francesca"}],"issued":{"date-parts":[["2016",6]]},"citation-key":"haddix_2016"}}],"schema":"https://github.com/citation-style-language/schema/raw/master/csl-citation.json"} </w:instrText>
      </w:r>
      <w:r w:rsidRPr="009867C1">
        <w:fldChar w:fldCharType="separate"/>
      </w:r>
      <w:r w:rsidR="0042141C" w:rsidRPr="009867C1">
        <w:t>(Haddix et al., 2016)</w:t>
      </w:r>
      <w:r w:rsidRPr="009867C1">
        <w:fldChar w:fldCharType="end"/>
      </w:r>
      <w:r w:rsidRPr="009867C1">
        <w:t xml:space="preserve">. In the longer term however the opposite may be expected, as higher N availability leads to higher plant growth and hence greater biomass accumulation in the soil; a recent meta-analyses found a general pattern of N addition leading to increased soil C </w:t>
      </w:r>
      <w:r w:rsidRPr="009867C1">
        <w:fldChar w:fldCharType="begin"/>
      </w:r>
      <w:r w:rsidR="00AC0205">
        <w:instrText xml:space="preserve"> ADDIN ZOTERO_ITEM CSL_CITATION {"citationID":"3OenGKSF","properties":{"formattedCitation":"(Huang et al., 2020; Zang et al., 2016)","plainCitation":"(Huang et al., 2020; Zang et al., 2016)","noteIndex":0},"citationItems":[{"id":2354,"uris":["http://zotero.org/users/2189142/items/BZUA56I9"],"itemData":{"id":2354,"type":"article-journal","abstract":"Through agriculture and industry, humans are increasing the deposition and availability of nitrogen (N) in ecosystems worldwide. Carbon (C) isotope tracers provide useful insights into soil C dynamics, as they allow to study soil C pools of different ages. We evaluated to what extent N enrichment affects soil C dynamics in experiments that applied C isotope tracers.","container-title":"Plant and Soil","DOI":"10.1007/s11104-020-04617-x","ISSN":"1573-5036","issue":"1","journalAbbreviation":"Plant Soil","language":"en","page":"299-310","source":"Springer Link","title":"New soil carbon sequestration with nitrogen enrichment: a meta-analysis","title-short":"New soil carbon sequestration with nitrogen enrichment","volume":"454","author":[{"family":"Huang","given":"Xiaomin"},{"family":"Terrer","given":"César"},{"family":"Dijkstra","given":"Feike A."},{"family":"Hungate","given":"Bruce A."},{"family":"Zhang","given":"Weijian"},{"family":"Groenigen","given":"Kees Jan","non-dropping-particle":"van"}],"issued":{"date-parts":[["2020",9,1]]},"citation-key":"huang_2020"}},{"id":2349,"uris":["http://zotero.org/users/2189142/items/F8CHHQKT"],"itemData":{"id":2349,"type":"article-journal","abstract":"Agricultural soils have experienced large anthropogenic nitrogen (N) inputs in recent decades. Our mechanistic understanding of the effects of added N on the carbon (C) cycle in agricultural soils, especially in the rhizosphere (C excess and N limitation), remains incomplete. The effects of increasing N fertilization on soil CO2 emissions and microbial biomass in a wheat rhizosphere were investigated in a 56-day incubation experiment. The rhizosphere soil was amended with increasing NH4+ rates of 0 (Control), 52 (Low N), 104 (Medium N), and 208μgNg−1 soil (High N). N fertilization exponentially decreased soil CO2 emissions by 27–42% compared to the control. Microbial biomass was decreased by N fertilization, but depended on the amount of added N and the timing of measurements. N additions caused pronounced negative priming effects ranging from −72 to −113μgCg−1 over 56days, corresponding to a decrease in basal respiration of 27%, 35% and 42% for Low, Medium and High N, respectively. The CO2 fluxes per unit of microbial biomass decreased exponentially with N addition (R2=0.84), indicating increased microbial carbon use efficiency under higher N availability. A literature review and own results showed that negative PEs occurred in the most cases and getting more negative exponentially with increasing N fertilization (n=158, P&lt;0.001). In conclusion, increasing N fertilization facilitates C sequestration in soil not only by higher root biomass production, but also by reducing the SOM decomposition in the rhizosphere because of decreased N limitation.","container-title":"Applied Soil Ecology","DOI":"10.1016/j.apsoil.2016.07.021","ISSN":"0929-1393","journalAbbreviation":"Applied Soil Ecology","language":"en","page":"47-53","source":"ScienceDirect","title":"N fertilization decreases soil organic matter decomposition in the rhizosphere","volume":"108","author":[{"family":"Zang","given":"Huadong"},{"family":"Wang","given":"Jinyang"},{"family":"Kuzyakov","given":"Yakov"}],"issued":{"date-parts":[["2016",12,1]]},"citation-key":"zang_2016"}}],"schema":"https://github.com/citation-style-language/schema/raw/master/csl-citation.json"} </w:instrText>
      </w:r>
      <w:r w:rsidRPr="009867C1">
        <w:fldChar w:fldCharType="separate"/>
      </w:r>
      <w:r w:rsidR="0042141C" w:rsidRPr="009867C1">
        <w:t>(Huang et al., 2020; Zang et al., 2016)</w:t>
      </w:r>
      <w:r w:rsidRPr="009867C1">
        <w:fldChar w:fldCharType="end"/>
      </w:r>
      <w:r w:rsidRPr="009867C1">
        <w:t xml:space="preserve">, although this response is likely complex and context dependent </w:t>
      </w:r>
      <w:r w:rsidRPr="009867C1">
        <w:fldChar w:fldCharType="begin"/>
      </w:r>
      <w:r w:rsidR="00AC0205">
        <w:instrText xml:space="preserve"> ADDIN ZOTERO_ITEM CSL_CITATION {"citationID":"3QBb4rXO","properties":{"formattedCitation":"(Allison et al., 2009)","plainCitation":"(Allison et al., 2009)","noteIndex":0},"citationItems":[{"id":165,"uris":["http://zotero.org/users/2189142/items/CUSUQD98"],"itemData":{"id":165,"type":"article-journal","abstract":"Climate warming and associated increases in nutrient mineralization may increase the availability of soil nitrogen (N) in high latitude ecosystems, such as boreal forests. These changes in N availability could feed back to affect the decomposition of litter and organic matter by soil microbes. Since fungi are important decomposers in boreal forest ecosystems, we conducted a 69-day incubation study to examine N constraints on fungal decomposition of organic substrates common in boreal ecosystems, including cellulose, lignin, spruce wood, spruce needle litter, and moss litter. We added 0, 20, or 200μgN to vials containing 200mg substrate in factorial combination with five fungal species isolated from boreal soil, including an Ascomycete, a Zygomycete, and three Basidiomycetes. We hypothesized that N addition would increase CO2 mineralization from the substrates, particularly those with low N concentrations. In addition we predicted that Basidiomycetes would be more effective decomposers than the other fungi, but would respond weakly or negatively to N additions. In support of the first hypothesis, cumulative CO2 mineralization increased from 635±117 to 806+108μgC across all fungal species and substrates in response to 20μg added N; however, there was no significant increase at the highest level of N addition. The positive effect of N addition was only significant on cellulose and wood substrates which contained very little N. We also observed clear differences in the substrate preferences of the fungal species. The Zygomycete mineralized little CO2 from any of the substrates, while the Basidiomycetes mineralized all of the substrates except spruce needles. However, the Ascomycete (Penicillium) was surprisingly efficient at mineralizing spruce wood and was the only species that substantially mineralized spruce litter. The activities of β-glucosidase and N-acetyl-glucosaminidase were strongly correlated with cumulative respiration (r=0.78 and 0.74, respectively), and Penicillium was particularly effective at producing these enzymes. On moss litter, the different fungal species produced enzymes that targeted different chemical components. Overall, our results suggest that fungal species specialize on different organic substrates, and only respond to N addition on low N substrates, such as wood. Furthermore, the response to N addition is non-linear, with the greatest substrate mineralization at intermediate N levels.","container-title":"Soil Biology and Biochemistry","DOI":"10.1016/j.soilbio.2008.10.032","ISSN":"0038-0717","issue":"2","journalAbbreviation":"Soil Biology and Biochemistry","language":"en","page":"293-302","source":"ScienceDirect","title":"Low levels of nitrogen addition stimulate decomposition by boreal forest fungi","volume":"41","author":[{"family":"Allison","given":"Steven D."},{"family":"LeBauer","given":"David S."},{"family":"Ofrecio","given":"M. Rosario"},{"family":"Reyes","given":"Randy"},{"family":"Ta","given":"Anh-Minh"},{"family":"Tran","given":"Tri M."}],"issued":{"date-parts":[["2009",2,1]]},"citation-key":"allison_2009"}}],"schema":"https://github.com/citation-style-language/schema/raw/master/csl-citation.json"} </w:instrText>
      </w:r>
      <w:r w:rsidRPr="009867C1">
        <w:fldChar w:fldCharType="separate"/>
      </w:r>
      <w:r w:rsidR="0042141C" w:rsidRPr="009867C1">
        <w:t>(Allison et al., 2009)</w:t>
      </w:r>
      <w:r w:rsidRPr="009867C1">
        <w:fldChar w:fldCharType="end"/>
      </w:r>
      <w:r w:rsidRPr="009867C1">
        <w:t>. In salmon systems in Alaska and Idaho, increased CO</w:t>
      </w:r>
      <w:r w:rsidRPr="009867C1">
        <w:rPr>
          <w:vertAlign w:val="subscript"/>
        </w:rPr>
        <w:t>2</w:t>
      </w:r>
      <w:r w:rsidRPr="009867C1">
        <w:t xml:space="preserve"> production was observed after salmon additions </w:t>
      </w:r>
      <w:r w:rsidRPr="009867C1">
        <w:fldChar w:fldCharType="begin"/>
      </w:r>
      <w:r w:rsidR="00AC0205">
        <w:instrText xml:space="preserve"> ADDIN ZOTERO_ITEM CSL_CITATION {"citationID":"iuXqV8Qb","properties":{"formattedCitation":"(Holtgrieve et al., 2009)","plainCitation":"(Holtgrieve et al., 2009)","noteIndex":0},"citationItems":[{"id":973,"uris":["http://zotero.org/users/2189142/items/RNMUUKA3"],"itemData":{"id":973,"type":"article-journal","abstract":"Two important themes in ecology include the understanding of how interactions among species control ecosystem processes, and how habitats can be connected through transfers of nutrients and energy by mobile organisms. An impressive example of both is the large influx of nutrients and organic matter that anadromous salmon supply to inland aquatic and terrestrial ecosystems and the role of predation by brown bears (Ursus arctos) in transferring these marine-derived nutrients (MDN) from freshwater to riparian habitats. In spite of the recognition that salmon-bear interactions likely play an important role in controlling the flux of MDN from aquatic to riparian habitats, few studies have linked bear predation on salmon to processes such as nitrogen (N) or carbon (C) cycling. We combine landscape-level survey data and a replicated bear-exclosure experiment to test how bear foraging on salmon affects nitrous oxide (N2O) flux, carbon dioxide (CO2) flux, and nutrient concentrations of riparian soils. Our results show that bears feeding on salmon increased soil ammonium (NH4 +) concentrations three-fold and N2O flux by 32-fold. Soil CO2 flux, nitrate (NO3 −), and N transformation differences were negligible in areas where bears fed on salmon. Reference areas without concentrated bear activity showed no detectable change in soil N cycling after the arrival of salmon to streams. Exclosure experiments showed that bear effects on soil nutrient cycles were transient, and soil N processing returned to background conditions within 1 year after bears were removed from the system. These results suggest that recipient ecosystems do not show uniform responses to MDN inputs and highlight the importance of large mobile consumers in generating landscape heterogeneity in nutrient cycles.","container-title":"Ecological Research","DOI":"10.1007/s11284-009-0591-8","ISSN":"0912-3814, 1440-1703","issue":"5","journalAbbreviation":"Ecol Res","language":"en","page":"1125-1135","source":"link.springer.com.ezproxy.library.ubc.ca","title":"Large predators and biogeochemical hotspots: brown bear (Ursus arctos) predation on salmon alters nitrogen cycling in riparian soils","title-short":"Large predators and biogeochemical hotspots","volume":"24","author":[{"family":"Holtgrieve","given":"Gordon W."},{"family":"Schindler","given":"Daniel E."},{"family":"Jewett","given":"Peter K."}],"issued":{"date-parts":[["2009",3,18]]},"citation-key":"holtgrieve_2009"}}],"schema":"https://github.com/citation-style-language/schema/raw/master/csl-citation.json"} </w:instrText>
      </w:r>
      <w:r w:rsidRPr="009867C1">
        <w:fldChar w:fldCharType="separate"/>
      </w:r>
      <w:r w:rsidR="0042141C" w:rsidRPr="009867C1">
        <w:t>(Holtgrieve et al., 2009)</w:t>
      </w:r>
      <w:r w:rsidRPr="009867C1">
        <w:fldChar w:fldCharType="end"/>
      </w:r>
      <w:r w:rsidRPr="009867C1">
        <w:t xml:space="preserve"> and under experimental carcasses </w:t>
      </w:r>
      <w:r w:rsidRPr="009867C1">
        <w:fldChar w:fldCharType="begin"/>
      </w:r>
      <w:r w:rsidR="00AC0205">
        <w:instrText xml:space="preserve"> ADDIN ZOTERO_ITEM CSL_CITATION {"citationID":"wiyc4w0f","properties":{"formattedCitation":"(T. A. Wheeler &amp; Kavanagh, 2017)","plainCitation":"(T. A. Wheeler &amp; Kavanagh, 2017)","noteIndex":0},"citationItems":[{"id":1598,"uris":["http://zotero.org/users/2189142/items/DF4W6BUL"],"itemData":{"id":1598,"type":"article-journal","abstract":"The historic abundance of salmonids returning to natal streams of the inland Pacific Northwest, USA, may have constituted a major nutrient influx into these commonly oligotrophic ecosystems. Inland..., L’abondance historique des salmonidés qui reviennent vers les cours d’eau où ils ont vu le jour dans l’arrière-pays du Pacific Northwest aux États-Unis, ont pu constituer un apport majeur de nutrim...","container-title":"Canadian Journal of Forest Research","DOI":"10.1139/cjfr-2017-0194","ISSN":"0045-5067","issue":"11","journalAbbreviation":"Can. J. For. Res.","page":"1506-1516","source":"NRC Research Press","title":"Soil biogeochemical responses to the deposition of anadromous fish carcasses in inland riparian forests of the Pacific Northwest, USA","volume":"47","author":[{"family":"Wheeler","given":"Tadd A."},{"family":"Kavanagh","given":"Kathleen L."}],"issued":{"date-parts":[["2017",9,5]]},"citation-key":"wheeler_2017"}}],"schema":"https://github.com/citation-style-language/schema/raw/master/csl-citation.json"} </w:instrText>
      </w:r>
      <w:r w:rsidRPr="009867C1">
        <w:fldChar w:fldCharType="separate"/>
      </w:r>
      <w:r w:rsidR="0042141C" w:rsidRPr="009867C1">
        <w:t>(T. A. Wheeler &amp; Kavanagh, 2017)</w:t>
      </w:r>
      <w:r w:rsidRPr="009867C1">
        <w:fldChar w:fldCharType="end"/>
      </w:r>
      <w:r w:rsidRPr="009867C1">
        <w:t xml:space="preserve">. These findings are consistent with </w:t>
      </w:r>
      <w:r w:rsidR="00D311FD">
        <w:t>the</w:t>
      </w:r>
      <w:r w:rsidRPr="009867C1">
        <w:t xml:space="preserve"> findings of decreased soil, litter, and sporocarp carbon along </w:t>
      </w:r>
      <w:r w:rsidR="00D311FD">
        <w:t>the</w:t>
      </w:r>
      <w:r w:rsidRPr="009867C1">
        <w:t xml:space="preserve"> MDN gradient. </w:t>
      </w:r>
    </w:p>
    <w:p w14:paraId="1FBAAE06" w14:textId="4DD0D7B4" w:rsidR="00D80E10" w:rsidRPr="009867C1" w:rsidRDefault="00D80E10" w:rsidP="00D80E10">
      <w:pPr>
        <w:ind w:firstLine="720"/>
      </w:pPr>
      <w:r w:rsidRPr="009867C1">
        <w:t>One way of distinguishing whether this decrease in belowground-C is due to increased soil metabolism or decreased belowground allocation of plant-C is through correlations of δ</w:t>
      </w:r>
      <w:r w:rsidRPr="009867C1">
        <w:rPr>
          <w:vertAlign w:val="superscript"/>
        </w:rPr>
        <w:t>13</w:t>
      </w:r>
      <w:r w:rsidRPr="009867C1">
        <w:t>C (</w:t>
      </w:r>
      <w:r w:rsidRPr="003F1C42">
        <w:t>Hobbie</w:t>
      </w:r>
      <w:r w:rsidR="003F1C42">
        <w:t>, in review</w:t>
      </w:r>
      <w:r w:rsidRPr="009867C1">
        <w:t xml:space="preserve">). </w:t>
      </w:r>
      <w:r w:rsidR="00D311FD">
        <w:t>I</w:t>
      </w:r>
      <w:r w:rsidRPr="009867C1">
        <w:t xml:space="preserve"> found a </w:t>
      </w:r>
      <w:r w:rsidR="006B52CF">
        <w:t>increasing</w:t>
      </w:r>
      <w:r w:rsidRPr="009867C1">
        <w:t xml:space="preserve"> trend in δ</w:t>
      </w:r>
      <w:r w:rsidRPr="009867C1">
        <w:rPr>
          <w:vertAlign w:val="superscript"/>
        </w:rPr>
        <w:t>13</w:t>
      </w:r>
      <w:r w:rsidRPr="009867C1">
        <w:t xml:space="preserve">C </w:t>
      </w:r>
      <w:r w:rsidR="006B52CF">
        <w:t xml:space="preserve">in vegetation and fungi </w:t>
      </w:r>
      <w:r w:rsidRPr="009867C1">
        <w:t xml:space="preserve">along </w:t>
      </w:r>
      <w:r w:rsidR="006B52CF">
        <w:t>the</w:t>
      </w:r>
      <w:r w:rsidRPr="009867C1">
        <w:t xml:space="preserve"> MDN gradient</w:t>
      </w:r>
      <w:r w:rsidR="006B52CF">
        <w:t xml:space="preserve"> and a decreasing trend in litter</w:t>
      </w:r>
      <w:r w:rsidRPr="009867C1">
        <w:t xml:space="preserve"> (</w:t>
      </w:r>
      <w:r w:rsidR="006B52CF" w:rsidRPr="009867C1">
        <w:fldChar w:fldCharType="begin"/>
      </w:r>
      <w:r w:rsidR="006B52CF" w:rsidRPr="009867C1">
        <w:instrText xml:space="preserve"> REF _Ref49955967 \h </w:instrText>
      </w:r>
      <w:r w:rsidR="006B52CF">
        <w:instrText xml:space="preserve"> \* MERGEFORMAT </w:instrText>
      </w:r>
      <w:r w:rsidR="006B52CF" w:rsidRPr="009867C1">
        <w:fldChar w:fldCharType="separate"/>
      </w:r>
      <w:r w:rsidR="000667DB" w:rsidRPr="009867C1">
        <w:t xml:space="preserve">Figure </w:t>
      </w:r>
      <w:r w:rsidR="000667DB">
        <w:rPr>
          <w:noProof/>
        </w:rPr>
        <w:t>3</w:t>
      </w:r>
      <w:r w:rsidR="000667DB">
        <w:rPr>
          <w:noProof/>
        </w:rPr>
        <w:noBreakHyphen/>
        <w:t>2</w:t>
      </w:r>
      <w:r w:rsidR="006B52CF" w:rsidRPr="009867C1">
        <w:fldChar w:fldCharType="end"/>
      </w:r>
      <w:r w:rsidRPr="009867C1">
        <w:fldChar w:fldCharType="begin"/>
      </w:r>
      <w:r w:rsidRPr="009867C1">
        <w:instrText xml:space="preserve"> REF _Ref49956874 \h </w:instrText>
      </w:r>
      <w:r w:rsidR="009867C1">
        <w:instrText xml:space="preserve"> \* MERGEFORMAT </w:instrText>
      </w:r>
      <w:r w:rsidRPr="009867C1">
        <w:fldChar w:fldCharType="separate"/>
      </w:r>
      <w:r w:rsidR="000667DB" w:rsidRPr="009867C1">
        <w:t xml:space="preserve">Figure </w:t>
      </w:r>
      <w:r w:rsidR="000667DB">
        <w:rPr>
          <w:noProof/>
        </w:rPr>
        <w:t>3</w:t>
      </w:r>
      <w:r w:rsidR="000667DB">
        <w:rPr>
          <w:noProof/>
        </w:rPr>
        <w:noBreakHyphen/>
        <w:t>4</w:t>
      </w:r>
      <w:r w:rsidRPr="009867C1">
        <w:fldChar w:fldCharType="end"/>
      </w:r>
      <w:r w:rsidRPr="009867C1">
        <w:t>), which would</w:t>
      </w:r>
      <w:r w:rsidR="006B52CF">
        <w:t xml:space="preserve"> partially</w:t>
      </w:r>
      <w:r w:rsidRPr="009867C1">
        <w:t xml:space="preserve"> </w:t>
      </w:r>
      <w:r w:rsidR="006B52CF">
        <w:t>support</w:t>
      </w:r>
      <w:r w:rsidRPr="009867C1">
        <w:t xml:space="preserve"> the increased soil metabolism hypothesis since CO</w:t>
      </w:r>
      <w:r w:rsidRPr="009867C1">
        <w:rPr>
          <w:vertAlign w:val="subscript"/>
        </w:rPr>
        <w:t>2</w:t>
      </w:r>
      <w:r w:rsidRPr="009867C1">
        <w:t xml:space="preserve"> respired by soil microbes is depleted in </w:t>
      </w:r>
      <w:r w:rsidRPr="009867C1">
        <w:rPr>
          <w:vertAlign w:val="superscript"/>
        </w:rPr>
        <w:t>13</w:t>
      </w:r>
      <w:r w:rsidRPr="009867C1">
        <w:t xml:space="preserve">C which, all else being equal, would leave the remaining litter </w:t>
      </w:r>
      <w:r w:rsidRPr="009867C1">
        <w:rPr>
          <w:vertAlign w:val="superscript"/>
        </w:rPr>
        <w:t>13</w:t>
      </w:r>
      <w:r w:rsidRPr="009867C1">
        <w:t xml:space="preserve">C-enriched instead of depleted </w:t>
      </w:r>
      <w:r w:rsidRPr="009867C1">
        <w:fldChar w:fldCharType="begin"/>
      </w:r>
      <w:r w:rsidR="00AC0205">
        <w:instrText xml:space="preserve"> ADDIN ZOTERO_ITEM CSL_CITATION {"citationID":"qlJAKbxn","properties":{"formattedCitation":"(Werth &amp; Kuzyakov, 2010)","plainCitation":"(Werth &amp; Kuzyakov, 2010)","noteIndex":0},"citationItems":[{"id":10052,"uris":["http://zotero.org/users/2189142/items/9XBHUYKR"],"itemData":{"id":10052,"type":"article-journal","abstract":"Natural variations of the 13C/12C ratio have been frequently used over the last three decades to trace C sources and fluxes between plants, microorganisms, and soil. Many of these studies have used the natural-13C-labelling approach, i.e. natural δ13C variation after C3–C4 vegetation changes. In this review, we focus on 13C fractionation in main processes at the interface between roots, microorganisms, and soil: root respiration, microbial respiration, formation of dissolved organic carbon, as well as microbial uptake and utilization of soil organic matter (SOM). Based on literature data and our own studies, we estimated that, on average, the roots of C3 and C4 plants are 13C enriched compared to shoots by +1.2 ± 0.6‰ and +0.3 ± 0.4‰, respectively. The CO2 released by root respiration was 13C depleted by about −2.1 ± 2.2‰ for C3 plants and −1.3 ± 2.4‰ for C4 plants compared to root tissue. However, only a very few studies investigated 13C fractionation by root respiration. This urgently calls for further research. In soils developed under C3 vegetation, the microbial biomass was 13C enriched by +1.2 ± 2.6‰ and microbial CO2 was also 13C enriched by +0.7 ± 2.8‰ compared to SOM. This discrimination pattern suggests preferential utilization of 13C-enriched substances by microorganisms, but a respiration of lighter compounds from this fraction. The δ13C signature of the microbial pool is composed of metabolically active and dormant microorganisms; the respired CO2, however, derives mainly from active organisms. This discrepancy and the preferential substrate utilization explain the δ13C differences between microorganisms and CO2 by an ‘apparent’ 13C discrimination. Preferential consumption of easily decomposable substrates and less negative δ13C values were common for substances with low C/N ratios. Preferential substrate utilization was more important for C3 soils because, in C4 soils, microbial respiration strictly followed kinetics, i.e. microorganisms incorporated heavier C (∆ = +1.1‰) and respired lighter C (∆ = −1.1‰) than SOM. Temperature and precipitation had no significant effect on the 13C fractionation in these processes in C3 soils. Increasing temperature and decreasing precipitation led, however, to increasing δ13C of soil C pools. Based on these 13C fractionations we developed a number of consequences for C partitioning studies using 13C natural abundance. In the framework of standard isotope mixing models, we calculated CO2 partitioning using the natural-13C-labelling approach at a vegetation change from C3 to C4 plants assuming a root-derived fraction between 0% and 100% to total soil CO2. Disregarding any 13C fractionation processes, the calculated results deviated by up to 10% from the assumed fractions. Accounting for 13C fractionation in the standard deviations of the C4 source and the mixing pool did not improve the exactness of the partitioning results; rather, it doubled the standard errors of the CO2 pools. Including 13C fractionations directly into the mass balance equations reproduced the assumed CO2 partitioning exactly. At the end, we therefore give recommendations on how to consider 13C fractionations in research on carbon flows between plants, microorganisms, and soil.","container-title":"Soil Biology and Biochemistry","DOI":"10.1016/j.soilbio.2010.04.009","ISSN":"0038-0717","issue":"9","journalAbbreviation":"Soil Biology and Biochemistry","language":"en","page":"1372-1384","source":"ScienceDirect","title":"13C fractionation at the root–microorganisms–soil interface: A review and outlook for partitioning studies","title-short":"13C fractionation at the root–microorganisms–soil interface","volume":"42","author":[{"family":"Werth","given":"Martin"},{"family":"Kuzyakov","given":"Yakov"}],"issued":{"date-parts":[["2010",9,1]]},"citation-key":"werth_2010"}}],"schema":"https://github.com/citation-style-language/schema/raw/master/csl-citation.json"} </w:instrText>
      </w:r>
      <w:r w:rsidRPr="009867C1">
        <w:fldChar w:fldCharType="separate"/>
      </w:r>
      <w:r w:rsidR="0042141C" w:rsidRPr="009867C1">
        <w:t>(Werth &amp; Kuzyakov, 2010)</w:t>
      </w:r>
      <w:r w:rsidRPr="009867C1">
        <w:fldChar w:fldCharType="end"/>
      </w:r>
      <w:r w:rsidRPr="009867C1">
        <w:t xml:space="preserve">. </w:t>
      </w:r>
      <w:r w:rsidR="006B52CF">
        <w:t xml:space="preserve">In addition, </w:t>
      </w:r>
      <w:r w:rsidR="00134E87" w:rsidRPr="009867C1">
        <w:t>δ</w:t>
      </w:r>
      <w:r w:rsidR="00134E87" w:rsidRPr="00134E87">
        <w:rPr>
          <w:vertAlign w:val="superscript"/>
        </w:rPr>
        <w:t xml:space="preserve"> </w:t>
      </w:r>
      <w:r w:rsidR="00D311FD" w:rsidRPr="00134E87">
        <w:rPr>
          <w:vertAlign w:val="superscript"/>
        </w:rPr>
        <w:t>13</w:t>
      </w:r>
      <w:r w:rsidR="00D311FD">
        <w:t>C is</w:t>
      </w:r>
      <w:r w:rsidR="006B52CF">
        <w:t xml:space="preserve"> positively correlated </w:t>
      </w:r>
      <w:r w:rsidR="00D311FD">
        <w:t xml:space="preserve">with improved nitrogen accessibility in conifers </w:t>
      </w:r>
      <w:r w:rsidR="00AC0205">
        <w:fldChar w:fldCharType="begin"/>
      </w:r>
      <w:r w:rsidR="00AC0205">
        <w:instrText xml:space="preserve"> ADDIN ZOTERO_ITEM CSL_CITATION {"citationID":"kOm6Upih","properties":{"formattedCitation":"(Walia et al., 2010)","plainCitation":"(Walia et al., 2010)","noteIndex":0},"citationItems":[{"id":10788,"uris":["http://zotero.org/users/2189142/items/DGY4ACCU"],"itemData":{"id":10788,"type":"article-journal","abstract":"Western hemlock (Tsuga heterophylla [Raf.] Sarg.) is a major component of temperate rainforests in coastal British Columbia. Forest fertilization can enhance the growth of forest trees, but results are inconsistent for western hemlock. We investigated the relationship between δ13C (foliage and stemwood), growth response and tree nutritional status in this species. To establish a sampling protocol for stemwood, we first assessed spot-to-spot variation around and along the bole, which exceeded 1‰. We utilized the reaction wood (high lignin content) and adjacent normal wood in two curved western hemlock stems to evaluate whether this variation was related to wood composition. There was a consistent 3.43‰ difference between lignin and holocellulose, but the isotopic mass balance of whole wood was conserved and, therefore, did not vary with lignin content. Therefore, extraction of cellulose or holocellulose prior to analysis can introduce (not remove) bias. In a detailed study of a third stem, circumferential and longitudinal variation in δ13C was associated with spiral grain indicating limited physiological mixing of isotopic signatures originating from the crown. Wood was subsequently pooled from four cardinal positions around each stem. Eight even-aged western hemlock stands were selected and fertilized with different combinations of nitrogen (N), phosphorous (P) and a blend of S, K, Mg, Zn and Cu. Fertilization was effective in increasing foliar N, P, K and S depending on treatment. At the end of the first growing season after fertilization, the effect of treatments on foliar δ13C was nearly significant (P = 0.054), but did not persist into a second year. Effects on tree-ring δ13C were more obvious and persisted for about 3 years, averaging ~0.2–0.4‰ over this period, depending on treatment. Combinations of N, P and blend had the greatest effect, consistent with relative increases in basal area increment. Effects of fertilizer additions on δ13C, though clear, were superimposed on larger site and annual weather-related patterns in δ13C. Large tree-to-tree variation in δ13C was positively correlated with basal area increment, both before and after treatment imposition, suggesting that high water-use efficiencies are associated with greater growth.","container-title":"Tree Physiology","DOI":"10.1093/treephys/tpq020","ISSN":"0829-318X","issue":"6","journalAbbreviation":"Tree Physiology","page":"728-740","source":"Silverchair","title":"Carbon isotope discrimination in western hemlock and its relationship to mineral nutrition and growth","volume":"30","author":[{"family":"Walia","given":"Ankit"},{"family":"Guy","given":"Robert D."},{"family":"White","given":"Barry"}],"issued":{"date-parts":[["2010",6,1]]},"citation-key":"walia_2010"}}],"schema":"https://github.com/citation-style-language/schema/raw/master/csl-citation.json"} </w:instrText>
      </w:r>
      <w:r w:rsidR="00AC0205">
        <w:fldChar w:fldCharType="separate"/>
      </w:r>
      <w:r w:rsidR="00AC0205" w:rsidRPr="00AC0205">
        <w:t>(Walia et al., 2010)</w:t>
      </w:r>
      <w:r w:rsidR="00AC0205">
        <w:fldChar w:fldCharType="end"/>
      </w:r>
      <w:r w:rsidR="006B52CF">
        <w:t xml:space="preserve"> and improved water-use efficiency reduced fractionation factors during photosynthesis.</w:t>
      </w:r>
      <w:r w:rsidR="00134E87">
        <w:t xml:space="preserve"> </w:t>
      </w:r>
      <w:r w:rsidRPr="009867C1">
        <w:t>Thus</w:t>
      </w:r>
      <w:r w:rsidR="006B52CF">
        <w:t>, these</w:t>
      </w:r>
      <w:r w:rsidRPr="009867C1">
        <w:t xml:space="preserve"> finding</w:t>
      </w:r>
      <w:r w:rsidR="006B52CF">
        <w:t>s are consistent with both increased soil respiration and increased soil fertility</w:t>
      </w:r>
      <w:r w:rsidRPr="009867C1">
        <w:t>.</w:t>
      </w:r>
    </w:p>
    <w:p w14:paraId="57B2E71B" w14:textId="77777777" w:rsidR="00D80E10" w:rsidRPr="009867C1" w:rsidRDefault="00D80E10" w:rsidP="00D80E10">
      <w:pPr>
        <w:pStyle w:val="Heading4"/>
      </w:pPr>
      <w:bookmarkStart w:id="110" w:name="_Toc99385439"/>
      <w:r w:rsidRPr="009867C1">
        <w:rPr>
          <w:vertAlign w:val="superscript"/>
        </w:rPr>
        <w:t>15</w:t>
      </w:r>
      <w:r w:rsidRPr="009867C1">
        <w:t>N and sporocarp taxonomic identity:</w:t>
      </w:r>
      <w:bookmarkEnd w:id="110"/>
    </w:p>
    <w:p w14:paraId="0558E93A" w14:textId="67E98EDF" w:rsidR="00D80E10" w:rsidRPr="009867C1" w:rsidRDefault="00A53FA8" w:rsidP="00D80E10">
      <w:pPr>
        <w:ind w:firstLine="720"/>
      </w:pPr>
      <w:r>
        <w:t>The</w:t>
      </w:r>
      <w:r w:rsidR="00D80E10" w:rsidRPr="009867C1">
        <w:t xml:space="preserve"> sixth and final hypothesis was that variation in fungal δ</w:t>
      </w:r>
      <w:r w:rsidR="00D80E10" w:rsidRPr="009867C1">
        <w:rPr>
          <w:vertAlign w:val="superscript"/>
        </w:rPr>
        <w:t>15</w:t>
      </w:r>
      <w:r w:rsidR="00D80E10" w:rsidRPr="009867C1">
        <w:t xml:space="preserve">N would be accounted for by fungal phylogenetic and functional characters. </w:t>
      </w:r>
      <w:r>
        <w:t>I</w:t>
      </w:r>
      <w:r w:rsidR="00D80E10" w:rsidRPr="009867C1">
        <w:t xml:space="preserve"> found high variation in fungal </w:t>
      </w:r>
      <w:r w:rsidR="00D80E10" w:rsidRPr="009867C1">
        <w:rPr>
          <w:vertAlign w:val="superscript"/>
        </w:rPr>
        <w:t>15</w:t>
      </w:r>
      <w:r w:rsidR="00D80E10" w:rsidRPr="009867C1">
        <w:t>N, ranging from -16 to 20‰ (</w:t>
      </w:r>
      <w:r w:rsidR="00D80E10" w:rsidRPr="009867C1">
        <w:fldChar w:fldCharType="begin"/>
      </w:r>
      <w:r w:rsidR="00D80E10" w:rsidRPr="009867C1">
        <w:instrText xml:space="preserve"> REF _Ref49957934 \h </w:instrText>
      </w:r>
      <w:r w:rsidR="009867C1">
        <w:instrText xml:space="preserve"> \* MERGEFORMAT </w:instrText>
      </w:r>
      <w:r w:rsidR="00D80E10" w:rsidRPr="009867C1">
        <w:fldChar w:fldCharType="separate"/>
      </w:r>
      <w:r w:rsidR="000667DB" w:rsidRPr="009867C1">
        <w:t xml:space="preserve">Figure </w:t>
      </w:r>
      <w:r w:rsidR="000667DB">
        <w:rPr>
          <w:noProof/>
        </w:rPr>
        <w:t>3</w:t>
      </w:r>
      <w:r w:rsidR="000667DB">
        <w:rPr>
          <w:noProof/>
        </w:rPr>
        <w:noBreakHyphen/>
        <w:t>8</w:t>
      </w:r>
      <w:r w:rsidR="00D80E10" w:rsidRPr="009867C1">
        <w:fldChar w:fldCharType="end"/>
      </w:r>
      <w:r w:rsidR="00D80E10" w:rsidRPr="009867C1">
        <w:t>). This represents very low and very high δ</w:t>
      </w:r>
      <w:r w:rsidR="00D80E10" w:rsidRPr="009867C1">
        <w:rPr>
          <w:vertAlign w:val="superscript"/>
        </w:rPr>
        <w:t>15</w:t>
      </w:r>
      <w:r w:rsidR="00D80E10" w:rsidRPr="009867C1">
        <w:t xml:space="preserve">N values relative to other studies, which range from +4‰ to +21‰, with typical values around 7‰ </w:t>
      </w:r>
      <w:r w:rsidR="00D80E10" w:rsidRPr="009867C1">
        <w:fldChar w:fldCharType="begin"/>
      </w:r>
      <w:r w:rsidR="00AC0205">
        <w:instrText xml:space="preserve"> ADDIN ZOTERO_ITEM CSL_CITATION {"citationID":"E9mOMdM0","properties":{"formattedCitation":"(Mayor et al., 2009)","plainCitation":"(Mayor et al., 2009)","noteIndex":0},"citationItems":[{"id":854,"uris":["http://zotero.org/users/2189142/items/MSGRD9ZB"],"itemData":{"id":854,"type":"article-journal","container-title":"Ecology letters","issue":"2","page":"171–183","source":"Google Scholar","title":"Elucidating the nutritional dynamics of fungi using stable isotopes","volume":"12","author":[{"family":"Mayor","given":"Jordan R."},{"family":"Schuur","given":"Edward AG"},{"family":"Henkel","given":"Terry W."}],"issued":{"date-parts":[["2009"]]},"citation-key":"mayor_2009"}}],"schema":"https://github.com/citation-style-language/schema/raw/master/csl-citation.json"} </w:instrText>
      </w:r>
      <w:r w:rsidR="00D80E10" w:rsidRPr="009867C1">
        <w:fldChar w:fldCharType="separate"/>
      </w:r>
      <w:r w:rsidR="0042141C" w:rsidRPr="009867C1">
        <w:t>(Mayor et al., 2009)</w:t>
      </w:r>
      <w:r w:rsidR="00D80E10" w:rsidRPr="009867C1">
        <w:fldChar w:fldCharType="end"/>
      </w:r>
      <w:r w:rsidR="00D80E10" w:rsidRPr="009867C1">
        <w:t xml:space="preserve">. </w:t>
      </w:r>
      <w:r>
        <w:t>I</w:t>
      </w:r>
      <w:r w:rsidR="00D80E10" w:rsidRPr="009867C1">
        <w:t xml:space="preserve"> could not account for the very low mushroom δ</w:t>
      </w:r>
      <w:r w:rsidR="00D80E10" w:rsidRPr="009867C1">
        <w:rPr>
          <w:vertAlign w:val="superscript"/>
        </w:rPr>
        <w:t>15</w:t>
      </w:r>
      <w:r w:rsidR="00D80E10" w:rsidRPr="009867C1">
        <w:t xml:space="preserve">N values with any of the covariates </w:t>
      </w:r>
      <w:r>
        <w:t>that were</w:t>
      </w:r>
      <w:r w:rsidR="00D80E10" w:rsidRPr="009867C1">
        <w:t xml:space="preserve"> investigated. Despite this variance, fungal genus was a significant predictor of sporocarp δ</w:t>
      </w:r>
      <w:r w:rsidR="00D80E10" w:rsidRPr="009867C1">
        <w:rPr>
          <w:vertAlign w:val="superscript"/>
        </w:rPr>
        <w:t>15</w:t>
      </w:r>
      <w:r w:rsidR="00D80E10" w:rsidRPr="009867C1">
        <w:t>N for several fungal genera, with pronounced differences between taxa (</w:t>
      </w:r>
      <w:r w:rsidR="00D80E10" w:rsidRPr="009867C1">
        <w:fldChar w:fldCharType="begin"/>
      </w:r>
      <w:r w:rsidR="00D80E10" w:rsidRPr="009867C1">
        <w:instrText xml:space="preserve"> REF _Ref49956008 \h </w:instrText>
      </w:r>
      <w:r w:rsidR="009867C1">
        <w:instrText xml:space="preserve"> \* MERGEFORMAT </w:instrText>
      </w:r>
      <w:r w:rsidR="00D80E10" w:rsidRPr="009867C1">
        <w:fldChar w:fldCharType="separate"/>
      </w:r>
      <w:r w:rsidR="000667DB" w:rsidRPr="009867C1">
        <w:t xml:space="preserve">Figure </w:t>
      </w:r>
      <w:r w:rsidR="000667DB">
        <w:rPr>
          <w:noProof/>
        </w:rPr>
        <w:t>3</w:t>
      </w:r>
      <w:r w:rsidR="000667DB">
        <w:rPr>
          <w:noProof/>
        </w:rPr>
        <w:noBreakHyphen/>
        <w:t>3</w:t>
      </w:r>
      <w:r w:rsidR="00D80E10" w:rsidRPr="009867C1">
        <w:fldChar w:fldCharType="end"/>
      </w:r>
      <w:r w:rsidR="00D80E10" w:rsidRPr="009867C1">
        <w:t>). Despite large standard errors due to small sample size in some genera, the elevated δ</w:t>
      </w:r>
      <w:r w:rsidR="00D80E10" w:rsidRPr="009867C1">
        <w:rPr>
          <w:vertAlign w:val="superscript"/>
        </w:rPr>
        <w:t>15</w:t>
      </w:r>
      <w:r w:rsidR="00D80E10" w:rsidRPr="009867C1">
        <w:t xml:space="preserve">N of </w:t>
      </w:r>
      <w:r w:rsidR="00D80E10" w:rsidRPr="009867C1">
        <w:rPr>
          <w:i/>
        </w:rPr>
        <w:t>Hebeloma</w:t>
      </w:r>
      <w:r w:rsidR="00D80E10" w:rsidRPr="009867C1">
        <w:t xml:space="preserve"> and </w:t>
      </w:r>
      <w:r w:rsidR="00D80E10" w:rsidRPr="009867C1">
        <w:rPr>
          <w:i/>
        </w:rPr>
        <w:t>Laccaria</w:t>
      </w:r>
      <w:r w:rsidR="00D80E10" w:rsidRPr="009867C1">
        <w:t xml:space="preserve"> are expected given their activity as nitrophiles </w:t>
      </w:r>
      <w:r w:rsidR="00D80E10" w:rsidRPr="009867C1">
        <w:fldChar w:fldCharType="begin"/>
      </w:r>
      <w:r w:rsidR="00AC0205">
        <w:instrText xml:space="preserve"> ADDIN ZOTERO_ITEM CSL_CITATION {"citationID":"RJTBlayy","properties":{"formattedCitation":"(Sagara, 1995)","plainCitation":"(Sagara, 1995)","noteIndex":0},"citationItems":[{"id":1482,"uris":["http://zotero.org/users/2189142/items/VSDJMJQ6"],"itemData":{"id":1482,"type":"article-journal","abstract":"A new tripartite relationship among animals, fungi, and plants, based on formation of ectomycorrhiza and on removal of animal wastes, is described. In forest habitats where animal wastes such as urine or faeces or dead bodies, mainly of mammals, have been deposited, a particular group of fungi form reproductive structures successionally after the apparent decomposition of the wastes. This natural event can be simulated by application to the soil of urea, aqueous ammonia, or nitrogen compounds that release ammonia on decomposition. Both field observations and simulation experiments show that, when these events take place in forests of ectomycorrhizal trees, ectomycorrhizal fungi fruit during the late phase in the succession. Ectomycorrhizas are in fact observed in the soils colonized by these fungi. Among these fungi, Hebeloma spp., Laccaria spp., and a few others colonize commonly in various waste sites, while Hebeloma radicosum colonizes specifically in moles’ deserted middens (latrines) near their nests..., L'auteur décrit une nouvelle association tripartite entire animaux, champignons et plantes, basée sur la formation d'ectomycorhizes et l'élimination des déchets animaux. Dans des habitats forestiers où ont été déposés des déchets animaux tels que de l'urine, des fèces ou des corps morts, surtout de mammifères, un groupe particulier de champignons ont formé des structures de reproduction en succession après la décomposition apparente des déchets. Cet évènement naturel peut être simulé par l'application au sol d'urée, d'ammoniaque liquide ou de composés azotés relâchant de l'ammoniac en se décomposant. Des observations aux champs ainsi que des expériences de simulation montrent que, lorsque ces évènements ont lieu en forêt sur des arbres ectomycorhiziens, les champignons ectomycorhiziens fructifient au cours de la dernière phase de la succession. On observe des ectomycorhizes dans les sols colonisés par ces champignons. Parmi ces champignons, les Hebeloma spp., Laccaria spp., et quelques autres se retrouven...","container-title":"Canadian Journal of Botany","DOI":"10.1139/b95-406","ISSN":"0008-4026","issue":"S1","journalAbbreviation":"Can. J. Bot.","page":"1423-1433","source":"NRC Research Press","title":"Association of ectomycorrhizal fungi with decomposed animal wastes in forest habitats: a cleaning symbiosis?","title-short":"Association of ectomycorrhizal fungi with decomposed animal wastes in forest habitats","volume":"73","author":[{"family":"Sagara","given":"Naohiko"}],"issued":{"date-parts":[["1995",12,31]]},"citation-key":"sagara_1995"}}],"schema":"https://github.com/citation-style-language/schema/raw/master/csl-citation.json"} </w:instrText>
      </w:r>
      <w:r w:rsidR="00D80E10" w:rsidRPr="009867C1">
        <w:fldChar w:fldCharType="separate"/>
      </w:r>
      <w:r w:rsidR="0042141C" w:rsidRPr="009867C1">
        <w:t>(Sagara, 1995)</w:t>
      </w:r>
      <w:r w:rsidR="00D80E10" w:rsidRPr="009867C1">
        <w:fldChar w:fldCharType="end"/>
      </w:r>
      <w:r w:rsidR="00D80E10" w:rsidRPr="009867C1">
        <w:t xml:space="preserve">. </w:t>
      </w:r>
    </w:p>
    <w:p w14:paraId="3EF8178F" w14:textId="77777777" w:rsidR="00D80E10" w:rsidRPr="009867C1" w:rsidRDefault="00D80E10" w:rsidP="00D80E10"/>
    <w:p w14:paraId="4EAC9959" w14:textId="77777777" w:rsidR="00D80E10" w:rsidRPr="009867C1" w:rsidRDefault="00D80E10" w:rsidP="00D80E10">
      <w:pPr>
        <w:pStyle w:val="Heading3"/>
        <w:rPr>
          <w:lang w:val="en-CA"/>
        </w:rPr>
      </w:pPr>
      <w:bookmarkStart w:id="111" w:name="_Toc99385440"/>
      <w:r w:rsidRPr="009867C1">
        <w:rPr>
          <w:lang w:val="en-CA"/>
        </w:rPr>
        <w:t>Conclusion</w:t>
      </w:r>
      <w:bookmarkEnd w:id="111"/>
    </w:p>
    <w:p w14:paraId="4E83C159" w14:textId="57D77F98" w:rsidR="00D80E10" w:rsidRPr="009867C1" w:rsidRDefault="00D80E10" w:rsidP="00D80E10">
      <w:pPr>
        <w:ind w:firstLine="720"/>
      </w:pPr>
      <w:r w:rsidRPr="009867C1">
        <w:t>This study made use of a natural gradient of salmon density to examine effects on isotope and nutrient concentrations of soil, fungi, and litter, and was complemented by earlier measurements of vegetation. It was conducted in mid-October, which coincided with the coming of the fall rains, the salmon run, and fungal fruiting. The correlation of the MDN gradient and increased δ</w:t>
      </w:r>
      <w:r w:rsidRPr="009867C1">
        <w:rPr>
          <w:vertAlign w:val="superscript"/>
        </w:rPr>
        <w:t>15</w:t>
      </w:r>
      <w:r w:rsidRPr="009867C1">
        <w:t>N in all compartments, as well as decreasing soil %C demonstrate evidence of MDN subsidy and is consistent with an upregulation of soil metabolism. The lack of an effect on %N however differs from previous results in similar systems, but the finding here is difficult to interpret despite attempts to control for shifting vegetation and fungal communities along the natural MDN gradient. We found no evidence of δ</w:t>
      </w:r>
      <w:r w:rsidRPr="009867C1">
        <w:rPr>
          <w:vertAlign w:val="superscript"/>
        </w:rPr>
        <w:t>15</w:t>
      </w:r>
      <w:r w:rsidRPr="009867C1">
        <w:t>N divergence between aboveground and belowground compartments along the MDN gradient, which is consistent with an interpretation of no changes in mycorrhizal transfer rates in response to salmon inputs. This was supported by δ</w:t>
      </w:r>
      <w:r w:rsidRPr="009867C1">
        <w:rPr>
          <w:vertAlign w:val="superscript"/>
        </w:rPr>
        <w:t>13</w:t>
      </w:r>
      <w:r w:rsidRPr="009867C1">
        <w:t xml:space="preserve">C values of sporocarps and vegetation, which co-varied across the MDN gradient and </w:t>
      </w:r>
      <w:r w:rsidR="008B172D">
        <w:t>were consistent with increased soil fertility</w:t>
      </w:r>
      <w:r w:rsidRPr="009867C1">
        <w:t xml:space="preserve">. </w:t>
      </w:r>
      <w:r w:rsidR="008B172D">
        <w:t>I was</w:t>
      </w:r>
      <w:r w:rsidRPr="009867C1">
        <w:t xml:space="preserve"> unable to distinguish if this is because MDN subsidies are irrelevant to mycorrhizal transfer dynamics at these sites or if mycorrhizal transfer rates increase due to resource patchiness in such a way as to stabilize expected declines in response to nitrogen fertilization. </w:t>
      </w:r>
      <w:r w:rsidR="008B172D">
        <w:t>The</w:t>
      </w:r>
      <w:r w:rsidRPr="009867C1">
        <w:t xml:space="preserve"> expectations of increased δ</w:t>
      </w:r>
      <w:r w:rsidRPr="009867C1">
        <w:rPr>
          <w:vertAlign w:val="superscript"/>
        </w:rPr>
        <w:t>15</w:t>
      </w:r>
      <w:r w:rsidRPr="009867C1">
        <w:t xml:space="preserve">N in known aminophilic and nitrophyllic fungi were confirmed however, showing that these fungi preferentially took up MDN. </w:t>
      </w:r>
      <w:r w:rsidR="008B172D">
        <w:t>The</w:t>
      </w:r>
      <w:r w:rsidRPr="009867C1">
        <w:t xml:space="preserve"> questions raised here regarding C and N cycling could be clarified via experiment or via better, and better parameterized, nutrient budget models of these sites. </w:t>
      </w:r>
    </w:p>
    <w:p w14:paraId="2F9D6141" w14:textId="3F36FCFA" w:rsidR="00D80E10" w:rsidRPr="009867C1" w:rsidRDefault="00D80E10" w:rsidP="00D80E10">
      <w:pPr>
        <w:ind w:firstLine="720"/>
      </w:pPr>
      <w:r w:rsidRPr="009867C1">
        <w:t>Interpretation of δ</w:t>
      </w:r>
      <w:r w:rsidRPr="009867C1">
        <w:rPr>
          <w:vertAlign w:val="superscript"/>
        </w:rPr>
        <w:t>15</w:t>
      </w:r>
      <w:r w:rsidRPr="009867C1">
        <w:t xml:space="preserve">N stocks in this system is challenging, as stocks are affected by at least three factors: 1. enrichment from MDN; 2. fractionation effects from uptake, including transfer from mycorrhizal fungi, and 3. enrichment from volatilization processes. </w:t>
      </w:r>
      <w:r w:rsidR="008B172D">
        <w:t>I</w:t>
      </w:r>
      <w:r w:rsidRPr="009867C1">
        <w:t xml:space="preserve"> believe volatilization to be low in these sites, and have shown evidence that there is no change in fractionation</w:t>
      </w:r>
      <w:r w:rsidR="005D3764">
        <w:t xml:space="preserve"> due to mycorrhizal transfer rates</w:t>
      </w:r>
      <w:r w:rsidRPr="009867C1">
        <w:t xml:space="preserve">. Therefore </w:t>
      </w:r>
      <w:r w:rsidR="00F632CE">
        <w:t>I</w:t>
      </w:r>
      <w:r w:rsidRPr="009867C1">
        <w:t xml:space="preserve"> believe that most parsimonious explanation for elevated δ</w:t>
      </w:r>
      <w:r w:rsidRPr="009867C1">
        <w:rPr>
          <w:vertAlign w:val="superscript"/>
        </w:rPr>
        <w:t>15</w:t>
      </w:r>
      <w:r w:rsidRPr="009867C1">
        <w:t>N stocks at these sites are from MDN inputs.</w:t>
      </w:r>
    </w:p>
    <w:p w14:paraId="3BF396FF" w14:textId="0209C54B" w:rsidR="000F1954" w:rsidRPr="009867C1" w:rsidRDefault="00D80E10" w:rsidP="000F1954">
      <w:pPr>
        <w:ind w:firstLine="720"/>
      </w:pPr>
      <w:r w:rsidRPr="009867C1">
        <w:t xml:space="preserve">This study is the first to integrate mycorrhizal sporocarp, soil, litter and vegetation isotope data in salmon forests, and </w:t>
      </w:r>
      <w:r w:rsidR="00F632CE">
        <w:t xml:space="preserve">I </w:t>
      </w:r>
      <w:r w:rsidRPr="009867C1">
        <w:t xml:space="preserve">explicitly considered fungal phylogenetic identity and functional traits. </w:t>
      </w:r>
      <w:r w:rsidR="00F632CE">
        <w:t>It</w:t>
      </w:r>
      <w:r w:rsidRPr="009867C1">
        <w:t xml:space="preserve"> underline</w:t>
      </w:r>
      <w:r w:rsidR="00F632CE">
        <w:t>s</w:t>
      </w:r>
      <w:r w:rsidRPr="009867C1">
        <w:t xml:space="preserve"> the importance of soil type </w:t>
      </w:r>
      <w:r w:rsidRPr="009867C1">
        <w:fldChar w:fldCharType="begin"/>
      </w:r>
      <w:r w:rsidR="00AC0205">
        <w:instrText xml:space="preserve"> ADDIN ZOTERO_ITEM CSL_CITATION {"citationID":"ndJeoE1v","properties":{"formattedCitation":"(D\\uc0\\u8217{}Amore et al., 2020)","plainCitation":"(D’Amore et al., 2020)","noteIndex":0},"citationItems":[{"id":2083,"uris":["http://zotero.org/users/2189142/items/UL2T3I39"],"itemData":{"id":2083,"type":"article-journal","container-title":"Soil Science Society of America Journal","issue":"3","note":"publisher: Wiley Online Library","page":"877–887","source":"Google Scholar","title":"The nutrient legacy left by salmon tissue on riparian soils in Southeast Alaska","volume":"84","author":[{"family":"D'Amore","given":"David V."},{"family":"Chaloner","given":"Dominic T."},{"family":"Gerig","given":"Brandon S."},{"family":"Berkowitz","given":"Jacob F."},{"family":"Bridgham","given":"Scott D."}],"issued":{"date-parts":[["2020"]]},"citation-key":"damore_2020"}}],"schema":"https://github.com/citation-style-language/schema/raw/master/csl-citation.json"} </w:instrText>
      </w:r>
      <w:r w:rsidRPr="009867C1">
        <w:fldChar w:fldCharType="separate"/>
      </w:r>
      <w:r w:rsidR="0042141C" w:rsidRPr="009867C1">
        <w:t>(D’Amore et al., 2020)</w:t>
      </w:r>
      <w:r w:rsidRPr="009867C1">
        <w:fldChar w:fldCharType="end"/>
      </w:r>
      <w:r w:rsidRPr="009867C1">
        <w:t xml:space="preserve"> and belowground dynamics in forest nitrogen cycling. In many respects, the folisols at these sites may be uniquely suited to retaining N inputs, potentially explaining the high productivity at these sites </w:t>
      </w:r>
      <w:r w:rsidRPr="009867C1">
        <w:fldChar w:fldCharType="begin"/>
      </w:r>
      <w:r w:rsidR="00AC0205">
        <w:instrText xml:space="preserve"> ADDIN ZOTERO_ITEM CSL_CITATION {"citationID":"P6kLfVzq","properties":{"formattedCitation":"(Oliver et al., 2017)","plainCitation":"(Oliver et al., 2017)","noteIndex":0},"citationItems":[{"id":1696,"uris":["http://zotero.org/users/2189142/items/K3YQ6QXN"],"itemData":{"id":1696,"type":"article-journal","abstract":"&lt;p&gt;&lt;strong&gt;Abstract.&lt;/strong&gt; The perhumid region of the coastal temperate rainforest (CTR) of Pacific North America is one of the wettest places on Earth and contains numerous small catchments that discharge freshwater and high concentrations of dissolved organic carbon (DOC) directly to the coastal ocean. However, empirical data on the flux and composition of DOC exported from these watersheds are scarce. We established monitoring stations at the outlets of seven catchments on Calvert and Hecate islands, British Columbia, which represent the rain-dominated hypermaritime region of the perhumid CTR. Over several years, we measured stream discharge, stream water DOC concentration, and stream water dissolved organic-matter (DOM) composition. Discharge and DOC concentrations were used to calculate DOC fluxes and yields, and DOM composition was characterized using absorbance and fluorescence spectroscopy with parallel factor analysis (PARAFAC). The areal estimate of annual DOC yield in water year 2015 was 33.3 Mg C km&lt;sup&gt;−2&lt;/sup&gt; yr&lt;sup&gt;−1&lt;/sup&gt;, with individual watersheds ranging from an average of 24.1 to 37.7 Mg C km&lt;sup&gt;−2&lt;/sup&gt; yr&lt;sup&gt;−1&lt;/sup&gt;. This represents some of the highest DOC yields to be measured at the coastal margin. We observed seasonality in the quantity and composition of exports, with the majority of DOC export occurring during the extended wet period (September–April). Stream flow from catchments reacted quickly to rain inputs, resulting in rapid export of relatively fresh, highly terrestrial-like DOM. DOC concentration and measures of DOM composition were related to stream discharge and stream temperature and correlated with watershed attributes, including the extent of lakes and wetlands, and the thickness of organic and mineral soil horizons. Our discovery of high DOC yields from these small catchments in the CTR is especially compelling as they deliver relatively fresh, highly terrestrial organic matter directly to the coastal ocean. Hypermaritime landscapes are common on the British Columbia coast, suggesting that this coastal margin may play an important role in the regional processing of carbon and in linking terrestrial carbon to marine ecosystems.&lt;/p&gt;","container-title":"Biogeosciences","DOI":"https://doi.org/10.5194/bg-14-3743-2017","ISSN":"1726-4170","issue":"15","language":"English","page":"3743-3762","source":"www.biogeosciences.net","title":"A global hotspot for dissolved organic carbon in hypermaritime watersheds of coastal British Columbia","volume":"14","author":[{"family":"Oliver","given":"Allison A."},{"family":"Tank","given":"Suzanne E."},{"family":"Giesbrecht","given":"Ian"},{"family":"Korver","given":"Maartje C."},{"family":"Floyd","given":"William C."},{"family":"Sanborn","given":"Paul"},{"family":"Bulmer","given":"Chuck"},{"family":"Lertzman","given":"Ken P."}],"issued":{"date-parts":[["2017",8,15]]},"citation-key":"oliver_2017"}}],"schema":"https://github.com/citation-style-language/schema/raw/master/csl-citation.json"} </w:instrText>
      </w:r>
      <w:r w:rsidRPr="009867C1">
        <w:fldChar w:fldCharType="separate"/>
      </w:r>
      <w:r w:rsidR="0042141C" w:rsidRPr="009867C1">
        <w:t>(Oliver et al., 2017)</w:t>
      </w:r>
      <w:r w:rsidRPr="009867C1">
        <w:fldChar w:fldCharType="end"/>
      </w:r>
      <w:r w:rsidRPr="009867C1">
        <w:t xml:space="preserve">. Ammonification and denitrification are likely low, and DNRA potentially high, however it remains possible that conditions are different in carcass hotspots. In total this supports previous findings of long-term </w:t>
      </w:r>
      <w:r w:rsidRPr="009867C1">
        <w:rPr>
          <w:vertAlign w:val="superscript"/>
        </w:rPr>
        <w:t>15</w:t>
      </w:r>
      <w:r w:rsidRPr="009867C1">
        <w:t>N enrichment in response to salmon inputs, and finds that these inputs are well distributed through the soil – fungi – plant syste</w:t>
      </w:r>
      <w:r w:rsidR="000F1954" w:rsidRPr="009867C1">
        <w:t xml:space="preserve">m. </w:t>
      </w:r>
    </w:p>
    <w:p w14:paraId="2286E190" w14:textId="77777777" w:rsidR="006D5504" w:rsidRPr="009867C1" w:rsidRDefault="006D5504" w:rsidP="000F1954">
      <w:pPr>
        <w:ind w:firstLine="720"/>
        <w:sectPr w:rsidR="006D5504" w:rsidRPr="009867C1">
          <w:pgSz w:w="12240" w:h="15840"/>
          <w:pgMar w:top="1440" w:right="1440" w:bottom="1440" w:left="1440" w:header="708" w:footer="708" w:gutter="0"/>
          <w:cols w:space="708"/>
          <w:docGrid w:linePitch="360"/>
        </w:sectPr>
      </w:pPr>
    </w:p>
    <w:p w14:paraId="64133B18" w14:textId="26BB2019" w:rsidR="000F1954" w:rsidRPr="009867C1" w:rsidRDefault="000F1954" w:rsidP="000F1954">
      <w:pPr>
        <w:pStyle w:val="Heading3"/>
      </w:pPr>
      <w:bookmarkStart w:id="112" w:name="_Toc99385441"/>
      <w:r w:rsidRPr="009867C1">
        <w:t>Tables and Figures</w:t>
      </w:r>
      <w:bookmarkEnd w:id="112"/>
    </w:p>
    <w:p w14:paraId="7E2CF2B0" w14:textId="75355BB1" w:rsidR="006D5504" w:rsidRPr="009867C1" w:rsidRDefault="00335EBA" w:rsidP="006D5504">
      <w:pPr>
        <w:keepNext/>
      </w:pPr>
      <w:r>
        <w:rPr>
          <w:noProof/>
        </w:rPr>
        <mc:AlternateContent>
          <mc:Choice Requires="wps">
            <w:drawing>
              <wp:anchor distT="45720" distB="45720" distL="114300" distR="114300" simplePos="0" relativeHeight="251683840" behindDoc="0" locked="0" layoutInCell="1" allowOverlap="1" wp14:anchorId="1B0B97D4" wp14:editId="52E849E2">
                <wp:simplePos x="0" y="0"/>
                <wp:positionH relativeFrom="column">
                  <wp:posOffset>3640265</wp:posOffset>
                </wp:positionH>
                <wp:positionV relativeFrom="paragraph">
                  <wp:posOffset>2080555</wp:posOffset>
                </wp:positionV>
                <wp:extent cx="390028" cy="1404620"/>
                <wp:effectExtent l="0" t="0" r="10160" b="17780"/>
                <wp:wrapNone/>
                <wp:docPr id="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028" cy="1404620"/>
                        </a:xfrm>
                        <a:prstGeom prst="rect">
                          <a:avLst/>
                        </a:prstGeom>
                        <a:noFill/>
                        <a:ln w="9525">
                          <a:solidFill>
                            <a:schemeClr val="bg1"/>
                          </a:solidFill>
                          <a:miter lim="800000"/>
                          <a:headEnd/>
                          <a:tailEnd/>
                        </a:ln>
                      </wps:spPr>
                      <wps:txbx>
                        <w:txbxContent>
                          <w:p w14:paraId="0B14212B" w14:textId="34673C7E" w:rsidR="00335EBA" w:rsidRPr="00335EBA" w:rsidRDefault="00335EBA" w:rsidP="00335EBA">
                            <w:pPr>
                              <w:rPr>
                                <w:sz w:val="18"/>
                                <w:szCs w:val="18"/>
                              </w:rPr>
                            </w:pPr>
                            <w:r w:rsidRPr="00335EBA">
                              <w:rPr>
                                <w:sz w:val="18"/>
                                <w:szCs w:val="18"/>
                              </w:rPr>
                              <w:t>i</w:t>
                            </w:r>
                            <w:r>
                              <w:rPr>
                                <w:sz w:val="18"/>
                                <w:szCs w:val="18"/>
                              </w:rPr>
                              <w:t>i</w:t>
                            </w:r>
                            <w:r w:rsidRPr="00335EBA">
                              <w:rPr>
                                <w:sz w:val="18"/>
                                <w:szCs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0B97D4" id="_x0000_s1027" type="#_x0000_t202" style="position:absolute;margin-left:286.65pt;margin-top:163.8pt;width:30.7pt;height:110.6pt;z-index:2516838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" filled="f" strokecolor="white [3212]">
                <v:textbox style="mso-fit-shape-to-text:t">
                  <w:txbxContent>
                    <w:p w14:paraId="0B14212B" w14:textId="34673C7E" w:rsidR="00335EBA" w:rsidRPr="00335EBA" w:rsidRDefault="00335EBA" w:rsidP="00335EBA">
                      <w:pPr>
                        <w:rPr>
                          <w:sz w:val="18"/>
                          <w:szCs w:val="18"/>
                        </w:rPr>
                      </w:pPr>
                      <w:r w:rsidRPr="00335EBA">
                        <w:rPr>
                          <w:sz w:val="18"/>
                          <w:szCs w:val="18"/>
                        </w:rPr>
                        <w:t>i</w:t>
                      </w:r>
                      <w:r>
                        <w:rPr>
                          <w:sz w:val="18"/>
                          <w:szCs w:val="18"/>
                        </w:rPr>
                        <w:t>i</w:t>
                      </w:r>
                      <w:r w:rsidRPr="00335EBA">
                        <w:rPr>
                          <w:sz w:val="18"/>
                          <w:szCs w:val="18"/>
                        </w:rPr>
                        <w:t>.</w:t>
                      </w:r>
                    </w:p>
                  </w:txbxContent>
                </v:textbox>
              </v:shape>
            </w:pict>
          </mc:Fallback>
        </mc:AlternateContent>
      </w:r>
      <w:r>
        <w:rPr>
          <w:noProof/>
        </w:rPr>
        <mc:AlternateContent>
          <mc:Choice Requires="wps">
            <w:drawing>
              <wp:anchor distT="45720" distB="45720" distL="114300" distR="114300" simplePos="0" relativeHeight="251681792" behindDoc="0" locked="0" layoutInCell="1" allowOverlap="1" wp14:anchorId="60C972E7" wp14:editId="78C20836">
                <wp:simplePos x="0" y="0"/>
                <wp:positionH relativeFrom="column">
                  <wp:posOffset>3656565</wp:posOffset>
                </wp:positionH>
                <wp:positionV relativeFrom="paragraph">
                  <wp:posOffset>732522</wp:posOffset>
                </wp:positionV>
                <wp:extent cx="390028" cy="1404620"/>
                <wp:effectExtent l="0" t="0" r="10160" b="17780"/>
                <wp:wrapNone/>
                <wp:docPr id="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028" cy="1404620"/>
                        </a:xfrm>
                        <a:prstGeom prst="rect">
                          <a:avLst/>
                        </a:prstGeom>
                        <a:noFill/>
                        <a:ln w="9525">
                          <a:solidFill>
                            <a:schemeClr val="bg1"/>
                          </a:solidFill>
                          <a:miter lim="800000"/>
                          <a:headEnd/>
                          <a:tailEnd/>
                        </a:ln>
                      </wps:spPr>
                      <wps:txbx>
                        <w:txbxContent>
                          <w:p w14:paraId="207AD91B" w14:textId="6937BA19" w:rsidR="00335EBA" w:rsidRPr="00335EBA" w:rsidRDefault="00335EBA" w:rsidP="00335EBA">
                            <w:pPr>
                              <w:rPr>
                                <w:sz w:val="18"/>
                                <w:szCs w:val="18"/>
                              </w:rPr>
                            </w:pPr>
                            <w:r w:rsidRPr="00335EBA">
                              <w:rPr>
                                <w:sz w:val="18"/>
                                <w:szCs w:val="18"/>
                              </w:rPr>
                              <w:t>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C972E7" id="_x0000_s1028" type="#_x0000_t202" style="position:absolute;margin-left:287.9pt;margin-top:57.7pt;width:30.7pt;height:110.6pt;z-index:2516817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" filled="f" strokecolor="white [3212]">
                <v:textbox style="mso-fit-shape-to-text:t">
                  <w:txbxContent>
                    <w:p w14:paraId="207AD91B" w14:textId="6937BA19" w:rsidR="00335EBA" w:rsidRPr="00335EBA" w:rsidRDefault="00335EBA" w:rsidP="00335EBA">
                      <w:pPr>
                        <w:rPr>
                          <w:sz w:val="18"/>
                          <w:szCs w:val="18"/>
                        </w:rPr>
                      </w:pPr>
                      <w:r w:rsidRPr="00335EBA">
                        <w:rPr>
                          <w:sz w:val="18"/>
                          <w:szCs w:val="18"/>
                        </w:rPr>
                        <w:t>i.</w:t>
                      </w:r>
                    </w:p>
                  </w:txbxContent>
                </v:textbox>
              </v:shape>
            </w:pict>
          </mc:Fallback>
        </mc:AlternateContent>
      </w:r>
      <w:r>
        <w:rPr>
          <w:noProof/>
        </w:rPr>
        <mc:AlternateContent>
          <mc:Choice Requires="wps">
            <w:drawing>
              <wp:anchor distT="45720" distB="45720" distL="114300" distR="114300" simplePos="0" relativeHeight="251679744" behindDoc="0" locked="0" layoutInCell="1" allowOverlap="1" wp14:anchorId="5862A617" wp14:editId="7BAFBDD9">
                <wp:simplePos x="0" y="0"/>
                <wp:positionH relativeFrom="column">
                  <wp:posOffset>3661753</wp:posOffset>
                </wp:positionH>
                <wp:positionV relativeFrom="paragraph">
                  <wp:posOffset>186690</wp:posOffset>
                </wp:positionV>
                <wp:extent cx="390028" cy="1404620"/>
                <wp:effectExtent l="0" t="0" r="10160" b="25400"/>
                <wp:wrapNone/>
                <wp:docPr id="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028" cy="1404620"/>
                        </a:xfrm>
                        <a:prstGeom prst="rect">
                          <a:avLst/>
                        </a:prstGeom>
                        <a:solidFill>
                          <a:srgbClr val="FFFFFF"/>
                        </a:solidFill>
                        <a:ln w="9525">
                          <a:solidFill>
                            <a:schemeClr val="bg1"/>
                          </a:solidFill>
                          <a:miter lim="800000"/>
                          <a:headEnd/>
                          <a:tailEnd/>
                        </a:ln>
                      </wps:spPr>
                      <wps:txbx>
                        <w:txbxContent>
                          <w:p w14:paraId="75015DF0" w14:textId="13CCB176" w:rsidR="00335EBA" w:rsidRDefault="00335EBA" w:rsidP="00335EBA">
                            <w: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62A617" id="_x0000_s1029" type="#_x0000_t202" style="position:absolute;margin-left:288.35pt;margin-top:14.7pt;width:30.7pt;height:110.6pt;z-index:2516797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" strokecolor="white [3212]">
                <v:textbox style="mso-fit-shape-to-text:t">
                  <w:txbxContent>
                    <w:p w14:paraId="75015DF0" w14:textId="13CCB176" w:rsidR="00335EBA" w:rsidRDefault="00335EBA" w:rsidP="00335EBA">
                      <w:r>
                        <w:t>B</w:t>
                      </w:r>
                    </w:p>
                  </w:txbxContent>
                </v:textbox>
              </v:shape>
            </w:pict>
          </mc:Fallback>
        </mc:AlternateContent>
      </w:r>
      <w:r>
        <w:rPr>
          <w:noProof/>
        </w:rPr>
        <mc:AlternateContent>
          <mc:Choice Requires="wps">
            <w:drawing>
              <wp:anchor distT="45720" distB="45720" distL="114300" distR="114300" simplePos="0" relativeHeight="251677696" behindDoc="0" locked="0" layoutInCell="1" allowOverlap="1" wp14:anchorId="3E64A7FF" wp14:editId="28D5DDF0">
                <wp:simplePos x="0" y="0"/>
                <wp:positionH relativeFrom="column">
                  <wp:posOffset>190666</wp:posOffset>
                </wp:positionH>
                <wp:positionV relativeFrom="paragraph">
                  <wp:posOffset>186377</wp:posOffset>
                </wp:positionV>
                <wp:extent cx="390028" cy="1404620"/>
                <wp:effectExtent l="0" t="0" r="10160" b="25400"/>
                <wp:wrapNone/>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028" cy="1404620"/>
                        </a:xfrm>
                        <a:prstGeom prst="rect">
                          <a:avLst/>
                        </a:prstGeom>
                        <a:solidFill>
                          <a:srgbClr val="FFFFFF"/>
                        </a:solidFill>
                        <a:ln w="9525">
                          <a:solidFill>
                            <a:schemeClr val="bg1"/>
                          </a:solidFill>
                          <a:miter lim="800000"/>
                          <a:headEnd/>
                          <a:tailEnd/>
                        </a:ln>
                      </wps:spPr>
                      <wps:txbx>
                        <w:txbxContent>
                          <w:p w14:paraId="5A45D0F5" w14:textId="0FD12BF8" w:rsidR="00335EBA" w:rsidRDefault="00335EBA">
                            <w: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64A7FF" id="_x0000_s1030" type="#_x0000_t202" style="position:absolute;margin-left:15pt;margin-top:14.7pt;width:30.7pt;height:110.6pt;z-index:2516776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" strokecolor="white [3212]">
                <v:textbox style="mso-fit-shape-to-text:t">
                  <w:txbxContent>
                    <w:p w14:paraId="5A45D0F5" w14:textId="0FD12BF8" w:rsidR="00335EBA" w:rsidRDefault="00335EBA">
                      <w:r>
                        <w:t>A</w:t>
                      </w:r>
                    </w:p>
                  </w:txbxContent>
                </v:textbox>
              </v:shape>
            </w:pict>
          </mc:Fallback>
        </mc:AlternateContent>
      </w:r>
      <w:r w:rsidR="00D80E10" w:rsidRPr="009867C1">
        <w:rPr>
          <w:noProof/>
        </w:rPr>
        <w:drawing>
          <wp:inline distT="0" distB="0" distL="0" distR="0" wp14:anchorId="517F5448" wp14:editId="1CD13230">
            <wp:extent cx="6115472" cy="4008850"/>
            <wp:effectExtent l="0" t="0" r="0" b="0"/>
            <wp:docPr id="36" name="Picture 36" descr="C:\Users\Allen\Desktop\Diagram\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len\Desktop\Diagram\Slide2.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14253"/>
                    <a:stretch/>
                  </pic:blipFill>
                  <pic:spPr bwMode="auto">
                    <a:xfrm>
                      <a:off x="0" y="0"/>
                      <a:ext cx="6141332" cy="4025802"/>
                    </a:xfrm>
                    <a:prstGeom prst="rect">
                      <a:avLst/>
                    </a:prstGeom>
                    <a:noFill/>
                    <a:ln>
                      <a:noFill/>
                    </a:ln>
                    <a:extLst>
                      <a:ext uri="{53640926-AAD7-44D8-BBD7-CCE9431645EC}">
                        <a14:shadowObscured xmlns:a14="http://schemas.microsoft.com/office/drawing/2010/main"/>
                      </a:ext>
                    </a:extLst>
                  </pic:spPr>
                </pic:pic>
              </a:graphicData>
            </a:graphic>
          </wp:inline>
        </w:drawing>
      </w:r>
    </w:p>
    <w:p w14:paraId="3B79D67E" w14:textId="3873278B" w:rsidR="006334C3" w:rsidRPr="009867C1" w:rsidRDefault="006D5504" w:rsidP="006D5504">
      <w:pPr>
        <w:pStyle w:val="Caption"/>
      </w:pPr>
      <w:bookmarkStart w:id="113" w:name="_Toc101783808"/>
      <w:r w:rsidRPr="009867C1">
        <w:t xml:space="preserve">Figure </w:t>
      </w:r>
      <w:r w:rsidR="008C26C1">
        <w:fldChar w:fldCharType="begin"/>
      </w:r>
      <w:r w:rsidR="008C26C1">
        <w:instrText xml:space="preserve"> STYLEREF 2 \s </w:instrText>
      </w:r>
      <w:r w:rsidR="008C26C1">
        <w:fldChar w:fldCharType="separate"/>
      </w:r>
      <w:r w:rsidR="000667DB">
        <w:rPr>
          <w:noProof/>
        </w:rPr>
        <w:t>3</w:t>
      </w:r>
      <w:r w:rsidR="008C26C1">
        <w:fldChar w:fldCharType="end"/>
      </w:r>
      <w:r w:rsidR="008C26C1">
        <w:noBreakHyphen/>
      </w:r>
      <w:r w:rsidR="008C26C1">
        <w:fldChar w:fldCharType="begin"/>
      </w:r>
      <w:r w:rsidR="008C26C1">
        <w:instrText xml:space="preserve"> SEQ Figure \* ARABIC \s 2 </w:instrText>
      </w:r>
      <w:r w:rsidR="008C26C1">
        <w:fldChar w:fldCharType="separate"/>
      </w:r>
      <w:r w:rsidR="000667DB">
        <w:rPr>
          <w:noProof/>
        </w:rPr>
        <w:t>1</w:t>
      </w:r>
      <w:r w:rsidR="008C26C1">
        <w:fldChar w:fldCharType="end"/>
      </w:r>
      <w:r w:rsidRPr="009867C1">
        <w:t>:</w:t>
      </w:r>
      <w:r w:rsidR="00117743">
        <w:t xml:space="preserve"> A:</w:t>
      </w:r>
      <w:r w:rsidRPr="009867C1">
        <w:t xml:space="preserve"> Conceptual outline of N and </w:t>
      </w:r>
      <w:r w:rsidRPr="009867C1">
        <w:rPr>
          <w:vertAlign w:val="superscript"/>
        </w:rPr>
        <w:t>15</w:t>
      </w:r>
      <w:r w:rsidRPr="009867C1">
        <w:t>N transfer</w:t>
      </w:r>
      <w:r w:rsidR="00117743">
        <w:t xml:space="preserve">, with expectations of isotopic enrichment in pools highlighted green and depletion in red. Expectations of fractionation factors associated with flows are in brackets. B: Expectations of </w:t>
      </w:r>
      <w:r w:rsidR="00117743" w:rsidRPr="00117743">
        <w:rPr>
          <w:vertAlign w:val="superscript"/>
        </w:rPr>
        <w:t>15</w:t>
      </w:r>
      <w:r w:rsidR="00117743">
        <w:t>N discrimination between belowground and aboveground compartments due to i. increases in mycorrhizal transfer rate; and ii. increasing salmon inputs.</w:t>
      </w:r>
      <w:bookmarkEnd w:id="113"/>
    </w:p>
    <w:p w14:paraId="7BF1D307" w14:textId="2970EB7F" w:rsidR="00D80E10" w:rsidRPr="009867C1" w:rsidRDefault="00D80E10" w:rsidP="00FC29DE">
      <w:pPr>
        <w:pStyle w:val="Caption"/>
      </w:pPr>
      <w:r w:rsidRPr="009867C1">
        <w:rPr>
          <w:noProof/>
        </w:rPr>
        <w:drawing>
          <wp:inline distT="0" distB="0" distL="0" distR="0" wp14:anchorId="207F21B9" wp14:editId="483D7838">
            <wp:extent cx="5947410" cy="5947410"/>
            <wp:effectExtent l="0" t="0" r="0" b="0"/>
            <wp:docPr id="37" name="Picture 37" descr="D:\[0] Sync\[0] Syncbox\[0] Thesis\[0] Data and Analyses\[3] E2 - Mushroom-level data\15N analyses\2019 - Summer - Analysis 2\[4] - Plots_multiplot_ab_singlelineplants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0] Sync\[0] Syncbox\[0] Thesis\[0] Data and Analyses\[3] E2 - Mushroom-level data\15N analyses\2019 - Summer - Analysis 2\[4] - Plots_multiplot_ab_singlelineplants .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7410" cy="5947410"/>
                    </a:xfrm>
                    <a:prstGeom prst="rect">
                      <a:avLst/>
                    </a:prstGeom>
                    <a:noFill/>
                    <a:ln>
                      <a:noFill/>
                    </a:ln>
                  </pic:spPr>
                </pic:pic>
              </a:graphicData>
            </a:graphic>
          </wp:inline>
        </w:drawing>
      </w:r>
    </w:p>
    <w:p w14:paraId="1D7B6681" w14:textId="5405B541" w:rsidR="00A07CF4" w:rsidRPr="009867C1" w:rsidRDefault="00D80E10" w:rsidP="00D80E10">
      <w:pPr>
        <w:pStyle w:val="Caption"/>
        <w:rPr>
          <w:vanish/>
          <w:specVanish/>
        </w:rPr>
      </w:pPr>
      <w:bookmarkStart w:id="114" w:name="_Ref49955967"/>
      <w:bookmarkStart w:id="115" w:name="_Toc101783809"/>
      <w:bookmarkStart w:id="116" w:name="_Toc74923558"/>
      <w:r w:rsidRPr="009867C1">
        <w:t xml:space="preserve">Figure </w:t>
      </w:r>
      <w:r w:rsidR="008C26C1">
        <w:fldChar w:fldCharType="begin"/>
      </w:r>
      <w:r w:rsidR="008C26C1">
        <w:instrText xml:space="preserve"> STYLEREF 2 \s </w:instrText>
      </w:r>
      <w:r w:rsidR="008C26C1">
        <w:fldChar w:fldCharType="separate"/>
      </w:r>
      <w:r w:rsidR="000667DB">
        <w:rPr>
          <w:noProof/>
        </w:rPr>
        <w:t>3</w:t>
      </w:r>
      <w:r w:rsidR="008C26C1">
        <w:fldChar w:fldCharType="end"/>
      </w:r>
      <w:r w:rsidR="008C26C1">
        <w:noBreakHyphen/>
      </w:r>
      <w:r w:rsidR="008C26C1">
        <w:fldChar w:fldCharType="begin"/>
      </w:r>
      <w:r w:rsidR="008C26C1">
        <w:instrText xml:space="preserve"> SEQ Figure \* ARABIC \s 2 </w:instrText>
      </w:r>
      <w:r w:rsidR="008C26C1">
        <w:fldChar w:fldCharType="separate"/>
      </w:r>
      <w:r w:rsidR="000667DB">
        <w:rPr>
          <w:noProof/>
        </w:rPr>
        <w:t>2</w:t>
      </w:r>
      <w:r w:rsidR="008C26C1">
        <w:fldChar w:fldCharType="end"/>
      </w:r>
      <w:bookmarkEnd w:id="114"/>
      <w:r w:rsidRPr="009867C1">
        <w:t>: δ</w:t>
      </w:r>
      <w:r w:rsidRPr="009867C1">
        <w:rPr>
          <w:vertAlign w:val="superscript"/>
        </w:rPr>
        <w:t>15</w:t>
      </w:r>
      <w:r w:rsidRPr="009867C1">
        <w:t>N, %N, δ</w:t>
      </w:r>
      <w:r w:rsidRPr="009867C1">
        <w:rPr>
          <w:vertAlign w:val="superscript"/>
        </w:rPr>
        <w:t>13</w:t>
      </w:r>
      <w:r w:rsidRPr="009867C1">
        <w:t>C, %C, and C:N ratio as a function of salmon density</w:t>
      </w:r>
      <w:r w:rsidR="00367D8E">
        <w:t xml:space="preserve"> (p in axes and titles denotes percent)</w:t>
      </w:r>
      <w:r w:rsidRPr="009867C1">
        <w:t>.</w:t>
      </w:r>
      <w:bookmarkEnd w:id="115"/>
    </w:p>
    <w:p w14:paraId="07399D45" w14:textId="71998080" w:rsidR="00D80E10" w:rsidRPr="009867C1" w:rsidRDefault="00D80E10" w:rsidP="00D80E10">
      <w:pPr>
        <w:pStyle w:val="Caption"/>
      </w:pPr>
      <w:r w:rsidRPr="009867C1">
        <w:t xml:space="preserve"> Colour denotes sample type. For significance of slopes, intercepts and interaction terms see </w:t>
      </w:r>
      <w:r w:rsidRPr="009867C1">
        <w:fldChar w:fldCharType="begin"/>
      </w:r>
      <w:r w:rsidRPr="009867C1">
        <w:instrText xml:space="preserve"> REF _Ref67938725 \h </w:instrText>
      </w:r>
      <w:r w:rsidR="009867C1">
        <w:instrText xml:space="preserve"> \* MERGEFORMAT </w:instrText>
      </w:r>
      <w:r w:rsidRPr="009867C1">
        <w:fldChar w:fldCharType="separate"/>
      </w:r>
      <w:r w:rsidR="000667DB" w:rsidRPr="009867C1">
        <w:t xml:space="preserve">Table </w:t>
      </w:r>
      <w:r w:rsidR="000667DB">
        <w:rPr>
          <w:noProof/>
        </w:rPr>
        <w:t>3</w:t>
      </w:r>
      <w:r w:rsidR="000667DB">
        <w:rPr>
          <w:noProof/>
        </w:rPr>
        <w:noBreakHyphen/>
        <w:t>1</w:t>
      </w:r>
      <w:r w:rsidRPr="009867C1">
        <w:fldChar w:fldCharType="end"/>
      </w:r>
      <w:r w:rsidRPr="009867C1">
        <w:t xml:space="preserve">; for pairwise comparisons see </w:t>
      </w:r>
      <w:r w:rsidRPr="009867C1">
        <w:fldChar w:fldCharType="begin"/>
      </w:r>
      <w:r w:rsidRPr="009867C1">
        <w:instrText xml:space="preserve"> REF _Ref53671709 \h </w:instrText>
      </w:r>
      <w:r w:rsidR="009867C1">
        <w:instrText xml:space="preserve"> \* MERGEFORMAT </w:instrText>
      </w:r>
      <w:r w:rsidRPr="009867C1">
        <w:fldChar w:fldCharType="separate"/>
      </w:r>
      <w:r w:rsidR="000667DB" w:rsidRPr="009867C1">
        <w:t xml:space="preserve">Table </w:t>
      </w:r>
      <w:r w:rsidR="000667DB">
        <w:rPr>
          <w:noProof/>
        </w:rPr>
        <w:t>3</w:t>
      </w:r>
      <w:r w:rsidR="000667DB">
        <w:rPr>
          <w:noProof/>
        </w:rPr>
        <w:noBreakHyphen/>
        <w:t>2</w:t>
      </w:r>
      <w:r w:rsidRPr="009867C1">
        <w:fldChar w:fldCharType="end"/>
      </w:r>
      <w:r w:rsidRPr="009867C1">
        <w:t>.</w:t>
      </w:r>
      <w:bookmarkEnd w:id="116"/>
      <w:r w:rsidRPr="009867C1">
        <w:t xml:space="preserve"> </w:t>
      </w:r>
    </w:p>
    <w:p w14:paraId="1273F847" w14:textId="77158D8B" w:rsidR="00A07CF4" w:rsidRPr="009867C1" w:rsidRDefault="00D80E10" w:rsidP="00D80E10">
      <w:pPr>
        <w:pStyle w:val="Caption"/>
        <w:rPr>
          <w:vanish/>
          <w:specVanish/>
        </w:rPr>
      </w:pPr>
      <w:bookmarkStart w:id="117" w:name="_Ref67938725"/>
      <w:bookmarkStart w:id="118" w:name="_Toc74949408"/>
      <w:r w:rsidRPr="009867C1">
        <w:t xml:space="preserve">Table </w:t>
      </w:r>
      <w:r w:rsidR="008C26C1">
        <w:fldChar w:fldCharType="begin"/>
      </w:r>
      <w:r w:rsidR="008C26C1">
        <w:instrText xml:space="preserve"> STYLEREF 2 \s </w:instrText>
      </w:r>
      <w:r w:rsidR="008C26C1">
        <w:fldChar w:fldCharType="separate"/>
      </w:r>
      <w:r w:rsidR="000667DB">
        <w:rPr>
          <w:noProof/>
        </w:rPr>
        <w:t>3</w:t>
      </w:r>
      <w:r w:rsidR="008C26C1">
        <w:fldChar w:fldCharType="end"/>
      </w:r>
      <w:r w:rsidR="008C26C1">
        <w:noBreakHyphen/>
      </w:r>
      <w:r w:rsidR="008C26C1">
        <w:fldChar w:fldCharType="begin"/>
      </w:r>
      <w:r w:rsidR="008C26C1">
        <w:instrText xml:space="preserve"> SEQ Table \* ARABIC \s 2 </w:instrText>
      </w:r>
      <w:r w:rsidR="008C26C1">
        <w:fldChar w:fldCharType="separate"/>
      </w:r>
      <w:r w:rsidR="000667DB">
        <w:rPr>
          <w:noProof/>
        </w:rPr>
        <w:t>1</w:t>
      </w:r>
      <w:r w:rsidR="008C26C1">
        <w:fldChar w:fldCharType="end"/>
      </w:r>
      <w:bookmarkEnd w:id="117"/>
      <w:r w:rsidRPr="009867C1">
        <w:t>: ANOVA table for salmon density regressions.</w:t>
      </w:r>
      <w:bookmarkEnd w:id="118"/>
    </w:p>
    <w:p w14:paraId="48531EEE" w14:textId="5BB936AE" w:rsidR="00D80E10" w:rsidRPr="009867C1" w:rsidRDefault="00D80E10" w:rsidP="00D80E10">
      <w:pPr>
        <w:pStyle w:val="Caption"/>
      </w:pPr>
      <w:r w:rsidRPr="009867C1">
        <w:t xml:space="preserve"> </w:t>
      </w:r>
      <w:r w:rsidR="00D03E29">
        <w:rPr>
          <w:noProof/>
        </w:rPr>
        <w:drawing>
          <wp:inline distT="0" distB="0" distL="0" distR="0" wp14:anchorId="6B739204" wp14:editId="540E91B9">
            <wp:extent cx="5251450" cy="7368062"/>
            <wp:effectExtent l="0" t="0" r="635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752"/>
                    <a:stretch/>
                  </pic:blipFill>
                  <pic:spPr bwMode="auto">
                    <a:xfrm>
                      <a:off x="0" y="0"/>
                      <a:ext cx="5253346" cy="7370722"/>
                    </a:xfrm>
                    <a:prstGeom prst="rect">
                      <a:avLst/>
                    </a:prstGeom>
                    <a:ln>
                      <a:noFill/>
                    </a:ln>
                    <a:extLst>
                      <a:ext uri="{53640926-AAD7-44D8-BBD7-CCE9431645EC}">
                        <a14:shadowObscured xmlns:a14="http://schemas.microsoft.com/office/drawing/2010/main"/>
                      </a:ext>
                    </a:extLst>
                  </pic:spPr>
                </pic:pic>
              </a:graphicData>
            </a:graphic>
          </wp:inline>
        </w:drawing>
      </w:r>
    </w:p>
    <w:p w14:paraId="37D67983" w14:textId="77777777" w:rsidR="00D80E10" w:rsidRPr="009867C1" w:rsidRDefault="00D80E10" w:rsidP="00D80E10"/>
    <w:p w14:paraId="23C8C9DA" w14:textId="758EF999" w:rsidR="00A07CF4" w:rsidRPr="009867C1" w:rsidRDefault="00D80E10" w:rsidP="00A07CF4">
      <w:pPr>
        <w:pStyle w:val="Caption"/>
        <w:keepNext/>
        <w:rPr>
          <w:vanish/>
          <w:specVanish/>
        </w:rPr>
      </w:pPr>
      <w:bookmarkStart w:id="119" w:name="_Ref53671709"/>
      <w:bookmarkStart w:id="120" w:name="_Toc74949409"/>
      <w:r w:rsidRPr="009867C1">
        <w:t xml:space="preserve">Table </w:t>
      </w:r>
      <w:r w:rsidR="008C26C1">
        <w:fldChar w:fldCharType="begin"/>
      </w:r>
      <w:r w:rsidR="008C26C1">
        <w:instrText xml:space="preserve"> STYLEREF 2 \s </w:instrText>
      </w:r>
      <w:r w:rsidR="008C26C1">
        <w:fldChar w:fldCharType="separate"/>
      </w:r>
      <w:r w:rsidR="000667DB">
        <w:rPr>
          <w:noProof/>
        </w:rPr>
        <w:t>3</w:t>
      </w:r>
      <w:r w:rsidR="008C26C1">
        <w:fldChar w:fldCharType="end"/>
      </w:r>
      <w:r w:rsidR="008C26C1">
        <w:noBreakHyphen/>
      </w:r>
      <w:r w:rsidR="008C26C1">
        <w:fldChar w:fldCharType="begin"/>
      </w:r>
      <w:r w:rsidR="008C26C1">
        <w:instrText xml:space="preserve"> SEQ Table \* ARABIC \s 2 </w:instrText>
      </w:r>
      <w:r w:rsidR="008C26C1">
        <w:fldChar w:fldCharType="separate"/>
      </w:r>
      <w:r w:rsidR="000667DB">
        <w:rPr>
          <w:noProof/>
        </w:rPr>
        <w:t>2</w:t>
      </w:r>
      <w:r w:rsidR="008C26C1">
        <w:fldChar w:fldCharType="end"/>
      </w:r>
      <w:bookmarkEnd w:id="119"/>
      <w:r w:rsidRPr="009867C1">
        <w:t>: Pairwise comparisons of intercepts and slopes for salmon density regressions.</w:t>
      </w:r>
      <w:bookmarkEnd w:id="120"/>
    </w:p>
    <w:p w14:paraId="64D0DA77" w14:textId="4C96F716" w:rsidR="00D80E10" w:rsidRPr="009867C1" w:rsidRDefault="00A07CF4" w:rsidP="00A07CF4">
      <w:pPr>
        <w:pStyle w:val="Caption"/>
        <w:keepNext/>
      </w:pPr>
      <w:r w:rsidRPr="009867C1">
        <w:rPr>
          <w:noProof/>
          <w:lang w:eastAsia="en-CA"/>
        </w:rPr>
        <w:t xml:space="preserve"> </w:t>
      </w:r>
      <w:r w:rsidR="00D80E10" w:rsidRPr="009867C1">
        <w:rPr>
          <w:noProof/>
          <w:lang w:eastAsia="en-CA"/>
        </w:rPr>
        <w:drawing>
          <wp:inline distT="0" distB="0" distL="0" distR="0" wp14:anchorId="0902CB6F" wp14:editId="5076BFCB">
            <wp:extent cx="3768918" cy="7227184"/>
            <wp:effectExtent l="0" t="0" r="317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945"/>
                    <a:stretch/>
                  </pic:blipFill>
                  <pic:spPr bwMode="auto">
                    <a:xfrm>
                      <a:off x="0" y="0"/>
                      <a:ext cx="3780846" cy="7250056"/>
                    </a:xfrm>
                    <a:prstGeom prst="rect">
                      <a:avLst/>
                    </a:prstGeom>
                    <a:ln>
                      <a:noFill/>
                    </a:ln>
                    <a:extLst>
                      <a:ext uri="{53640926-AAD7-44D8-BBD7-CCE9431645EC}">
                        <a14:shadowObscured xmlns:a14="http://schemas.microsoft.com/office/drawing/2010/main"/>
                      </a:ext>
                    </a:extLst>
                  </pic:spPr>
                </pic:pic>
              </a:graphicData>
            </a:graphic>
          </wp:inline>
        </w:drawing>
      </w:r>
      <w:r w:rsidR="00D80E10" w:rsidRPr="009867C1">
        <w:rPr>
          <w:noProof/>
          <w:lang w:eastAsia="en-CA"/>
        </w:rPr>
        <w:drawing>
          <wp:inline distT="0" distB="0" distL="0" distR="0" wp14:anchorId="678A6DC1" wp14:editId="44A17881">
            <wp:extent cx="5699573" cy="5786623"/>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
                      <a:extLst>
                        <a:ext uri="{28A0092B-C50C-407E-A947-70E740481C1C}">
                          <a14:useLocalDpi xmlns:a14="http://schemas.microsoft.com/office/drawing/2010/main" val="0"/>
                        </a:ext>
                      </a:extLst>
                    </a:blip>
                    <a:srcRect r="44614"/>
                    <a:stretch/>
                  </pic:blipFill>
                  <pic:spPr bwMode="auto">
                    <a:xfrm>
                      <a:off x="0" y="0"/>
                      <a:ext cx="5707864" cy="5795041"/>
                    </a:xfrm>
                    <a:prstGeom prst="rect">
                      <a:avLst/>
                    </a:prstGeom>
                    <a:noFill/>
                    <a:ln>
                      <a:noFill/>
                    </a:ln>
                    <a:extLst>
                      <a:ext uri="{53640926-AAD7-44D8-BBD7-CCE9431645EC}">
                        <a14:shadowObscured xmlns:a14="http://schemas.microsoft.com/office/drawing/2010/main"/>
                      </a:ext>
                    </a:extLst>
                  </pic:spPr>
                </pic:pic>
              </a:graphicData>
            </a:graphic>
          </wp:inline>
        </w:drawing>
      </w:r>
    </w:p>
    <w:p w14:paraId="135E0CC2" w14:textId="1744BF72" w:rsidR="00985820" w:rsidRPr="009867C1" w:rsidRDefault="00D80E10" w:rsidP="00D80E10">
      <w:pPr>
        <w:pStyle w:val="Caption"/>
        <w:rPr>
          <w:vanish/>
          <w:specVanish/>
        </w:rPr>
      </w:pPr>
      <w:bookmarkStart w:id="121" w:name="_Ref49956008"/>
      <w:bookmarkStart w:id="122" w:name="_Toc101783810"/>
      <w:bookmarkStart w:id="123" w:name="_Toc74923559"/>
      <w:r w:rsidRPr="009867C1">
        <w:t xml:space="preserve">Figure </w:t>
      </w:r>
      <w:r w:rsidR="008C26C1">
        <w:fldChar w:fldCharType="begin"/>
      </w:r>
      <w:r w:rsidR="008C26C1">
        <w:instrText xml:space="preserve"> STYLEREF 2 \s </w:instrText>
      </w:r>
      <w:r w:rsidR="008C26C1">
        <w:fldChar w:fldCharType="separate"/>
      </w:r>
      <w:r w:rsidR="000667DB">
        <w:rPr>
          <w:noProof/>
        </w:rPr>
        <w:t>3</w:t>
      </w:r>
      <w:r w:rsidR="008C26C1">
        <w:fldChar w:fldCharType="end"/>
      </w:r>
      <w:r w:rsidR="008C26C1">
        <w:noBreakHyphen/>
      </w:r>
      <w:r w:rsidR="008C26C1">
        <w:fldChar w:fldCharType="begin"/>
      </w:r>
      <w:r w:rsidR="008C26C1">
        <w:instrText xml:space="preserve"> SEQ Figure \* ARABIC \s 2 </w:instrText>
      </w:r>
      <w:r w:rsidR="008C26C1">
        <w:fldChar w:fldCharType="separate"/>
      </w:r>
      <w:r w:rsidR="000667DB">
        <w:rPr>
          <w:noProof/>
        </w:rPr>
        <w:t>3</w:t>
      </w:r>
      <w:r w:rsidR="008C26C1">
        <w:fldChar w:fldCharType="end"/>
      </w:r>
      <w:bookmarkEnd w:id="121"/>
      <w:r w:rsidRPr="009867C1">
        <w:t>: Averaged standardized GLM coefficients for all explanatory variables (EVs) in the linear models δ</w:t>
      </w:r>
      <w:r w:rsidRPr="009867C1">
        <w:rPr>
          <w:vertAlign w:val="superscript"/>
        </w:rPr>
        <w:t>15</w:t>
      </w:r>
      <w:r w:rsidRPr="009867C1">
        <w:t>N</w:t>
      </w:r>
      <w:r w:rsidRPr="009867C1">
        <w:rPr>
          <w:vertAlign w:val="subscript"/>
        </w:rPr>
        <w:t>sample type</w:t>
      </w:r>
      <w:r w:rsidRPr="009867C1">
        <w:t xml:space="preserve"> ~ EVs (first column) and %N</w:t>
      </w:r>
      <w:r w:rsidRPr="009867C1">
        <w:rPr>
          <w:vertAlign w:val="subscript"/>
        </w:rPr>
        <w:t>sample type</w:t>
      </w:r>
      <w:r w:rsidRPr="009867C1">
        <w:t xml:space="preserve"> ~ EVs (second column).</w:t>
      </w:r>
      <w:bookmarkEnd w:id="122"/>
    </w:p>
    <w:p w14:paraId="3B59F84C" w14:textId="7F2040AC" w:rsidR="00D80E10" w:rsidRPr="009867C1" w:rsidRDefault="00D80E10" w:rsidP="00D80E10">
      <w:pPr>
        <w:pStyle w:val="Caption"/>
        <w:rPr>
          <w:vanish/>
        </w:rPr>
      </w:pPr>
      <w:r w:rsidRPr="009867C1">
        <w:t xml:space="preserve"> Models for each sample type were run separately and are denoted by colour, will full circles denoting significance at a p&lt;0.05 level. Contrasts for the categorical variables are taken relative to ‘unidentified’ fungi for fungal “Genus”, and relative to Sitka spruce for “Nearest tree” species. X-axis denotes changes in the response variable.</w:t>
      </w:r>
      <w:bookmarkEnd w:id="123"/>
      <w:r w:rsidRPr="009867C1">
        <w:t xml:space="preserve">  </w:t>
      </w:r>
    </w:p>
    <w:p w14:paraId="05975920" w14:textId="77777777" w:rsidR="00D80E10" w:rsidRPr="009867C1" w:rsidRDefault="00D80E10" w:rsidP="00D80E10"/>
    <w:p w14:paraId="1A42C81D" w14:textId="77777777" w:rsidR="00D80E10" w:rsidRPr="009867C1" w:rsidRDefault="00D80E10" w:rsidP="00D80E10"/>
    <w:p w14:paraId="0F03CFD0" w14:textId="77777777" w:rsidR="00D80E10" w:rsidRPr="009867C1" w:rsidRDefault="00D80E10" w:rsidP="00D80E10">
      <w:pPr>
        <w:keepNext/>
      </w:pPr>
      <w:r w:rsidRPr="009867C1">
        <w:rPr>
          <w:noProof/>
          <w:lang w:eastAsia="en-CA"/>
        </w:rPr>
        <w:drawing>
          <wp:inline distT="0" distB="0" distL="0" distR="0" wp14:anchorId="0198BC37" wp14:editId="5B794B2B">
            <wp:extent cx="5839818" cy="5959518"/>
            <wp:effectExtent l="0" t="0" r="8890"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
                      <a:extLst>
                        <a:ext uri="{28A0092B-C50C-407E-A947-70E740481C1C}">
                          <a14:useLocalDpi xmlns:a14="http://schemas.microsoft.com/office/drawing/2010/main" val="0"/>
                        </a:ext>
                      </a:extLst>
                    </a:blip>
                    <a:srcRect r="44898"/>
                    <a:stretch/>
                  </pic:blipFill>
                  <pic:spPr bwMode="auto">
                    <a:xfrm>
                      <a:off x="0" y="0"/>
                      <a:ext cx="5843574" cy="5963351"/>
                    </a:xfrm>
                    <a:prstGeom prst="rect">
                      <a:avLst/>
                    </a:prstGeom>
                    <a:noFill/>
                    <a:ln>
                      <a:noFill/>
                    </a:ln>
                    <a:extLst>
                      <a:ext uri="{53640926-AAD7-44D8-BBD7-CCE9431645EC}">
                        <a14:shadowObscured xmlns:a14="http://schemas.microsoft.com/office/drawing/2010/main"/>
                      </a:ext>
                    </a:extLst>
                  </pic:spPr>
                </pic:pic>
              </a:graphicData>
            </a:graphic>
          </wp:inline>
        </w:drawing>
      </w:r>
    </w:p>
    <w:p w14:paraId="472F3E34" w14:textId="0B607693" w:rsidR="00985820" w:rsidRPr="009867C1" w:rsidRDefault="00D80E10" w:rsidP="00D80E10">
      <w:pPr>
        <w:pStyle w:val="Caption"/>
        <w:rPr>
          <w:vanish/>
          <w:specVanish/>
        </w:rPr>
      </w:pPr>
      <w:bookmarkStart w:id="124" w:name="_Ref49956874"/>
      <w:bookmarkStart w:id="125" w:name="_Toc101783811"/>
      <w:bookmarkStart w:id="126" w:name="_Toc74923560"/>
      <w:r w:rsidRPr="009867C1">
        <w:t xml:space="preserve">Figure </w:t>
      </w:r>
      <w:r w:rsidR="008C26C1">
        <w:fldChar w:fldCharType="begin"/>
      </w:r>
      <w:r w:rsidR="008C26C1">
        <w:instrText xml:space="preserve"> STYLEREF 2 \s </w:instrText>
      </w:r>
      <w:r w:rsidR="008C26C1">
        <w:fldChar w:fldCharType="separate"/>
      </w:r>
      <w:r w:rsidR="000667DB">
        <w:rPr>
          <w:noProof/>
        </w:rPr>
        <w:t>3</w:t>
      </w:r>
      <w:r w:rsidR="008C26C1">
        <w:fldChar w:fldCharType="end"/>
      </w:r>
      <w:r w:rsidR="008C26C1">
        <w:noBreakHyphen/>
      </w:r>
      <w:r w:rsidR="008C26C1">
        <w:fldChar w:fldCharType="begin"/>
      </w:r>
      <w:r w:rsidR="008C26C1">
        <w:instrText xml:space="preserve"> SEQ Figure \* ARABIC \s 2 </w:instrText>
      </w:r>
      <w:r w:rsidR="008C26C1">
        <w:fldChar w:fldCharType="separate"/>
      </w:r>
      <w:r w:rsidR="000667DB">
        <w:rPr>
          <w:noProof/>
        </w:rPr>
        <w:t>4</w:t>
      </w:r>
      <w:r w:rsidR="008C26C1">
        <w:fldChar w:fldCharType="end"/>
      </w:r>
      <w:bookmarkEnd w:id="124"/>
      <w:r w:rsidRPr="009867C1">
        <w:t>: Averaged standardized GLM coefficients for all explanatory variables (EVs) in the linear models δ</w:t>
      </w:r>
      <w:r w:rsidRPr="009867C1">
        <w:rPr>
          <w:vertAlign w:val="superscript"/>
        </w:rPr>
        <w:t>13</w:t>
      </w:r>
      <w:r w:rsidRPr="009867C1">
        <w:t>C</w:t>
      </w:r>
      <w:r w:rsidRPr="009867C1">
        <w:rPr>
          <w:vertAlign w:val="subscript"/>
        </w:rPr>
        <w:t>sample type</w:t>
      </w:r>
      <w:r w:rsidRPr="009867C1">
        <w:t xml:space="preserve"> ~ EVs (first column) and %C</w:t>
      </w:r>
      <w:r w:rsidRPr="009867C1">
        <w:rPr>
          <w:vertAlign w:val="subscript"/>
        </w:rPr>
        <w:t>sample type</w:t>
      </w:r>
      <w:r w:rsidRPr="009867C1">
        <w:t xml:space="preserve"> ~ EVs (second column) and C</w:t>
      </w:r>
      <w:r w:rsidRPr="009867C1">
        <w:rPr>
          <w:vertAlign w:val="subscript"/>
        </w:rPr>
        <w:t>sample type</w:t>
      </w:r>
      <w:r w:rsidRPr="009867C1">
        <w:t xml:space="preserve"> : N</w:t>
      </w:r>
      <w:r w:rsidRPr="009867C1">
        <w:rPr>
          <w:vertAlign w:val="subscript"/>
        </w:rPr>
        <w:t>sample type</w:t>
      </w:r>
      <w:r w:rsidRPr="009867C1">
        <w:t xml:space="preserve"> ~ EVs (third column).</w:t>
      </w:r>
      <w:bookmarkEnd w:id="125"/>
      <w:r w:rsidRPr="009867C1">
        <w:t xml:space="preserve"> </w:t>
      </w:r>
    </w:p>
    <w:p w14:paraId="204818C9" w14:textId="7A723D75" w:rsidR="00D80E10" w:rsidRPr="009867C1" w:rsidRDefault="00985820" w:rsidP="00D80E10">
      <w:pPr>
        <w:pStyle w:val="Caption"/>
      </w:pPr>
      <w:r w:rsidRPr="009867C1">
        <w:t xml:space="preserve"> </w:t>
      </w:r>
      <w:r w:rsidR="00D80E10" w:rsidRPr="009867C1">
        <w:t xml:space="preserve">Models for each sample type were run separately and are denoted by colour, will full circles denoting significance at a p &lt; 0.05 level. </w:t>
      </w:r>
      <w:r w:rsidR="00D80E10" w:rsidRPr="009867C1">
        <w:rPr>
          <w:vertAlign w:val="superscript"/>
        </w:rPr>
        <w:t>13</w:t>
      </w:r>
      <w:r w:rsidR="00D80E10" w:rsidRPr="009867C1">
        <w:t>C is not shown for soil samples due to high measurement error. Contrasts for the categorical variables are taken relative to ‘unidentified’ fungi for fungal “Genus”, and relative to Sitka spruce for “Nearest tree” species. X-axis denotes changes in the response variable.</w:t>
      </w:r>
      <w:bookmarkEnd w:id="126"/>
      <w:r w:rsidR="00D80E10" w:rsidRPr="009867C1">
        <w:t xml:space="preserve">  </w:t>
      </w:r>
    </w:p>
    <w:p w14:paraId="08EB8FAB" w14:textId="77777777" w:rsidR="00D80E10" w:rsidRPr="009867C1" w:rsidRDefault="00D80E10" w:rsidP="00D80E10">
      <w:pPr>
        <w:sectPr w:rsidR="00D80E10" w:rsidRPr="009867C1">
          <w:pgSz w:w="12240" w:h="15840"/>
          <w:pgMar w:top="1440" w:right="1440" w:bottom="1440" w:left="1440" w:header="708" w:footer="708" w:gutter="0"/>
          <w:cols w:space="708"/>
          <w:docGrid w:linePitch="360"/>
        </w:sectPr>
      </w:pPr>
    </w:p>
    <w:p w14:paraId="1A6BD2ED" w14:textId="77777777" w:rsidR="00985820" w:rsidRPr="009867C1" w:rsidRDefault="00D80E10" w:rsidP="00985820">
      <w:pPr>
        <w:keepNext/>
      </w:pPr>
      <w:r w:rsidRPr="009867C1">
        <w:rPr>
          <w:noProof/>
        </w:rPr>
        <w:drawing>
          <wp:inline distT="0" distB="0" distL="0" distR="0" wp14:anchorId="57458B82" wp14:editId="34BCFF68">
            <wp:extent cx="7782271" cy="520781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r="377"/>
                    <a:stretch/>
                  </pic:blipFill>
                  <pic:spPr bwMode="auto">
                    <a:xfrm>
                      <a:off x="0" y="0"/>
                      <a:ext cx="7791828" cy="5214206"/>
                    </a:xfrm>
                    <a:prstGeom prst="rect">
                      <a:avLst/>
                    </a:prstGeom>
                    <a:noFill/>
                    <a:ln>
                      <a:noFill/>
                    </a:ln>
                    <a:extLst>
                      <a:ext uri="{53640926-AAD7-44D8-BBD7-CCE9431645EC}">
                        <a14:shadowObscured xmlns:a14="http://schemas.microsoft.com/office/drawing/2010/main"/>
                      </a:ext>
                    </a:extLst>
                  </pic:spPr>
                </pic:pic>
              </a:graphicData>
            </a:graphic>
          </wp:inline>
        </w:drawing>
      </w:r>
      <w:bookmarkStart w:id="127" w:name="_Ref73895818"/>
      <w:bookmarkStart w:id="128" w:name="_Toc74923561"/>
    </w:p>
    <w:p w14:paraId="2E70373A" w14:textId="44535505" w:rsidR="00985820" w:rsidRPr="009867C1" w:rsidRDefault="00D80E10" w:rsidP="00985820">
      <w:pPr>
        <w:pStyle w:val="Caption"/>
        <w:rPr>
          <w:vanish/>
          <w:specVanish/>
        </w:rPr>
      </w:pPr>
      <w:bookmarkStart w:id="129" w:name="_Toc101783812"/>
      <w:r w:rsidRPr="009867C1">
        <w:t xml:space="preserve">Figure </w:t>
      </w:r>
      <w:r w:rsidR="008C26C1">
        <w:fldChar w:fldCharType="begin"/>
      </w:r>
      <w:r w:rsidR="008C26C1">
        <w:instrText xml:space="preserve"> STYLEREF 2 \s </w:instrText>
      </w:r>
      <w:r w:rsidR="008C26C1">
        <w:fldChar w:fldCharType="separate"/>
      </w:r>
      <w:r w:rsidR="000667DB">
        <w:rPr>
          <w:noProof/>
        </w:rPr>
        <w:t>3</w:t>
      </w:r>
      <w:r w:rsidR="008C26C1">
        <w:fldChar w:fldCharType="end"/>
      </w:r>
      <w:r w:rsidR="008C26C1">
        <w:noBreakHyphen/>
      </w:r>
      <w:r w:rsidR="008C26C1">
        <w:fldChar w:fldCharType="begin"/>
      </w:r>
      <w:r w:rsidR="008C26C1">
        <w:instrText xml:space="preserve"> SEQ Figure \* ARABIC \s 2 </w:instrText>
      </w:r>
      <w:r w:rsidR="008C26C1">
        <w:fldChar w:fldCharType="separate"/>
      </w:r>
      <w:r w:rsidR="000667DB">
        <w:rPr>
          <w:noProof/>
        </w:rPr>
        <w:t>5</w:t>
      </w:r>
      <w:r w:rsidR="008C26C1">
        <w:fldChar w:fldCharType="end"/>
      </w:r>
      <w:bookmarkEnd w:id="127"/>
      <w:r w:rsidRPr="009867C1">
        <w:t xml:space="preserve">: </w:t>
      </w:r>
      <w:r w:rsidR="00985820" w:rsidRPr="009867C1">
        <w:t>Heatmap of r</w:t>
      </w:r>
      <w:r w:rsidRPr="009867C1">
        <w:t>andom forest model</w:t>
      </w:r>
      <w:r w:rsidR="00985820" w:rsidRPr="009867C1">
        <w:t xml:space="preserve"> importance for mushroom, litter, and soil response variables.</w:t>
      </w:r>
      <w:bookmarkEnd w:id="128"/>
      <w:bookmarkEnd w:id="129"/>
    </w:p>
    <w:p w14:paraId="44BF980B" w14:textId="0DEF3FD3" w:rsidR="00D80E10" w:rsidRPr="009867C1" w:rsidRDefault="00D80E10" w:rsidP="00D80E10">
      <w:pPr>
        <w:pStyle w:val="Caption"/>
        <w:sectPr w:rsidR="00D80E10" w:rsidRPr="009867C1" w:rsidSect="00BA2B8C">
          <w:pgSz w:w="15840" w:h="12240" w:orient="landscape"/>
          <w:pgMar w:top="1440" w:right="1440" w:bottom="1440" w:left="1440" w:header="708" w:footer="708" w:gutter="0"/>
          <w:cols w:space="708"/>
          <w:docGrid w:linePitch="360"/>
        </w:sectPr>
      </w:pPr>
      <w:r w:rsidRPr="009867C1">
        <w:t xml:space="preserve"> </w:t>
      </w:r>
    </w:p>
    <w:p w14:paraId="16BC3677" w14:textId="77777777" w:rsidR="00D80E10" w:rsidRPr="009867C1" w:rsidRDefault="00D80E10" w:rsidP="00D80E10">
      <w:pPr>
        <w:keepNext/>
      </w:pPr>
      <w:r w:rsidRPr="009867C1">
        <w:rPr>
          <w:noProof/>
          <w:lang w:eastAsia="en-CA"/>
        </w:rPr>
        <w:drawing>
          <wp:inline distT="0" distB="0" distL="0" distR="0" wp14:anchorId="5842F834" wp14:editId="1C38CC04">
            <wp:extent cx="5946140" cy="577223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2924"/>
                    <a:stretch/>
                  </pic:blipFill>
                  <pic:spPr bwMode="auto">
                    <a:xfrm>
                      <a:off x="0" y="0"/>
                      <a:ext cx="5946140" cy="5772236"/>
                    </a:xfrm>
                    <a:prstGeom prst="rect">
                      <a:avLst/>
                    </a:prstGeom>
                    <a:noFill/>
                    <a:ln>
                      <a:noFill/>
                    </a:ln>
                    <a:extLst>
                      <a:ext uri="{53640926-AAD7-44D8-BBD7-CCE9431645EC}">
                        <a14:shadowObscured xmlns:a14="http://schemas.microsoft.com/office/drawing/2010/main"/>
                      </a:ext>
                    </a:extLst>
                  </pic:spPr>
                </pic:pic>
              </a:graphicData>
            </a:graphic>
          </wp:inline>
        </w:drawing>
      </w:r>
    </w:p>
    <w:p w14:paraId="2BC5A34B" w14:textId="4631B899" w:rsidR="00985820" w:rsidRPr="009867C1" w:rsidRDefault="00D80E10" w:rsidP="00D80E10">
      <w:pPr>
        <w:pStyle w:val="Caption"/>
        <w:rPr>
          <w:vanish/>
          <w:specVanish/>
        </w:rPr>
      </w:pPr>
      <w:bookmarkStart w:id="130" w:name="_Ref53673873"/>
      <w:bookmarkStart w:id="131" w:name="_Toc101783813"/>
      <w:bookmarkStart w:id="132" w:name="_Toc74923562"/>
      <w:r w:rsidRPr="009867C1">
        <w:t xml:space="preserve">Figure </w:t>
      </w:r>
      <w:r w:rsidR="008C26C1">
        <w:fldChar w:fldCharType="begin"/>
      </w:r>
      <w:r w:rsidR="008C26C1">
        <w:instrText xml:space="preserve"> STYLEREF 2 \s </w:instrText>
      </w:r>
      <w:r w:rsidR="008C26C1">
        <w:fldChar w:fldCharType="separate"/>
      </w:r>
      <w:r w:rsidR="000667DB">
        <w:rPr>
          <w:noProof/>
        </w:rPr>
        <w:t>3</w:t>
      </w:r>
      <w:r w:rsidR="008C26C1">
        <w:fldChar w:fldCharType="end"/>
      </w:r>
      <w:r w:rsidR="008C26C1">
        <w:noBreakHyphen/>
      </w:r>
      <w:r w:rsidR="008C26C1">
        <w:fldChar w:fldCharType="begin"/>
      </w:r>
      <w:r w:rsidR="008C26C1">
        <w:instrText xml:space="preserve"> SEQ Figure \* ARABIC \s 2 </w:instrText>
      </w:r>
      <w:r w:rsidR="008C26C1">
        <w:fldChar w:fldCharType="separate"/>
      </w:r>
      <w:r w:rsidR="000667DB">
        <w:rPr>
          <w:noProof/>
        </w:rPr>
        <w:t>6</w:t>
      </w:r>
      <w:r w:rsidR="008C26C1">
        <w:fldChar w:fldCharType="end"/>
      </w:r>
      <w:bookmarkEnd w:id="130"/>
      <w:r w:rsidRPr="009867C1">
        <w:t>: δ</w:t>
      </w:r>
      <w:r w:rsidRPr="009867C1">
        <w:rPr>
          <w:vertAlign w:val="superscript"/>
        </w:rPr>
        <w:t>15</w:t>
      </w:r>
      <w:r w:rsidRPr="009867C1">
        <w:t>N as a function %N, with sample type denoted by colour.</w:t>
      </w:r>
      <w:bookmarkEnd w:id="131"/>
    </w:p>
    <w:p w14:paraId="4D82401B" w14:textId="26AF3D0B" w:rsidR="00D80E10" w:rsidRPr="009867C1" w:rsidRDefault="00D80E10" w:rsidP="00D80E10">
      <w:pPr>
        <w:pStyle w:val="Caption"/>
      </w:pPr>
      <w:r w:rsidRPr="009867C1">
        <w:t xml:space="preserve"> %N is a significant (p&lt;0.05) predictor of δ</w:t>
      </w:r>
      <w:r w:rsidRPr="009867C1">
        <w:rPr>
          <w:vertAlign w:val="superscript"/>
        </w:rPr>
        <w:t>15</w:t>
      </w:r>
      <w:r w:rsidRPr="009867C1">
        <w:t>N, and all slopes and intercepts are significantly different from each other.</w:t>
      </w:r>
      <w:bookmarkEnd w:id="132"/>
      <w:r w:rsidRPr="009867C1">
        <w:t xml:space="preserve">  </w:t>
      </w:r>
    </w:p>
    <w:p w14:paraId="18E23396" w14:textId="77777777" w:rsidR="00D80E10" w:rsidRPr="009867C1" w:rsidRDefault="00D80E10" w:rsidP="00D80E10"/>
    <w:p w14:paraId="38E1CAEC" w14:textId="77777777" w:rsidR="00D80E10" w:rsidRPr="009867C1" w:rsidRDefault="00D80E10" w:rsidP="00D80E10">
      <w:pPr>
        <w:keepNext/>
      </w:pPr>
      <w:r w:rsidRPr="009867C1">
        <w:rPr>
          <w:noProof/>
          <w:lang w:eastAsia="en-CA"/>
        </w:rPr>
        <w:drawing>
          <wp:inline distT="0" distB="0" distL="0" distR="0" wp14:anchorId="49F78939" wp14:editId="38582C65">
            <wp:extent cx="4336388" cy="3739035"/>
            <wp:effectExtent l="0" t="0" r="762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7">
                      <a:extLst>
                        <a:ext uri="{28A0092B-C50C-407E-A947-70E740481C1C}">
                          <a14:useLocalDpi xmlns:a14="http://schemas.microsoft.com/office/drawing/2010/main" val="0"/>
                        </a:ext>
                      </a:extLst>
                    </a:blip>
                    <a:srcRect l="-567" t="672" r="35351" b="-672"/>
                    <a:stretch/>
                  </pic:blipFill>
                  <pic:spPr bwMode="auto">
                    <a:xfrm>
                      <a:off x="0" y="0"/>
                      <a:ext cx="4342667" cy="3744449"/>
                    </a:xfrm>
                    <a:prstGeom prst="rect">
                      <a:avLst/>
                    </a:prstGeom>
                    <a:noFill/>
                    <a:ln>
                      <a:noFill/>
                    </a:ln>
                    <a:extLst>
                      <a:ext uri="{53640926-AAD7-44D8-BBD7-CCE9431645EC}">
                        <a14:shadowObscured xmlns:a14="http://schemas.microsoft.com/office/drawing/2010/main"/>
                      </a:ext>
                    </a:extLst>
                  </pic:spPr>
                </pic:pic>
              </a:graphicData>
            </a:graphic>
          </wp:inline>
        </w:drawing>
      </w:r>
    </w:p>
    <w:p w14:paraId="66FB7EFC" w14:textId="4DA98D12" w:rsidR="00985820" w:rsidRPr="009867C1" w:rsidRDefault="00D80E10" w:rsidP="00D80E10">
      <w:pPr>
        <w:pStyle w:val="Caption"/>
        <w:rPr>
          <w:vanish/>
          <w:specVanish/>
        </w:rPr>
      </w:pPr>
      <w:bookmarkStart w:id="133" w:name="_Ref73898975"/>
      <w:bookmarkStart w:id="134" w:name="_Toc101783814"/>
      <w:bookmarkStart w:id="135" w:name="_Toc74923563"/>
      <w:r w:rsidRPr="009867C1">
        <w:t xml:space="preserve">Figure </w:t>
      </w:r>
      <w:r w:rsidR="008C26C1">
        <w:fldChar w:fldCharType="begin"/>
      </w:r>
      <w:r w:rsidR="008C26C1">
        <w:instrText xml:space="preserve"> STYLEREF 2 \s </w:instrText>
      </w:r>
      <w:r w:rsidR="008C26C1">
        <w:fldChar w:fldCharType="separate"/>
      </w:r>
      <w:r w:rsidR="000667DB">
        <w:rPr>
          <w:noProof/>
        </w:rPr>
        <w:t>3</w:t>
      </w:r>
      <w:r w:rsidR="008C26C1">
        <w:fldChar w:fldCharType="end"/>
      </w:r>
      <w:r w:rsidR="008C26C1">
        <w:noBreakHyphen/>
      </w:r>
      <w:r w:rsidR="008C26C1">
        <w:fldChar w:fldCharType="begin"/>
      </w:r>
      <w:r w:rsidR="008C26C1">
        <w:instrText xml:space="preserve"> SEQ Figure \* ARABIC \s 2 </w:instrText>
      </w:r>
      <w:r w:rsidR="008C26C1">
        <w:fldChar w:fldCharType="separate"/>
      </w:r>
      <w:r w:rsidR="000667DB">
        <w:rPr>
          <w:noProof/>
        </w:rPr>
        <w:t>7</w:t>
      </w:r>
      <w:r w:rsidR="008C26C1">
        <w:fldChar w:fldCharType="end"/>
      </w:r>
      <w:bookmarkEnd w:id="133"/>
      <w:r w:rsidRPr="009867C1">
        <w:t>: Isoplot of δ</w:t>
      </w:r>
      <w:r w:rsidRPr="009867C1">
        <w:rPr>
          <w:vertAlign w:val="superscript"/>
        </w:rPr>
        <w:t>15</w:t>
      </w:r>
      <w:r w:rsidRPr="009867C1">
        <w:t>N vs. δ</w:t>
      </w:r>
      <w:r w:rsidRPr="009867C1">
        <w:rPr>
          <w:vertAlign w:val="superscript"/>
        </w:rPr>
        <w:t>13</w:t>
      </w:r>
      <w:r w:rsidRPr="009867C1">
        <w:t>C for vegetation, litter, and mushroom samples.</w:t>
      </w:r>
      <w:bookmarkEnd w:id="134"/>
      <w:r w:rsidRPr="009867C1">
        <w:t xml:space="preserve"> </w:t>
      </w:r>
    </w:p>
    <w:p w14:paraId="493299DF" w14:textId="4EC09B97" w:rsidR="00D80E10" w:rsidRPr="009867C1" w:rsidRDefault="00985820" w:rsidP="00D80E10">
      <w:pPr>
        <w:pStyle w:val="Caption"/>
      </w:pPr>
      <w:r w:rsidRPr="009867C1">
        <w:t xml:space="preserve"> </w:t>
      </w:r>
      <w:r w:rsidR="00D80E10" w:rsidRPr="009867C1">
        <w:t>Soil was excluded from this plot as its δ</w:t>
      </w:r>
      <w:r w:rsidR="00D80E10" w:rsidRPr="009867C1">
        <w:rPr>
          <w:vertAlign w:val="superscript"/>
        </w:rPr>
        <w:t>13</w:t>
      </w:r>
      <w:r w:rsidR="00D80E10" w:rsidRPr="009867C1">
        <w:t>C measurements had methodological issues due to low nitrogen content.</w:t>
      </w:r>
      <w:bookmarkEnd w:id="135"/>
      <w:r w:rsidR="00D80E10" w:rsidRPr="009867C1">
        <w:t xml:space="preserve"> </w:t>
      </w:r>
    </w:p>
    <w:p w14:paraId="3545ED8F" w14:textId="77777777" w:rsidR="00D80E10" w:rsidRPr="009867C1" w:rsidRDefault="00D80E10" w:rsidP="00D80E10">
      <w:pPr>
        <w:keepNext/>
      </w:pPr>
      <w:r w:rsidRPr="009867C1">
        <w:rPr>
          <w:noProof/>
        </w:rPr>
        <w:drawing>
          <wp:anchor distT="0" distB="0" distL="114300" distR="114300" simplePos="0" relativeHeight="251660288" behindDoc="0" locked="0" layoutInCell="1" allowOverlap="1" wp14:anchorId="29ABEC9E" wp14:editId="43A13FA4">
            <wp:simplePos x="0" y="0"/>
            <wp:positionH relativeFrom="column">
              <wp:posOffset>3840342</wp:posOffset>
            </wp:positionH>
            <wp:positionV relativeFrom="paragraph">
              <wp:posOffset>1144491</wp:posOffset>
            </wp:positionV>
            <wp:extent cx="1339215" cy="1156335"/>
            <wp:effectExtent l="0" t="0" r="0" b="571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339215" cy="1156335"/>
                    </a:xfrm>
                    <a:prstGeom prst="rect">
                      <a:avLst/>
                    </a:prstGeom>
                  </pic:spPr>
                </pic:pic>
              </a:graphicData>
            </a:graphic>
          </wp:anchor>
        </w:drawing>
      </w:r>
      <w:r w:rsidRPr="009867C1">
        <w:rPr>
          <w:noProof/>
          <w:lang w:eastAsia="en-CA"/>
        </w:rPr>
        <w:drawing>
          <wp:inline distT="0" distB="0" distL="0" distR="0" wp14:anchorId="1C13530B" wp14:editId="2C658605">
            <wp:extent cx="3719308" cy="3356432"/>
            <wp:effectExtent l="0" t="0" r="0" b="0"/>
            <wp:docPr id="45" name="Picture 45" descr="D:\[0] Sync\[0] Syncbox\[0] Thesis\[0] Data and Analyses\[3] E2 - Mushroom-level data\15N analyses\2019 - Summer - Analysis 2\[4] - Plots_multiplot_15N_genus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0] Sync\[0] Syncbox\[0] Thesis\[0] Data and Analyses\[3] E2 - Mushroom-level data\15N analyses\2019 - Summer - Analysis 2\[4] - Plots_multiplot_15N_genus .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r="62476" b="66138"/>
                    <a:stretch/>
                  </pic:blipFill>
                  <pic:spPr bwMode="auto">
                    <a:xfrm>
                      <a:off x="0" y="0"/>
                      <a:ext cx="3743394" cy="3378168"/>
                    </a:xfrm>
                    <a:prstGeom prst="rect">
                      <a:avLst/>
                    </a:prstGeom>
                    <a:noFill/>
                    <a:ln>
                      <a:noFill/>
                    </a:ln>
                    <a:extLst>
                      <a:ext uri="{53640926-AAD7-44D8-BBD7-CCE9431645EC}">
                        <a14:shadowObscured xmlns:a14="http://schemas.microsoft.com/office/drawing/2010/main"/>
                      </a:ext>
                    </a:extLst>
                  </pic:spPr>
                </pic:pic>
              </a:graphicData>
            </a:graphic>
          </wp:inline>
        </w:drawing>
      </w:r>
    </w:p>
    <w:p w14:paraId="1381BC07" w14:textId="4A6E1AB0" w:rsidR="00985820" w:rsidRPr="009867C1" w:rsidRDefault="00D80E10" w:rsidP="00D80E10">
      <w:pPr>
        <w:pStyle w:val="Caption"/>
        <w:rPr>
          <w:vanish/>
          <w:specVanish/>
        </w:rPr>
      </w:pPr>
      <w:bookmarkStart w:id="136" w:name="_Ref49957934"/>
      <w:bookmarkStart w:id="137" w:name="_Toc101783815"/>
      <w:bookmarkStart w:id="138" w:name="_Toc74923564"/>
      <w:r w:rsidRPr="009867C1">
        <w:t xml:space="preserve">Figure </w:t>
      </w:r>
      <w:r w:rsidR="008C26C1">
        <w:fldChar w:fldCharType="begin"/>
      </w:r>
      <w:r w:rsidR="008C26C1">
        <w:instrText xml:space="preserve"> STYLEREF 2 \s </w:instrText>
      </w:r>
      <w:r w:rsidR="008C26C1">
        <w:fldChar w:fldCharType="separate"/>
      </w:r>
      <w:r w:rsidR="000667DB">
        <w:rPr>
          <w:noProof/>
        </w:rPr>
        <w:t>3</w:t>
      </w:r>
      <w:r w:rsidR="008C26C1">
        <w:fldChar w:fldCharType="end"/>
      </w:r>
      <w:r w:rsidR="008C26C1">
        <w:noBreakHyphen/>
      </w:r>
      <w:r w:rsidR="008C26C1">
        <w:fldChar w:fldCharType="begin"/>
      </w:r>
      <w:r w:rsidR="008C26C1">
        <w:instrText xml:space="preserve"> SEQ Figure \* ARABIC \s 2 </w:instrText>
      </w:r>
      <w:r w:rsidR="008C26C1">
        <w:fldChar w:fldCharType="separate"/>
      </w:r>
      <w:r w:rsidR="000667DB">
        <w:rPr>
          <w:noProof/>
        </w:rPr>
        <w:t>8</w:t>
      </w:r>
      <w:r w:rsidR="008C26C1">
        <w:fldChar w:fldCharType="end"/>
      </w:r>
      <w:bookmarkEnd w:id="136"/>
      <w:r w:rsidRPr="009867C1">
        <w:t>: δ</w:t>
      </w:r>
      <w:r w:rsidRPr="009867C1">
        <w:rPr>
          <w:vertAlign w:val="superscript"/>
        </w:rPr>
        <w:t>15</w:t>
      </w:r>
      <w:r w:rsidRPr="009867C1">
        <w:t>N measures by genus.</w:t>
      </w:r>
      <w:bookmarkEnd w:id="137"/>
    </w:p>
    <w:p w14:paraId="56B74FDA" w14:textId="796ADBDE" w:rsidR="00D80E10" w:rsidRPr="009867C1" w:rsidRDefault="00D80E10" w:rsidP="00D80E10">
      <w:pPr>
        <w:pStyle w:val="Caption"/>
      </w:pPr>
      <w:r w:rsidRPr="009867C1">
        <w:t xml:space="preserve"> Three of the four highest δ</w:t>
      </w:r>
      <w:r w:rsidRPr="009867C1">
        <w:rPr>
          <w:vertAlign w:val="superscript"/>
        </w:rPr>
        <w:t>15</w:t>
      </w:r>
      <w:r w:rsidRPr="009867C1">
        <w:t xml:space="preserve"> values are from known aminophiles – </w:t>
      </w:r>
      <w:r w:rsidRPr="00367D8E">
        <w:rPr>
          <w:i/>
          <w:iCs/>
        </w:rPr>
        <w:t>Cortinarius</w:t>
      </w:r>
      <w:r w:rsidRPr="009867C1">
        <w:t xml:space="preserve">, </w:t>
      </w:r>
      <w:r w:rsidRPr="00367D8E">
        <w:rPr>
          <w:i/>
          <w:iCs/>
        </w:rPr>
        <w:t>Hebeloma</w:t>
      </w:r>
      <w:r w:rsidRPr="009867C1">
        <w:t xml:space="preserve">, and </w:t>
      </w:r>
      <w:r w:rsidRPr="00367D8E">
        <w:rPr>
          <w:i/>
          <w:iCs/>
        </w:rPr>
        <w:t>Laccaria</w:t>
      </w:r>
      <w:r w:rsidRPr="009867C1">
        <w:t>. Most of the sampled fungi were known symbiotrophs.</w:t>
      </w:r>
      <w:bookmarkEnd w:id="138"/>
    </w:p>
    <w:p w14:paraId="3431835C" w14:textId="2EA2CD7B" w:rsidR="00086155" w:rsidRPr="009867C1" w:rsidRDefault="00086155" w:rsidP="00086155">
      <w:pPr>
        <w:pStyle w:val="Heading2"/>
      </w:pPr>
      <w:bookmarkStart w:id="139" w:name="_Toc99385442"/>
      <w:r w:rsidRPr="009867C1">
        <w:rPr>
          <w:rStyle w:val="Heading1Char"/>
        </w:rPr>
        <w:t>Salmon density influences soil fungal microbiome diversity and community composition</w:t>
      </w:r>
      <w:bookmarkEnd w:id="139"/>
      <w:r w:rsidRPr="009867C1">
        <w:rPr>
          <w:rStyle w:val="Heading1Char"/>
        </w:rPr>
        <w:t xml:space="preserve"> </w:t>
      </w:r>
    </w:p>
    <w:p w14:paraId="2CF1B4FF" w14:textId="77777777" w:rsidR="00086155" w:rsidRPr="009867C1" w:rsidRDefault="00086155" w:rsidP="00086155"/>
    <w:p w14:paraId="4FB96C62" w14:textId="77777777" w:rsidR="00086155" w:rsidRPr="009867C1" w:rsidRDefault="00086155" w:rsidP="00086155">
      <w:pPr>
        <w:pStyle w:val="Heading3"/>
        <w:rPr>
          <w:lang w:val="en-CA"/>
        </w:rPr>
      </w:pPr>
      <w:bookmarkStart w:id="140" w:name="_Toc99385443"/>
      <w:r w:rsidRPr="009867C1">
        <w:rPr>
          <w:lang w:val="en-CA"/>
        </w:rPr>
        <w:t>Introduction</w:t>
      </w:r>
      <w:bookmarkEnd w:id="140"/>
    </w:p>
    <w:p w14:paraId="177FCBF6" w14:textId="710E8DC1" w:rsidR="00086155" w:rsidRPr="009867C1" w:rsidRDefault="00086155" w:rsidP="00086155">
      <w:pPr>
        <w:ind w:firstLine="720"/>
      </w:pPr>
      <w:r w:rsidRPr="009867C1">
        <w:t xml:space="preserve">Ecosystem subsidization is the transfer of energy, materials, and information from one ecosystem to another </w:t>
      </w:r>
      <w:r w:rsidRPr="009867C1">
        <w:fldChar w:fldCharType="begin"/>
      </w:r>
      <w:r w:rsidR="00AC0205">
        <w:instrText xml:space="preserve"> ADDIN ZOTERO_ITEM CSL_CITATION {"citationID":"RLaT1Dty","properties":{"formattedCitation":"(Polis et al., 1997)","plainCitation":"(Polis et al., 1997)","noteIndex":0},"citationItems":[{"id":"Mdw2eqP8/DlftxBiT","uris":["http://zotero.org/users/2189142/items/538HU5J2"],"itemData":{"id":834,"type":"article-journal","abstract":"We focus on the implications of movement, landscape variables, and spatial heterogeneity for food web dynamics. Movements of nutrients, detritus, prey, and consumers among habitats are ubiquitous in diverse biomes and can strongly influence population, consumer-resource, food web, and community dynamics. Nutrient and detrital subsidies usually increase primary and secondary productivity, both directly and indirectly. Prey subsidies, by movement of either prey or predators, usually enhance predator abundance beyond what local resources can support. Top-down effects occur when spatially subsidized consumers affect local resources by suppressing key resources and occasionally by initiating trophic cascades. Effects on community dynamics vary with the relative amount of input, the trophic roles of the mobile and recipient entities, and the local food web structure. Landscape variables such as the perimeter/area ratio of the focal habitat, permeability of habitat boundaries, and relative productivity of trophically connected habitats affect the degree and importance of spatial subsidization.","container-title":"Annual Review of Ecology and Systematics","ISSN":"0066-4162","journalAbbreviation":"Annual Review of Ecology and Systematics","page":"289-316","source":"JSTOR","title":"Toward an Integration of Landscape and Food Web Ecology: The Dynamics of Spatially Subsidized Food Webs","title-short":"Toward an Integration of Landscape and Food Web Ecology","volume":"28","author":[{"family":"Polis","given":"Gary A."},{"family":"Anderson","given":"Wendy B."},{"family":"Holt","given":"Robert D."}],"issued":{"date-parts":[["1997",1,1]]}}}],"schema":"https://github.com/citation-style-language/schema/raw/master/csl-citation.json"} </w:instrText>
      </w:r>
      <w:r w:rsidRPr="009867C1">
        <w:fldChar w:fldCharType="separate"/>
      </w:r>
      <w:r w:rsidR="0042141C" w:rsidRPr="009867C1">
        <w:t>(Polis et al., 1997)</w:t>
      </w:r>
      <w:r w:rsidRPr="009867C1">
        <w:fldChar w:fldCharType="end"/>
      </w:r>
      <w:r w:rsidRPr="009867C1">
        <w:t xml:space="preserve"> and commonly affects the productivity, diversity, and species composition of recipient systems </w:t>
      </w:r>
      <w:r w:rsidRPr="009867C1">
        <w:fldChar w:fldCharType="begin"/>
      </w:r>
      <w:r w:rsidR="00AC0205">
        <w:instrText xml:space="preserve"> ADDIN ZOTERO_ITEM CSL_CITATION {"citationID":"Sl080PHk","properties":{"formattedCitation":"(S. F. Collins &amp; Baxter, 2020)","plainCitation":"(S. F. Collins &amp; Baxter, 2020)","noteIndex":0},"citationItems":[{"id":2261,"uris":["http://zotero.org/users/2189142/items/U6VLQAHH"],"itemData":{"id":2261,"type":"chapter","abstract":"Pervasive environmental degradation has altered biodiversity at a global scale. At smaller scales, species extirpations, invasions, and replacements have greatly influenced how ecosystems function and interact by affecting the exchanges of energy, materials, and organisms. In this chapter, we examine how a variety of environmental stressors, and associated species losses and gains, change the exchange of resources (materials or organisms) within and among ecosystems. We specifically consider how changes that occur within an ecosystem may trigger effects that reverberate (e.g., directly, indirectly, and via feedbacks) back and forth across ecological boundaries and propagate to other ecosystems connected via exchanges of materials and organisms. Our synthesis provides cursory overviews of ecosystem “openness” as it has been addressed by community ecologists and the conceptual development of ecological frameworks used to examine resource exchanges between ecosystems. We then describe four case studies and examine how species losses and gains affect food web structure via resource exchanges between ecosystems, with particular emphasis on effects spanning land-water boundaries. Finally, we discuss the need for more complex conceptual treatment of the interconnectedness of food webs among ecosystems.","container-title":"Contaminants and Ecological Subsidies: The Land-Water Interface","event-place":"Cham","ISBN":"978-3-030-49480-3","language":"en","note":"DOI: 10.1007/978-3-030-49480-3_8","page":"157-176","publisher":"Springer International Publishing","publisher-place":"Cham","source":"Springer Link","title":"Beyond “Donors and Recipients”: Impacts of Species Gains and Losses Reverberate Among Ecosystems Due to Changes in Resource Subsidies","title-short":"Beyond “Donors and Recipients”","URL":"https://doi.org/10.1007/978-3-030-49480-3_8","author":[{"family":"Collins","given":"Scott F."},{"family":"Baxter","given":"Colden V."}],"editor":[{"family":"Kraus","given":"Johanna M."},{"family":"Walters","given":"David M."},{"family":"Mills","given":"Marc A."}],"accessed":{"date-parts":[["2020",12,4]]},"issued":{"date-parts":[["2020"]]},"citation-key":"collins_2020a"}}],"schema":"https://github.com/citation-style-language/schema/raw/master/csl-citation.json"} </w:instrText>
      </w:r>
      <w:r w:rsidRPr="009867C1">
        <w:fldChar w:fldCharType="separate"/>
      </w:r>
      <w:r w:rsidR="0042141C" w:rsidRPr="009867C1">
        <w:t>(S. F. Collins &amp; Baxter, 2020)</w:t>
      </w:r>
      <w:r w:rsidRPr="009867C1">
        <w:fldChar w:fldCharType="end"/>
      </w:r>
      <w:r w:rsidRPr="009867C1">
        <w:t xml:space="preserve">. The mechanisms of these impacts are reflected in theoretical considerations of subsidy theory, which often invokes the alleviation of resource limitation as a mechanism to predict ecosystem responses. Increased nutrient availability increases system productivity due to higher resource levels but can also lower diversity due to constriction and simplification of multivariate niche space </w:t>
      </w:r>
      <w:r w:rsidRPr="009867C1">
        <w:fldChar w:fldCharType="begin"/>
      </w:r>
      <w:r w:rsidR="00AC0205">
        <w:instrText xml:space="preserve"> ADDIN ZOTERO_ITEM CSL_CITATION {"citationID":"6TWxVwae","properties":{"formattedCitation":"(Leroux &amp; Loreau, 2008)","plainCitation":"(Leroux &amp; Loreau, 2008)","noteIndex":0},"citationItems":[{"id":618,"uris":["http://zotero.org/users/2189142/items/ID4MPAP3"],"itemData":{"id":618,"type":"article-journal","abstract":"Ecosystems are differentially open to subsidies of energy, material and organisms. This fundamental ecosystem attribute has long been recognized but the influence of this property on community regulation has not been investigated. We propose that this environmental attribute may explain variation in the strength of trophic cascades among ecosystems. Simply because of gravity, we should predict that systems with convex profiles receive low amounts of subsidies whereas systems with concave profiles act as spatial attractors, and receive high amounts of subsidies. The subsidy hypothesis states that ecosystems with high amounts of allochthonous inputs will experience the strongest trophic cascades. To test this hypothesis, we derive ecosystem models and investigate the effect of location and magnitude of subsidies on the strength of trophic cascades. Predictions from our models support the subsidy hypothesis and highlight the need to consider ecosystems as open to allochthonous flows.","container-title":"Ecology Letters","DOI":"10.1111/j.1461-0248.2008.01235.x","ISSN":"1461-0248","issue":"11","language":"en","page":"1147-1156","source":"Wiley Online Library","title":"Subsidy hypothesis and strength of trophic cascades across ecosystems","volume":"11","author":[{"family":"Leroux","given":"Shawn J."},{"family":"Loreau","given":"Michel"}],"issued":{"date-parts":[["2008",11,1]]},"citation-key":"leroux_2008"}}],"schema":"https://github.com/citation-style-language/schema/raw/master/csl-citation.json"} </w:instrText>
      </w:r>
      <w:r w:rsidRPr="009867C1">
        <w:fldChar w:fldCharType="separate"/>
      </w:r>
      <w:r w:rsidR="0042141C" w:rsidRPr="009867C1">
        <w:t>(Leroux &amp; Loreau, 2008)</w:t>
      </w:r>
      <w:r w:rsidRPr="009867C1">
        <w:fldChar w:fldCharType="end"/>
      </w:r>
      <w:r w:rsidRPr="009867C1">
        <w:t xml:space="preserve">. In real-world systems, as nutrients are processed through biotic and abiotic pathways, the net effects of subsidization are emergent properties of the biology and natural history of the organisms involved; thus subsidies depend on both the ecological context of the recipient system and the quantity, quality, timing, and duration of inputs </w:t>
      </w:r>
      <w:r w:rsidRPr="009867C1">
        <w:fldChar w:fldCharType="begin"/>
      </w:r>
      <w:r w:rsidR="00AC0205">
        <w:instrText xml:space="preserve"> ADDIN ZOTERO_ITEM CSL_CITATION {"citationID":"jq2aR0nq","properties":{"formattedCitation":"(Subalusky &amp; Post, 2019)","plainCitation":"(Subalusky &amp; Post, 2019)","noteIndex":0},"citationItems":[{"id":2194,"uris":["http://zotero.org/users/2189142/items/S2HZDVSD"],"itemData":{"id":2194,"type":"article-journal","abstract":"The transport of resource subsidies by animals has been documented across a range of species and ecosystems. Although many of these studies have shown that animal resource subsidies can have significant effects on nutrient cycling, ecosystem productivity, and food-web structure, there is a great deal of variability in the occurrence and strength of these effects. Here we propose a conceptual framework for understanding the context dependency of animal resource subsidies, and for developing and testing predictions about the effects of animal subsidies over space and time. We propose a general framework, in which abiotic characteristics and animal vector characteristics from the donor ecosystem interact to determine the quantity, quality, timing, and duration (QQTD) of an animal input. The animal input is translated through the lens of recipient ecosystem characteristics, which include both abiotic and consumer characteristics, to yield the QQTD of the subsidy. The translated subsidy influences recipient ecosystem dynamics through effects on both trophic structure and ecosystem function, which may both influence the recipient ecosystem's response to further inputs and feed back to influence the donor ecosystem. We present a review of research on animal resource subsidies across ecosystem boundaries, placed within the context of this framework, and we discuss how the QQTD of resource subsidies can influence trophic structure and ecosystem function in recipient ecosystems. We explore the importance of understanding context dependency of animal resource subsidies in increasingly altered ecosystems, in which the characteristics of both animal vectors and donor and recipient ecosystems may be changing rapidly. Finally, we make recommendations for future research on animal resource subsidies, and resource subsidies in general, that will increase our understanding and predictive capacity about their ecosystem effects.","container-title":"Biological Reviews","DOI":"https://doi.org/10.1111/brv.12465","ISSN":"1469-185X","issue":"2","language":"en","note":"_eprint: https://onlinelibrary.wiley.com/doi/pdf/10.1111/brv.12465","page":"517-538","source":"Wiley Online Library","title":"Context dependency of animal resource subsidies","volume":"94","author":[{"family":"Subalusky","given":"Amanda L."},{"family":"Post","given":"David M."}],"issued":{"date-parts":[["2019"]]},"citation-key":"subalusky_2019"}}],"schema":"https://github.com/citation-style-language/schema/raw/master/csl-citation.json"} </w:instrText>
      </w:r>
      <w:r w:rsidRPr="009867C1">
        <w:fldChar w:fldCharType="separate"/>
      </w:r>
      <w:r w:rsidR="0042141C" w:rsidRPr="009867C1">
        <w:t>(Subalusky &amp; Post, 2019)</w:t>
      </w:r>
      <w:r w:rsidRPr="009867C1">
        <w:fldChar w:fldCharType="end"/>
      </w:r>
      <w:r w:rsidRPr="009867C1">
        <w:t>.</w:t>
      </w:r>
    </w:p>
    <w:p w14:paraId="1CC06679" w14:textId="770574A9" w:rsidR="00086155" w:rsidRPr="009867C1" w:rsidRDefault="00086155" w:rsidP="00086155">
      <w:pPr>
        <w:ind w:firstLine="720"/>
      </w:pPr>
      <w:r w:rsidRPr="009867C1">
        <w:t>An important system in framing ecosystem subsidy research has been the effects of Pacific salmon (</w:t>
      </w:r>
      <w:r w:rsidRPr="009867C1">
        <w:rPr>
          <w:i/>
        </w:rPr>
        <w:t xml:space="preserve">Oncorhynchus </w:t>
      </w:r>
      <w:r w:rsidRPr="00A25309">
        <w:rPr>
          <w:iCs/>
        </w:rPr>
        <w:t>sp.</w:t>
      </w:r>
      <w:r w:rsidRPr="009867C1">
        <w:t xml:space="preserve">) migration on riparian systems </w:t>
      </w:r>
      <w:r w:rsidRPr="009867C1">
        <w:fldChar w:fldCharType="begin"/>
      </w:r>
      <w:r w:rsidR="00AC0205">
        <w:instrText xml:space="preserve"> ADDIN ZOTERO_ITEM CSL_CITATION {"citationID":"RRbLizfS","properties":{"formattedCitation":"(J. C. Walsh, Pendray, et al., 2020)","plainCitation":"(J. C. Walsh, Pendray, et al., 2020)","noteIndex":0},"citationItems":[{"id":2334,"uris":["http://zotero.org/users/2189142/items/PK5JHV8R"],"itemData":{"id":2334,"type":"article-journal","abstract":"Pacific salmon influence temperate terrestrial and freshwater ecosystems through the dispersal of marine-derived nutrients and ecosystem engineering of stream beds when spawning. They also support large fisheries, particularly along the west coast of North America. We provide a comprehensive synthesis of relationships between the densities of Pacific salmon and terrestrial and aquatic ecosystems, summarize the direction, shape, and magnitude of these relationships, and identify possible ecosystem-based management indicators and benchmarks. We found 31 studies that provided 172 relationships between salmon density (or salmon abundance) and species abundance, species diversity, food provisioning, individual growth, concentration of marine-derived isotopes, nutrient enhancement, phenology, and several other ecological responses. The most common published relationship was between salmon density and marine-derived isotopes (40%), whereas very few relationships quantified ecosystem-level responses (5%). Only 13% of all relationships tended to reach an asymptote (i.e., a saturating response) as salmon densities increased. The number of salmon killed by bears and the change in biomass of different stream invertebrate taxa between spawning and nonspawning seasons were relationships that usually reached saturation. Approximately 46% of all relationships were best described with linear or curved nonasymptotic models, indicating a lack of saturation. In contrast, 41% of data sets showed no relationship with salmon density or abundance, including many of the relationships with stream invertebrate and biofilm biomass density, marine-derived isotope concentrations, or vegetation density. Bears required the highest densities of salmon to reach their maximum observed food consumption (i.e., 9.2 kg/m2 to reach the 90% threshold of the relationship’s asymptote), followed by freshwater fish abundance (90% threshold = 7.3 kg/m2 of salmon). Although the effects of salmon density on ecosystems are highly varied, it appears that several of these relationships, such as bear food consumption, could be used to develop indicators and benchmarks for ecosystem-based fisheries management.","container-title":"Ecology","DOI":"https://doi.org/10.1002/ecy.3060","ISSN":"1939-9170","issue":"9","language":"en","note":"_eprint: https://esajournals.onlinelibrary.wiley.com/doi/pdf/10.1002/ecy.3060","page":"e03060","source":"Wiley Online Library","title":"Relationships between Pacific salmon and aquatic and terrestrial ecosystems: implications for ecosystem-based management","title-short":"Relationships between Pacific salmon and aquatic and terrestrial ecosystems","volume":"101","author":[{"family":"Walsh","given":"Jessica C."},{"family":"Pendray","given":"Jane E."},{"family":"Godwin","given":"Sean C."},{"family":"Artelle","given":"Kyle A."},{"family":"Kindsvater","given":"Holly K."},{"family":"Field","given":"Rachel D."},{"family":"Harding","given":"Jennifer N."},{"family":"Swain","given":"Noel R."},{"family":"Reynolds","given":"John D."}],"issued":{"date-parts":[["2020"]]},"citation-key":"walsh_2020b"}}],"schema":"https://github.com/citation-style-language/schema/raw/master/csl-citation.json"} </w:instrText>
      </w:r>
      <w:r w:rsidRPr="009867C1">
        <w:fldChar w:fldCharType="separate"/>
      </w:r>
      <w:r w:rsidR="0042141C" w:rsidRPr="009867C1">
        <w:t>(J. C. Walsh, Pendray, et al., 2020)</w:t>
      </w:r>
      <w:r w:rsidRPr="009867C1">
        <w:fldChar w:fldCharType="end"/>
      </w:r>
      <w:r w:rsidRPr="009867C1">
        <w:t xml:space="preserve">. Every year salmon return to their natal streams to spawn and die, </w:t>
      </w:r>
      <w:r w:rsidR="00C634A8">
        <w:t xml:space="preserve">and </w:t>
      </w:r>
      <w:r w:rsidRPr="009867C1">
        <w:t>their return is attended to by terrestrial and aquatic animals, which consume, transform, and distribute the nutrients contained in salmon flesh throughout the riparian zone. These ‘marine-derived nutrients’ (MDN) include additions of nitrogen, phosphorus, calcium, and other elements to the ecosystem (</w:t>
      </w:r>
      <w:r w:rsidR="00C634A8" w:rsidRPr="00C634A8">
        <w:t>C</w:t>
      </w:r>
      <w:r w:rsidRPr="00C634A8">
        <w:t>hapter 2</w:t>
      </w:r>
      <w:r w:rsidRPr="009867C1">
        <w:t xml:space="preserve">), and have been shown to affect plant </w:t>
      </w:r>
      <w:r w:rsidRPr="009867C1">
        <w:fldChar w:fldCharType="begin"/>
      </w:r>
      <w:r w:rsidR="00AC0205">
        <w:instrText xml:space="preserve"> ADDIN ZOTERO_ITEM CSL_CITATION {"citationID":"1LSxuPm2","properties":{"formattedCitation":"(Hocking &amp; Reynolds, 2011)","plainCitation":"(Hocking &amp; Reynolds, 2011)","noteIndex":0},"citationItems":[{"id":550,"uris":["http://zotero.org/users/2189142/items/JR362H46"],"itemData":{"id":550,"type":"article-journal","abstract":"The study of natural gradients in nutrient subsidies between ecosystems allows for predictions of how changes in one system can affect biodiversity in another. We performed a large-scale empirical test of the role of Pacific salmon (Oncorhynchus spp.) in structuring riparian plant communities. A comparison of 50 watersheds in the remote Great Bear Rainforest of British Columbia’s central coast in Canada shows that salmon influence nutrient loading to plants, shifting plant communities toward nutrient-rich species, which in turn decreases plant diversity. These effects are mediated by interactions between salmon density and the physical characteristics of watersheds. Predicting how salmon affect terrestrial ecosystems is central to conservation plans that aim to better integrate ecosystem values into resource management.","container-title":"Science","DOI":"10.1126/science.1201079","ISSN":"0036-8075, 1095-9203","issue":"6024","journalAbbreviation":"Science","language":"en","note":"PMID: 21442794","page":"1609-1612","source":"www.sciencemag.org.ezproxy.library.ubc.ca","title":"Impacts of Salmon on Riparian Plant Diversity","volume":"331","author":[{"family":"Hocking","given":"Morgan D."},{"family":"Reynolds","given":"John D."}],"issued":{"date-parts":[["2011",3,25]]},"citation-key":"hocking_2011"}}],"schema":"https://github.com/citation-style-language/schema/raw/master/csl-citation.json"} </w:instrText>
      </w:r>
      <w:r w:rsidRPr="009867C1">
        <w:fldChar w:fldCharType="separate"/>
      </w:r>
      <w:r w:rsidR="0042141C" w:rsidRPr="009867C1">
        <w:t>(Hocking &amp; Reynolds, 2011)</w:t>
      </w:r>
      <w:r w:rsidRPr="009867C1">
        <w:fldChar w:fldCharType="end"/>
      </w:r>
      <w:r w:rsidRPr="009867C1">
        <w:t xml:space="preserve"> and animal </w:t>
      </w:r>
      <w:r w:rsidRPr="009867C1">
        <w:fldChar w:fldCharType="begin"/>
      </w:r>
      <w:r w:rsidR="00AC0205">
        <w:instrText xml:space="preserve"> ADDIN ZOTERO_ITEM CSL_CITATION {"citationID":"kXmZMG4g","properties":{"formattedCitation":"(Wagner &amp; Reynolds, 2019)","plainCitation":"(Wagner &amp; Reynolds, 2019)","noteIndex":0},"citationItems":[{"id":1850,"uris":["http://zotero.org/users/2189142/items/AHUMBHEI"],"itemData":{"id":1850,"type":"article-journal","abstract":"Resource subsidies across ecosystems can have strong and unforeseen ecological impacts. Marine-derived nutrients from Pacific salmon (Onchorhycus spp.) can be transferred to streams and riparian forests through diverse food web pathways, fertilizing forests and increasing invertebrate abundance, which may in turn affect breeding birds. We quantified the influence of salmon on the abundance and composition of songbird communities across a wide range of salmon-spawning biomass on 14 streams along a remote coastal region of British Columbia, Canada. Point-count data spanning two years were combined with salmon biomass and 13 environmental covariates in riparian forests to test for correlates with bird abundance, foraging guilds, individual species, and avian diversity. We show that bird abundance and diversity increase with salmon biomass and that watershed size and forest composition are less important predictors. This work provides new evidence for the importance of salmon to terrestrial ecosystems and information that can inform ecosystem-based management.","container-title":"PLOS ONE","DOI":"10.1371/journal.pone.0210031","ISSN":"1932-6203","issue":"2","journalAbbreviation":"PLOS ONE","language":"en","page":"e0210031","source":"PLoS Journals","title":"Salmon increase forest bird abundance and diversity","volume":"14","author":[{"family":"Wagner","given":"Marlene A."},{"family":"Reynolds","given":"John D."}],"issued":{"date-parts":[["2019",2,6]]},"citation-key":"wagner_2019"}}],"schema":"https://github.com/citation-style-language/schema/raw/master/csl-citation.json"} </w:instrText>
      </w:r>
      <w:r w:rsidRPr="009867C1">
        <w:fldChar w:fldCharType="separate"/>
      </w:r>
      <w:r w:rsidR="0042141C" w:rsidRPr="009867C1">
        <w:t>(Wagner &amp; Reynolds, 2019)</w:t>
      </w:r>
      <w:r w:rsidRPr="009867C1">
        <w:fldChar w:fldCharType="end"/>
      </w:r>
      <w:r w:rsidRPr="009867C1">
        <w:t xml:space="preserve"> communities. The results of these effects have been shown to be system- and taxa-dependent. For example, inside lakes and streams, benthic invertebrate community diversity decreased and composition changed with salmon </w:t>
      </w:r>
      <w:r w:rsidRPr="009867C1">
        <w:fldChar w:fldCharType="begin"/>
      </w:r>
      <w:r w:rsidR="00AC0205">
        <w:instrText xml:space="preserve"> ADDIN ZOTERO_ITEM CSL_CITATION {"citationID":"o6lqPT2D","properties":{"formattedCitation":"(E. Y. Campbell et al., 2011; Stewart et al., 2019)","plainCitation":"(E. Y. Campbell et al., 2011; Stewart et al., 2019)","noteIndex":0},"citationItems":[{"id":2264,"uris":["http://zotero.org/users/2189142/items/UIAM4KZZ"],"itemData":{"id":2264,"type":"article-journal","container-title":"Journal of the North American Benthological Society","issue":"1","note":"publisher: The University of Chicago Press","page":"49–59","source":"Google Scholar","title":"Timber harvest intensifies spawning-salmon disturbance of macroinvertebrates in southeastern Alaskan streams","volume":"30","author":[{"family":"Campbell","given":"Emily Y."},{"family":"Benbow","given":"M. Eric"},{"family":"Tiegs","given":"Scott D."},{"family":"Hudson","given":"John P."},{"family":"Lamberti","given":"Gary A."},{"family":"Merritt","given":"Richard W."}],"issued":{"date-parts":[["2011"]]},"citation-key":"campbell_2011"}},{"id":2262,"uris":["http://zotero.org/users/2189142/items/2HMMLFWU"],"itemData":{"id":2262,"type":"article-journal","source":"Google Scholar","title":"Long-Term Effects of Salmon Subsidies on Terrestrial and Freshwater Invertebrate Communities","author":[{"family":"Stewart","given":"Jordan"},{"family":"Cichowski","given":"Ela"},{"family":"Vanwieren","given":"Connor"},{"family":"Spence","given":"Paul"},{"family":"Wilcox","given":"Kirsten"},{"family":"Davidson","given":"Lindsay"}],"issued":{"date-parts":[["2019"]]},"citation-key":"stewart_2019"}}],"schema":"https://github.com/citation-style-language/schema/raw/master/csl-citation.json"} </w:instrText>
      </w:r>
      <w:r w:rsidRPr="009867C1">
        <w:fldChar w:fldCharType="separate"/>
      </w:r>
      <w:r w:rsidR="0042141C" w:rsidRPr="009867C1">
        <w:t>(E. Y. Campbell et al., 2011; Stewart et al., 2019)</w:t>
      </w:r>
      <w:r w:rsidRPr="009867C1">
        <w:fldChar w:fldCharType="end"/>
      </w:r>
      <w:r w:rsidRPr="009867C1">
        <w:t xml:space="preserve">, while terrestrial insects showed mixed responses </w:t>
      </w:r>
      <w:r w:rsidRPr="009867C1">
        <w:fldChar w:fldCharType="begin"/>
      </w:r>
      <w:r w:rsidR="00AC0205">
        <w:instrText xml:space="preserve"> ADDIN ZOTERO_ITEM CSL_CITATION {"citationID":"hJlvT9Mh","properties":{"formattedCitation":"(Stewart et al., 2019)","plainCitation":"(Stewart et al., 2019)","noteIndex":0},"citationItems":[{"id":2262,"uris":["http://zotero.org/users/2189142/items/2HMMLFWU"],"itemData":{"id":2262,"type":"article-journal","source":"Google Scholar","title":"Long-Term Effects of Salmon Subsidies on Terrestrial and Freshwater Invertebrate Communities","author":[{"family":"Stewart","given":"Jordan"},{"family":"Cichowski","given":"Ela"},{"family":"Vanwieren","given":"Connor"},{"family":"Spence","given":"Paul"},{"family":"Wilcox","given":"Kirsten"},{"family":"Davidson","given":"Lindsay"}],"issued":{"date-parts":[["2019"]]},"citation-key":"stewart_2019"}}],"schema":"https://github.com/citation-style-language/schema/raw/master/csl-citation.json"} </w:instrText>
      </w:r>
      <w:r w:rsidRPr="009867C1">
        <w:fldChar w:fldCharType="separate"/>
      </w:r>
      <w:r w:rsidR="0042141C" w:rsidRPr="009867C1">
        <w:t>(Stewart et al., 2019)</w:t>
      </w:r>
      <w:r w:rsidRPr="009867C1">
        <w:fldChar w:fldCharType="end"/>
      </w:r>
      <w:r w:rsidRPr="009867C1">
        <w:t xml:space="preserve">. Plant diversity generally decreases along salmon density gradients, and assemblages shift to nitrophyllic and more phylogenetically dispersed communities </w:t>
      </w:r>
      <w:r w:rsidRPr="009867C1">
        <w:fldChar w:fldCharType="begin"/>
      </w:r>
      <w:r w:rsidR="00AC0205">
        <w:instrText xml:space="preserve"> ADDIN ZOTERO_ITEM CSL_CITATION {"citationID":"U2G7LddY","properties":{"formattedCitation":"(Hocking &amp; Reynolds, 2011; Hurteau et al., 2016)","plainCitation":"(Hocking &amp; Reynolds, 2011; Hurteau et al., 2016)","noteIndex":0},"citationItems":[{"id":550,"uris":["http://zotero.org/users/2189142/items/JR362H46"],"itemData":{"id":550,"type":"article-journal","abstract":"The study of natural gradients in nutrient subsidies between ecosystems allows for predictions of how changes in one system can affect biodiversity in another. We performed a large-scale empirical test of the role of Pacific salmon (Oncorhynchus spp.) in structuring riparian plant communities. A comparison of 50 watersheds in the remote Great Bear Rainforest of British Columbia’s central coast in Canada shows that salmon influence nutrient loading to plants, shifting plant communities toward nutrient-rich species, which in turn decreases plant diversity. These effects are mediated by interactions between salmon density and the physical characteristics of watersheds. Predicting how salmon affect terrestrial ecosystems is central to conservation plans that aim to better integrate ecosystem values into resource management.","container-title":"Science","DOI":"10.1126/science.1201079","ISSN":"0036-8075, 1095-9203","issue":"6024","journalAbbreviation":"Science","language":"en","note":"PMID: 21442794","page":"1609-1612","source":"www.sciencemag.org.ezproxy.library.ubc.ca","title":"Impacts of Salmon on Riparian Plant Diversity","volume":"331","author":[{"family":"Hocking","given":"Morgan D."},{"family":"Reynolds","given":"John D."}],"issued":{"date-parts":[["2011",3,25]]},"citation-key":"hocking_2011"}},{"id":798,"uris":["http://zotero.org/users/2189142/items/PERQ85X5"],"itemData":{"id":798,"type":"article-journal","abstract":"A signature of nonrandom phylogenetic community structure has been interpreted as indicating community assembly processes. Significant clustering within the phylogenetic structure of a community can be caused by habitat filtering due to low nutrient availability. Nutrient limitation in temperate Pacific coastal rainforests can be alleviated to some extent by marine nutrient subsidies introduced by migrating salmon, which leave a quantitative signature on the makeup of plant communities near spawning streams. Thus, nutrient-mediated habitat filtering could be reduced by salmon nutrients. Here, we ask how salmon abundance affects the phylogenetic structure of riparian flowering plant assemblages across 50 watersheds in the Great Bear Rainforest of British Columbia, Canada. Based on a regional pool of 60 plant species, we found that assemblages become more phylogenetically dispersed and species poor adjacent to streams with higher salmon spawning density. In contrast, increased phylogenetic clumping and species richness was seen in sites with low salmon density, with steeper slopes, further from the stream edge, and within smaller watersheds. These observations are all consistent with abiotic habitat filtering and biotic competitive exclusion acting together across local and landscape-scale gradients in nutrient availability to structure assembly of riparian flowering plants. In this case, rich salmon nutrients appear to release riparian flowering-plant assemblages from the confines of a low-nutrient habitat filter that drives phylogenetic clustering.","container-title":"Ecology","DOI":"10.1890/15-0379.1","ISSN":"1939-9170","issue":"2","journalAbbreviation":"Ecology","language":"en","page":"450-460","source":"Wiley Online Library","title":"Salmon nutrients are associated with the phylogenetic dispersion of riparian flowering-plant assemblages","volume":"97","author":[{"family":"Hurteau","given":"Leslie A."},{"family":"Mooers","given":"Arne Ø."},{"family":"Reynolds","given":"John D."},{"family":"Hocking","given":"Morgan D."}],"issued":{"date-parts":[["2016",2,1]]},"citation-key":"hurteau_2016"}}],"schema":"https://github.com/citation-style-language/schema/raw/master/csl-citation.json"} </w:instrText>
      </w:r>
      <w:r w:rsidRPr="009867C1">
        <w:fldChar w:fldCharType="separate"/>
      </w:r>
      <w:r w:rsidR="0042141C" w:rsidRPr="009867C1">
        <w:t>(Hocking &amp; Reynolds, 2011; Hurteau et al., 2016)</w:t>
      </w:r>
      <w:r w:rsidRPr="009867C1">
        <w:fldChar w:fldCharType="end"/>
      </w:r>
      <w:r w:rsidRPr="009867C1">
        <w:t xml:space="preserve">. Bird density and diversity on the other hand increased at these sites </w:t>
      </w:r>
      <w:r w:rsidRPr="009867C1">
        <w:fldChar w:fldCharType="begin"/>
      </w:r>
      <w:r w:rsidR="00AC0205">
        <w:instrText xml:space="preserve"> ADDIN ZOTERO_ITEM CSL_CITATION {"citationID":"o4muzMSt","properties":{"formattedCitation":"(Field &amp; Reynolds, 2011; Wagner &amp; Reynolds, 2019)","plainCitation":"(Field &amp; Reynolds, 2011; Wagner &amp; Reynolds, 2019)","noteIndex":0},"citationItems":[{"id":644,"uris":["http://zotero.org/users/2189142/items/M3PFRW74"],"itemData":{"id":644,"type":"article-journal","abstract":"Pacific salmon (Oncorhynchus spp.) returning to streams around the North Pacific Rim provide a nutrient subsidy to these ecosystems. While many species of animals feed directly on salmon carcasses each autumn, salmon-derived nutrients can also be stored in coastal habitats throughout the year. The effects of this storage legacy on vertebrates in other seasons are not well understood, especially in estuaries, which can receive a large portion of post-spawning salmon nutrients. We examine the effects of residual salmon-derived nutrients, forest habitats and landscape features on summer breeding birds in estuary forests. We compared models containing environmental variables and combined chum (Oncorhynchus keta) and pink (Oncorhynchus gorbuscha) salmon biomass to test predictions concerning bird density and diversity. We discovered that total bird, insectivore, golden-crowned kinglet and Pacific wren densities and Shannon's diversity in the summer were strongly predicted by salmon biomass in the autumn. For most metrics, this relationship approaches an asymptote beyond 40 000 kg of salmon biomass. Foliage height diversity, watershed catchment area and estuary area were also important predictors of avian communities. Our study suggests that the legacy of salmon nutrients influences breeding bird density and diversity in estuaries that vary across a wide gradient of spawning salmon biomass.","container-title":"Proceedings of the Royal Society of London B: Biological Sciences","DOI":"10.1098/rspb.2010.2731","ISSN":"0962-8452, 1471-2954","issue":"1721","language":"en","note":"PMID: 21325324","page":"3081-3088","source":"rspb.royalsocietypublishing.org.ezproxy.library.ubc.ca","title":"Sea to sky: impacts of residual salmon-derived nutrients on estuarine breeding bird communities","title-short":"Sea to sky","volume":"278","author":[{"family":"Field","given":"Rachel D."},{"family":"Reynolds","given":"John D."}],"issued":{"date-parts":[["2011",10,22]]},"citation-key":"field_2011"}},{"id":1850,"uris":["http://zotero.org/users/2189142/items/AHUMBHEI"],"itemData":{"id":1850,"type":"article-journal","abstract":"Resource subsidies across ecosystems can have strong and unforeseen ecological impacts. Marine-derived nutrients from Pacific salmon (Onchorhycus spp.) can be transferred to streams and riparian forests through diverse food web pathways, fertilizing forests and increasing invertebrate abundance, which may in turn affect breeding birds. We quantified the influence of salmon on the abundance and composition of songbird communities across a wide range of salmon-spawning biomass on 14 streams along a remote coastal region of British Columbia, Canada. Point-count data spanning two years were combined with salmon biomass and 13 environmental covariates in riparian forests to test for correlates with bird abundance, foraging guilds, individual species, and avian diversity. We show that bird abundance and diversity increase with salmon biomass and that watershed size and forest composition are less important predictors. This work provides new evidence for the importance of salmon to terrestrial ecosystems and information that can inform ecosystem-based management.","container-title":"PLOS ONE","DOI":"10.1371/journal.pone.0210031","ISSN":"1932-6203","issue":"2","journalAbbreviation":"PLOS ONE","language":"en","page":"e0210031","source":"PLoS Journals","title":"Salmon increase forest bird abundance and diversity","volume":"14","author":[{"family":"Wagner","given":"Marlene A."},{"family":"Reynolds","given":"John D."}],"issued":{"date-parts":[["2019",2,6]]},"citation-key":"wagner_2019"}}],"schema":"https://github.com/citation-style-language/schema/raw/master/csl-citation.json"} </w:instrText>
      </w:r>
      <w:r w:rsidRPr="009867C1">
        <w:fldChar w:fldCharType="separate"/>
      </w:r>
      <w:r w:rsidR="0042141C" w:rsidRPr="009867C1">
        <w:t>(Field &amp; Reynolds, 2011; Wagner &amp; Reynolds, 2019)</w:t>
      </w:r>
      <w:r w:rsidRPr="009867C1">
        <w:fldChar w:fldCharType="end"/>
      </w:r>
      <w:r w:rsidRPr="009867C1">
        <w:t xml:space="preserve">.  In an explicit investigation of trophic cascades in Alaska, mice and vole diets were shown to change with salmon-attracting bears, who distributed seeds in their scat </w:t>
      </w:r>
      <w:r w:rsidRPr="009867C1">
        <w:fldChar w:fldCharType="begin"/>
      </w:r>
      <w:r w:rsidR="00AC0205">
        <w:instrText xml:space="preserve"> ADDIN ZOTERO_ITEM CSL_CITATION {"citationID":"PxRLj5Ob","properties":{"formattedCitation":"(Shakeri et al., 2018)","plainCitation":"(Shakeri et al., 2018)","noteIndex":0},"citationItems":[{"id":2258,"uris":["http://zotero.org/users/2189142/items/IQN3Q4LQ"],"itemData":{"id":2258,"type":"article-journal","abstract":"In salmon-rich environments, which once spanned much of the Northern Hemisphere, bears occur at exceptionally high densities. Salmon, by growing bear populations, have the potential to exert wide-ranging effects on ecosystem processes. Salmon-supported bears provide seed dispersal services to plants, and bear scats containing thousands of seeds may then be efficient nutritional resources for granivorous small mammals that also function as secondary seed dispersers while hoarding seeds for winter. We taxonomically identified and enumerated seeds in individual bear scats to characterize patterns of bear frugivory. We then combined estimates of seed abundance and digestible energy content to quantify the energy available to granivorous small mammals, and we quantified the proportion of the mouse population that could be supported by locally abundant bear populations in lowland salmon systems. We additionally monitored seed-filled bear scats with remote cameras to quantify small mammal visitation rates, and live-trapped small mammals seasonally to determine whether rodents visited bear scats proportional to their densities or whether some species preferentially selected for bear scats, and to assess whether seasonal variation in scat visitation was driven by density or selection. Bears were an important initial dispersal agent for 12 species of fruit, particularly devil's club (Oplopanax horridus) and blueberry (Vaccinium spp.), which occurred in 80% (5839 seeds/scat) and 50% (10,719 seeds/scat) of scats, respectively. Seeds in bear scats were intensively utilized and dispersed by small mammals, primarily scatter-hoarding northwestern deer mice (Peromyscus keeni; 8.5 visits per day/4295 total visits) and larder-hoarding northern red-backed voles (Myodes rutilus; 2.2 visits per day/1099 total visits), with visitation rates proportional to the seasonal density of each species. Small mammals likely incurred significant nutritional benefits from seeds deposited in bear scats (kcal/scat, mean = 114, n = 71). In coastal Alaska riparian areas, bears are potentially capable of indirectly subsidizing the energy needs of 45–65% of local deer mouse populations. Thus, this work helps elucidate the role that salmon, by supporting abundant bears, plays in ecological communities via influencing seed dispersal and resource subsidies to the small mammals that compose the base of the food web.","container-title":"Ecosphere","DOI":"https://doi.org/10.1002/ecs2.2297","ISSN":"2150-8925","issue":"6","language":"en","note":"_eprint: https://onlinelibrary.wiley.com/doi/pdf/10.1002/ecs2.2297","page":"e02297","source":"Wiley Online Library","title":"Salmon-supported bears, seed dispersal, and extensive resource subsidies to granivores","volume":"9","author":[{"family":"Shakeri","given":"Yasaman N."},{"family":"White","given":"Kevin S."},{"family":"Levi","given":"Taal"}],"issued":{"date-parts":[["2018"]]},"citation-key":"shakeri_2018"}}],"schema":"https://github.com/citation-style-language/schema/raw/master/csl-citation.json"} </w:instrText>
      </w:r>
      <w:r w:rsidRPr="009867C1">
        <w:fldChar w:fldCharType="separate"/>
      </w:r>
      <w:r w:rsidR="0042141C" w:rsidRPr="009867C1">
        <w:t>(Shakeri et al., 2018)</w:t>
      </w:r>
      <w:r w:rsidRPr="009867C1">
        <w:fldChar w:fldCharType="end"/>
      </w:r>
      <w:r w:rsidRPr="009867C1">
        <w:t xml:space="preserve">. Productivity investigations show higher plant growth </w:t>
      </w:r>
      <w:r w:rsidRPr="009867C1">
        <w:fldChar w:fldCharType="begin"/>
      </w:r>
      <w:r w:rsidR="00AC0205">
        <w:instrText xml:space="preserve"> ADDIN ZOTERO_ITEM CSL_CITATION {"citationID":"i3Yp3MqY","properties":{"formattedCitation":"(Quinn et al., 2018)","plainCitation":"(Quinn et al., 2018)","noteIndex":0},"citationItems":[{"id":1760,"uris":["http://zotero.org/users/2189142/items/68FQB8H2"],"itemData":{"id":1760,"type":"article-journal","abstract":"As they return to spawn and die in their natal streams, anadromous, semelparous fishes such as Pacific salmon import marine-derived nutrients to otherwise nutrient-poor freshwater and riparian ecosystems. Diverse organisms exploit this resource, and previous studies have indicated that riparian tree growth may be enhanced by such marine-derived nutrients. However, these studies were largely inferential and did not account for all factors affecting tree growth. As an experimental test of the contribution of carcasses to tree growth, for 20 yr, we systematically deposited all sockeye salmon (Oncorhynchus nerka) carcasses (217,055 individual salmon) in the riparian zone on one bank of a 2-km-long stream in southwestern Alaska, reducing carcass accumulation on one bank and enhancing it on the other. After accounting for partial consumption and movement of carcasses by brown bears (Ursus arctos) and variation in salmon abundance and body size, we estimated that 267,620 kg of salmon were deposited on the enhanced bank and 45,200 kg on the depleted bank over the 20 yr, for a 5.9-fold difference in total mass. In 2016, we sampled needles of 84 white spruce trees (Picea glauca) the dominant riparian tree species, for foliar nitrogen (N) content and stable isotope ratios (δ15N), and took core samples for annual growth increments. Stable isotope analysis indicated that marine-derived N was incorporated into the new growth of the trees on the enhanced bank. Analysis of tree cores indicated that in the two decades prior to our enhancement experiment, trees on the south-facing (subsequently the depleted) bank grew faster than those on the north-facing (later enhanced) bank. This difference was reduced significantly during the two decades of fertilization, indicating an effect of the carcass transfer experiment against the background of other factors affecting tree growth.","container-title":"Ecology","DOI":"10.1002/ecy.2453","ISSN":"1939-9170","issue":"11","language":"en","page":"2433-2441","source":"Wiley Online Library","title":"A multidecade experiment shows that fertilization by salmon carcasses enhanced tree growth in the riparian zone","volume":"99","author":[{"family":"Quinn","given":"Thomas P."},{"family":"Helfield","given":"James M."},{"family":"Austin","given":"Catherine S."},{"family":"Hovel","given":"Rachel A."},{"family":"Bunn","given":"Andrew G."}],"issued":{"date-parts":[["2018"]]},"citation-key":"quinn_2018a"}}],"schema":"https://github.com/citation-style-language/schema/raw/master/csl-citation.json"} </w:instrText>
      </w:r>
      <w:r w:rsidRPr="009867C1">
        <w:fldChar w:fldCharType="separate"/>
      </w:r>
      <w:r w:rsidR="0042141C" w:rsidRPr="009867C1">
        <w:t>(Quinn et al., 2018)</w:t>
      </w:r>
      <w:r w:rsidRPr="009867C1">
        <w:fldChar w:fldCharType="end"/>
      </w:r>
      <w:r w:rsidRPr="009867C1">
        <w:t xml:space="preserve"> and increased reproductive allocation </w:t>
      </w:r>
      <w:r w:rsidRPr="009867C1">
        <w:fldChar w:fldCharType="begin"/>
      </w:r>
      <w:r w:rsidR="00AC0205">
        <w:instrText xml:space="preserve"> ADDIN ZOTERO_ITEM CSL_CITATION {"citationID":"RQo9OBwc","properties":{"formattedCitation":"(Siemens et al., 2020)","plainCitation":"(Siemens et al., 2020)","noteIndex":0},"citationItems":[{"id":2359,"uris":["http://zotero.org/users/2189142/items/HE5K9YT7"],"itemData":{"id":2359,"type":"article-journal","container-title":"Ecosphere","issue":"11","note":"publisher: Wiley Online Library","page":"e03282","source":"Google Scholar","title":"Spawning salmon density influences fruit production of salmonberry (&lt;i&gt;Rubus spectabilis&lt;/i&gt;)","volume":"11","author":[{"family":"Siemens","given":"Lisa D."},{"family":"Dennert","given":"Allison M."},{"family":"Obrist","given":"Debora S."},{"family":"Reynolds","given":"John D."}],"issued":{"date-parts":[["2020"]]},"citation-key":"siemens_2020"}}],"schema":"https://github.com/citation-style-language/schema/raw/master/csl-citation.json"} </w:instrText>
      </w:r>
      <w:r w:rsidRPr="009867C1">
        <w:fldChar w:fldCharType="separate"/>
      </w:r>
      <w:r w:rsidR="0042141C" w:rsidRPr="009867C1">
        <w:t>(Siemens et al., 2020)</w:t>
      </w:r>
      <w:r w:rsidRPr="009867C1">
        <w:fldChar w:fldCharType="end"/>
      </w:r>
      <w:r w:rsidRPr="009867C1">
        <w:t xml:space="preserve"> with increasing salmon density. Despite these diverse results over 25 years of research in salmon-subsidy systems, the ecosystem-level effects of salmon addition have remained relatively under-investigated (10 out of 172 relationships </w:t>
      </w:r>
      <w:r w:rsidRPr="009867C1">
        <w:fldChar w:fldCharType="begin"/>
      </w:r>
      <w:r w:rsidR="00AC0205">
        <w:instrText xml:space="preserve"> ADDIN ZOTERO_ITEM CSL_CITATION {"citationID":"EEHquQZy","properties":{"formattedCitation":"(J. C. Walsh, Pendray, et al., 2020)","plainCitation":"(J. C. Walsh, Pendray, et al., 2020)","noteIndex":0},"citationItems":[{"id":2334,"uris":["http://zotero.org/users/2189142/items/PK5JHV8R"],"itemData":{"id":2334,"type":"article-journal","abstract":"Pacific salmon influence temperate terrestrial and freshwater ecosystems through the dispersal of marine-derived nutrients and ecosystem engineering of stream beds when spawning. They also support large fisheries, particularly along the west coast of North America. We provide a comprehensive synthesis of relationships between the densities of Pacific salmon and terrestrial and aquatic ecosystems, summarize the direction, shape, and magnitude of these relationships, and identify possible ecosystem-based management indicators and benchmarks. We found 31 studies that provided 172 relationships between salmon density (or salmon abundance) and species abundance, species diversity, food provisioning, individual growth, concentration of marine-derived isotopes, nutrient enhancement, phenology, and several other ecological responses. The most common published relationship was between salmon density and marine-derived isotopes (40%), whereas very few relationships quantified ecosystem-level responses (5%). Only 13% of all relationships tended to reach an asymptote (i.e., a saturating response) as salmon densities increased. The number of salmon killed by bears and the change in biomass of different stream invertebrate taxa between spawning and nonspawning seasons were relationships that usually reached saturation. Approximately 46% of all relationships were best described with linear or curved nonasymptotic models, indicating a lack of saturation. In contrast, 41% of data sets showed no relationship with salmon density or abundance, including many of the relationships with stream invertebrate and biofilm biomass density, marine-derived isotope concentrations, or vegetation density. Bears required the highest densities of salmon to reach their maximum observed food consumption (i.e., 9.2 kg/m2 to reach the 90% threshold of the relationship’s asymptote), followed by freshwater fish abundance (90% threshold = 7.3 kg/m2 of salmon). Although the effects of salmon density on ecosystems are highly varied, it appears that several of these relationships, such as bear food consumption, could be used to develop indicators and benchmarks for ecosystem-based fisheries management.","container-title":"Ecology","DOI":"https://doi.org/10.1002/ecy.3060","ISSN":"1939-9170","issue":"9","language":"en","note":"_eprint: https://esajournals.onlinelibrary.wiley.com/doi/pdf/10.1002/ecy.3060","page":"e03060","source":"Wiley Online Library","title":"Relationships between Pacific salmon and aquatic and terrestrial ecosystems: implications for ecosystem-based management","title-short":"Relationships between Pacific salmon and aquatic and terrestrial ecosystems","volume":"101","author":[{"family":"Walsh","given":"Jessica C."},{"family":"Pendray","given":"Jane E."},{"family":"Godwin","given":"Sean C."},{"family":"Artelle","given":"Kyle A."},{"family":"Kindsvater","given":"Holly K."},{"family":"Field","given":"Rachel D."},{"family":"Harding","given":"Jennifer N."},{"family":"Swain","given":"Noel R."},{"family":"Reynolds","given":"John D."}],"issued":{"date-parts":[["2020"]]},"citation-key":"walsh_2020b"}}],"schema":"https://github.com/citation-style-language/schema/raw/master/csl-citation.json"} </w:instrText>
      </w:r>
      <w:r w:rsidRPr="009867C1">
        <w:fldChar w:fldCharType="separate"/>
      </w:r>
      <w:r w:rsidR="0042141C" w:rsidRPr="009867C1">
        <w:t>(J. C. Walsh, Pendray, et al., 2020)</w:t>
      </w:r>
      <w:r w:rsidRPr="009867C1">
        <w:fldChar w:fldCharType="end"/>
      </w:r>
      <w:r w:rsidRPr="009867C1">
        <w:t xml:space="preserve">). </w:t>
      </w:r>
    </w:p>
    <w:p w14:paraId="4B907A52" w14:textId="41F624D7" w:rsidR="00C634A8" w:rsidRDefault="00086155" w:rsidP="00086155">
      <w:pPr>
        <w:ind w:firstLine="720"/>
      </w:pPr>
      <w:r w:rsidRPr="009867C1">
        <w:t xml:space="preserve">While the short-term effects of salmon addition are generally mediated via direct consumption of carcasses </w:t>
      </w:r>
      <w:r w:rsidRPr="009867C1">
        <w:fldChar w:fldCharType="begin"/>
      </w:r>
      <w:r w:rsidR="00AC0205">
        <w:instrText xml:space="preserve"> ADDIN ZOTERO_ITEM CSL_CITATION {"citationID":"OO6XpBTq","properties":{"formattedCitation":"(Reimchen, 2017)","plainCitation":"(Reimchen, 2017)","noteIndex":0},"citationItems":[{"id":183,"uris":["http://zotero.org/users/2189142/items/5XY9XX4M"],"itemData":{"id":183,"type":"article-journal","abstract":"Based on five years of field studies (1992, 1993, 1994, 1998, 2000), I quantified bi-directional movement of salmon nutrients through an estuary, stream, and old growth forest in a large protected reserve on Haida Gwaii, British Columbia. In 1993, when most data were collected, about 6000 Chum Salmon (Oncorhynchus keta) entered the river of which 22% of the total biomass of senescent carcasses were swept downstream into the estuary and were scavenged by gulls (n = 350) and subtidal invertebrates. Of the 3700 salmon (10 000 kg) transferred by American Black Bear (Ursus americanus) to the riparian zone and partially consumed along the 800 m of stream channel, 5070 kg of salmon tissues abandoned by the bears were scavenged by Northwestern Crows (Corvus caurinus; n = 200) but mostly (4100 kg) by calliphorid blowfly larvae resulting in larval densities averaging 240/m2 throughout the riparian zone. Total nitrogen input to the soils from the combined effects of bear and scavenger activity as well as carcass input was 18 g/m2 within 10 m of the stream channel. δ15N of foliar tissues of Lanky Moss (Rhytidiadelphus loreus), Red Huckleberry (Vaccinium parvifolium), Salal (Gaultheria shallon), and Western Hemlock (Tsuga heterophylla) ranged about 15‰ to 20‰ among adjacent microsites in each species, with higher values occurring in salmon carcass zones. Total nitrogen in foliar tissues ranged from 1% to 2.4% among microsites and was best predicted by positive correlations with foliar 15N values and secondarily by presence/absence of salmon carcasses. This is the first study to integrate estuarine to riparian ecological processes in the cycling of salmonid nutrients and identifies a range of ecological baselines that can inform the multiple restoration programs underway in degraded watersheds in the North Pacific.","container-title":"Canadian Field Naturalist","ISSN":"0008-3550","language":"en","source":"pubag.nal.usda.gov","title":"Diverse Ecological Pathways of Salmon Nutrients Through an Intact Marine-terrestrial Interface","URL":"https://pubag.nal.usda.gov/catalog/6040059","author":[{"family":"Reimchen","given":"T.E."}],"accessed":{"date-parts":[["2019",8,4]]},"issued":{"date-parts":[["2017"]]},"citation-key":"reimchen_2017"}}],"schema":"https://github.com/citation-style-language/schema/raw/master/csl-citation.json"} </w:instrText>
      </w:r>
      <w:r w:rsidRPr="009867C1">
        <w:fldChar w:fldCharType="separate"/>
      </w:r>
      <w:r w:rsidR="0042141C" w:rsidRPr="009867C1">
        <w:t>(Reimchen, 2017)</w:t>
      </w:r>
      <w:r w:rsidRPr="009867C1">
        <w:fldChar w:fldCharType="end"/>
      </w:r>
      <w:r w:rsidRPr="009867C1">
        <w:t xml:space="preserve">, the long-term effects of salmon addition on plants are mediated by soil processes. Soil microbes play an active role in these processes </w:t>
      </w:r>
      <w:r w:rsidRPr="009867C1">
        <w:fldChar w:fldCharType="begin"/>
      </w:r>
      <w:r w:rsidR="00AC0205">
        <w:instrText xml:space="preserve"> ADDIN ZOTERO_ITEM CSL_CITATION {"citationID":"ssy4jRbd","properties":{"formattedCitation":"(Baldrian, 2019; J. Harris, 2009)","plainCitation":"(Baldrian, 2019; J. Harris, 2009)","noteIndex":0},"citationItems":[{"id":"Mdw2eqP8/aGlkvHgM","uris":["http://zotero.org/users/2189142/items/T7TSMNHT"],"itemData":{"id":5141,"type":"article-journal","abstract":"Despite the significant achievements in soil microbial ecology over the past years, many common methodical approaches have important limitations that need to be","container-title":"FEMS Microbiology Ecology","DOI":"10.1093/femsec/fiz005","ISSN":"0168-6496","issue":"2","journalAbbreviation":"FEMS Microbiol Ecol","language":"en","source":"academic.oup.com","title":"The known and the unknown in soil microbial ecology","URL":"https://academic.oup.com/femsec/article/95/2/fiz005/5281230","volume":"95","author":[{"family":"Baldrian","given":"Petr"}],"accessed":{"date-parts":[["2019",11,6]]},"issued":{"date-parts":[["2019",2,1]]}}},{"id":2162,"uris":["http://zotero.org/users/2189142/items/7VCHDKRC"],"itemData":{"id":2162,"type":"article-journal","abstract":"Microorganisms have critical roles in the functioning of soil in nutrient cycling, structural formation, and plant interactions, both positive and negative. These roles are important in reestablishing function and biodiversity in ecosystem restoration. Measurement of the community indicates the status of the system in relation to restoration targets and the effectiveness of management interventions, and manipulation of the community shows promise in the enhancement of the rate of recovery of degraded systems.","container-title":"Science","DOI":"10.1126/science.1172975","ISSN":"0036-8075, 1095-9203","issue":"5940","language":"en","note":"publisher: American Association for the Advancement of Science\nsection: Perspective\nPMID: 19644111","page":"573-574","source":"science-sciencemag-org.ezproxy.library.ubc.ca","title":"Soil Microbial Communities and Restoration Ecology: Facilitators or Followers?","title-short":"Soil Microbial Communities and Restoration Ecology","volume":"325","author":[{"family":"Harris","given":"Jim"}],"issued":{"date-parts":[["2009",7,31]]},"citation-key":"harris_2009"}}],"schema":"https://github.com/citation-style-language/schema/raw/master/csl-citation.json"} </w:instrText>
      </w:r>
      <w:r w:rsidRPr="009867C1">
        <w:fldChar w:fldCharType="separate"/>
      </w:r>
      <w:r w:rsidR="0042141C" w:rsidRPr="009867C1">
        <w:t>(Baldrian, 2019; J. Harris, 2009)</w:t>
      </w:r>
      <w:r w:rsidRPr="009867C1">
        <w:fldChar w:fldCharType="end"/>
      </w:r>
      <w:r w:rsidRPr="009867C1">
        <w:t xml:space="preserve">, where bacteria, protists, and fungi gather, transform, and stabilize soil nutrients and react dynamically to changing environmental conditions and gradients </w:t>
      </w:r>
      <w:r w:rsidRPr="009867C1">
        <w:fldChar w:fldCharType="begin"/>
      </w:r>
      <w:r w:rsidR="00AC0205">
        <w:instrText xml:space="preserve"> ADDIN ZOTERO_ITEM CSL_CITATION {"citationID":"WELXtqr2","properties":{"formattedCitation":"(Z. B. Zhao et al., 2020)","plainCitation":"(Z. B. Zhao et al., 2020)","noteIndex":0},"citationItems":[{"id":63,"uris":["http://zotero.org/users/2189142/items/BQN4PPHF"],"itemData":{"id":63,"type":"article-journal","abstract":"The soil microbiome determines crop production and drives nutrient cycling, functions that are altered by fertilization. Yet, we have only begun to understand the effects of fertilization on taxonomic changes on soil microorganisms, while impacts on functional groups across the microbiome and therefore potential soil functioning have never been assessed. Here, using a range of methods including high-throughput sequencing, we identified 77 functional parameters of the main microbiome groups including bacteria, fungi, and protists in three common agricultural soil types in China (black, fluvo-aquic, and red soil), which were fertilized in the same way over two years. We show that fertilization most strongly and generally throughout soil types reduced the relative abundance of the main microbial predators, phagotrophic protists, by 31%. Ten functional groups within the microbiome showed soil type-specific responses to fertilization. For example, ammonia-oxidizing bacteria, and predatory/exoparasitic bacteria were reduced by fertilization in the acidic black and the red soils, while, no other microbial functional group than phagotrophic protists was suppressed by fertilization in the alkaline fluvo-aquic soil. The significant reductions in microbial functional groups especially in acidic soils could be explained by nitrogen enrichment, increased soil acidification and potential biotic links between the functional groups within the microbiome. Together, we show that the fertilization-induced abiotic changes alter microbial functions that depend on the soil and environmental conditions. Particularly the most profound changes on the group of microbial predators might subsequently affect other soil functions performed by bacteria and fungi.","container-title":"Soil Biology and Biochemistry","DOI":"10.1016/j.soilbio.2020.107863","ISSN":"0038-0717","journalAbbreviation":"Soil Biology and Biochemistry","language":"en","page":"107863","source":"ScienceDirect","title":"Fertilization changes soil microbiome functioning, especially phagotrophic protists","volume":"148","author":[{"family":"Zhao","given":"Zhi Bo"},{"family":"He","given":"Ji Zheng"},{"family":"Quan","given":"Zhi"},{"family":"Wu","given":"Chuan Fa"},{"family":"Sheng","given":"Rong"},{"family":"Zhang","given":"Li Mei"},{"family":"Geisen","given":"Stefan"}],"issued":{"date-parts":[["2020",9,1]]},"citation-key":"zhao_2020"}}],"schema":"https://github.com/citation-style-language/schema/raw/master/csl-citation.json"} </w:instrText>
      </w:r>
      <w:r w:rsidRPr="009867C1">
        <w:fldChar w:fldCharType="separate"/>
      </w:r>
      <w:r w:rsidR="00AC0205" w:rsidRPr="00AC0205">
        <w:t>(Z. B. Zhao et al., 2020)</w:t>
      </w:r>
      <w:r w:rsidRPr="009867C1">
        <w:fldChar w:fldCharType="end"/>
      </w:r>
      <w:r w:rsidRPr="009867C1">
        <w:t xml:space="preserve">. Fungi and bacteria operate in partnership with plants to aerate and energize soil processes, and mycorrhizal fungi in particular use their sophisticated enzymatic machinery to scavenge soil nutrients and trade these for carbon- and energy-rich plant photosynthates </w:t>
      </w:r>
      <w:r w:rsidRPr="009867C1">
        <w:fldChar w:fldCharType="begin"/>
      </w:r>
      <w:r w:rsidR="00AC0205">
        <w:instrText xml:space="preserve"> ADDIN ZOTERO_ITEM CSL_CITATION {"citationID":"ROyOfBK6","properties":{"formattedCitation":"(S. E. Smith &amp; Read, 2008)","plainCitation":"(S. E. Smith &amp; Read, 2008)","noteIndex":0},"citationItems":[{"id":1004,"uris":["http://zotero.org/users/2189142/items/E7A637MD"],"itemData":{"id":1004,"type":"book","abstract":"The roots of most plants are colonized by symbiotic fungi to form mycorrhiza, which play a critical role in the capture of nutrients from the soil and therefore in plant nutrition. Mycorrhizal Symbiosis is recognized as the definitive work in this area. Since the last edition was published there have been major advances in the field, particularly in the area of molecular biology, and the new edition has been fully revised and updated to incorporate these exciting new developments.                                       • Over 50% new material• Includes expanded color plate section• Covers all aspects of mycorrhiza• Presents new taxonomy• Discusses the impact of proteomics and genomics on research in this area","edition":"3 edition","event-place":"Amsterdam","ISBN":"978-0-12-370526-6","language":"English","number-of-pages":"800","publisher":"Academic Press","publisher-place":"Amsterdam","source":"Amazon","title":"Mycorrhizal Symbiosis, Third Edition","author":[{"family":"Smith","given":"Sally E."},{"family":"Read","given":"David J."}],"issued":{"date-parts":[["2008",5,7]]},"citation-key":"smith_2008a"}}],"schema":"https://github.com/citation-style-language/schema/raw/master/csl-citation.json"} </w:instrText>
      </w:r>
      <w:r w:rsidRPr="009867C1">
        <w:fldChar w:fldCharType="separate"/>
      </w:r>
      <w:r w:rsidR="0042141C" w:rsidRPr="009867C1">
        <w:t>(S. E. Smith &amp; Read, 2008)</w:t>
      </w:r>
      <w:r w:rsidRPr="009867C1">
        <w:fldChar w:fldCharType="end"/>
      </w:r>
      <w:r w:rsidRPr="009867C1">
        <w:t xml:space="preserve">. </w:t>
      </w:r>
    </w:p>
    <w:p w14:paraId="1C27FC16" w14:textId="6B2712F8" w:rsidR="00086155" w:rsidRPr="009867C1" w:rsidRDefault="00086155" w:rsidP="00086155">
      <w:pPr>
        <w:ind w:firstLine="720"/>
      </w:pPr>
      <w:r w:rsidRPr="009867C1">
        <w:t xml:space="preserve">In grasslands, the addition of multiple limiting resources reduced plant diversity, increased productivity, and increased species turnover in relative proportion to the number of limiting resources added to the system </w:t>
      </w:r>
      <w:r w:rsidRPr="009867C1">
        <w:fldChar w:fldCharType="begin"/>
      </w:r>
      <w:r w:rsidR="00AC0205">
        <w:instrText xml:space="preserve"> ADDIN ZOTERO_ITEM CSL_CITATION {"citationID":"sqQCgVv1","properties":{"formattedCitation":"(Harpole et al., 2016)","plainCitation":"(Harpole et al., 2016)","noteIndex":0},"citationItems":[{"id":2198,"uris":["http://zotero.org/users/2189142/items/UXAYPBQ2"],"itemData":{"id":2198,"type":"article-journal","abstract":"Analysis of multi-year nutrient enrichment experiments carried out on 45 global grassland sites show that an addition of an increasing number of nutrients leads to a reduction in plant species diversity, and competition for multiple belowground resources promotes plant species diversity.","container-title":"Nature","DOI":"10.1038/nature19324","ISSN":"1476-4687","issue":"7618","language":"en","note":"number: 7618\npublisher: Nature Publishing Group","page":"93-96","source":"www-nature-com.ezproxy.library.ubc.ca","title":"Addition of multiple limiting resources reduces grassland diversity","volume":"537","author":[{"family":"Harpole","given":"W. Stanley"},{"family":"Sullivan","given":"Lauren L."},{"family":"Lind","given":"Eric M."},{"family":"Firn","given":"Jennifer"},{"family":"Adler","given":"Peter B."},{"family":"Borer","given":"Elizabeth T."},{"family":"Chase","given":"Jonathan"},{"family":"Fay","given":"Philip A."},{"family":"Hautier","given":"Yann"},{"family":"Hillebrand","given":"Helmut"},{"family":"MacDougall","given":"Andrew S."},{"family":"Seabloom","given":"Eric W."},{"family":"Williams","given":"Ryan"},{"family":"Bakker","given":"Jonathan D."},{"family":"Cadotte","given":"Marc W."},{"family":"Chaneton","given":"Enrique J."},{"family":"Chu","given":"Chengjin"},{"family":"Cleland","given":"Elsa E."},{"family":"D’Antonio","given":"Carla"},{"family":"Davies","given":"Kendi F."},{"family":"Gruner","given":"Daniel S."},{"family":"Hagenah","given":"Nicole"},{"family":"Kirkman","given":"Kevin"},{"family":"Knops","given":"Johannes M. H."},{"family":"La Pierre","given":"Kimberly J."},{"family":"McCulley","given":"Rebecca L."},{"family":"Moore","given":"Joslin L."},{"family":"Morgan","given":"John W."},{"family":"Prober","given":"Suzanne M."},{"family":"Risch","given":"Anita C."},{"family":"Schuetz","given":"Martin"},{"family":"Stevens","given":"Carly J."},{"family":"Wragg","given":"Peter D."}],"issued":{"date-parts":[["2016",9]]},"citation-key":"harpole_2016"}}],"schema":"https://github.com/citation-style-language/schema/raw/master/csl-citation.json"} </w:instrText>
      </w:r>
      <w:r w:rsidRPr="009867C1">
        <w:fldChar w:fldCharType="separate"/>
      </w:r>
      <w:r w:rsidR="0042141C" w:rsidRPr="009867C1">
        <w:t>(Harpole et al., 2016)</w:t>
      </w:r>
      <w:r w:rsidRPr="009867C1">
        <w:fldChar w:fldCharType="end"/>
      </w:r>
      <w:r w:rsidRPr="009867C1">
        <w:t xml:space="preserve">. In forests, long-term nitrogen addition from atmospheric and chemical sources reduce microbial biomass </w:t>
      </w:r>
      <w:r w:rsidRPr="009867C1">
        <w:fldChar w:fldCharType="begin"/>
      </w:r>
      <w:r w:rsidR="00AC0205">
        <w:instrText xml:space="preserve"> ADDIN ZOTERO_ITEM CSL_CITATION {"citationID":"Qc94X4Rv","properties":{"formattedCitation":"(Treseder, 2008)","plainCitation":"(Treseder, 2008)","noteIndex":0},"citationItems":[{"id":477,"uris":["http://zotero.org/users/2189142/items/8EFW9V66"],"itemData":{"id":477,"type":"article-journal","abstract":"Nitrogen (N) enrichment is an element of global change that could influence the growth and abundance of many organisms. In this meta-analysis, I synthesized responses of microbial biomass to N additions in 82 published field studies. I hypothesized that the biomass of fungi, bacteria or the microbial community as a whole would be altered under N additions. I also predicted that changes in biomass would parallel changes in soil CO2 emissions. Microbial biomass declined 15% on average under N fertilization, but fungi and bacteria were not significantly altered in studies that examined each group separately. Moreover, declines in abundance of microbes and fungi were more evident in studies of longer durations and with higher total amounts of N added. In addition, responses of microbial biomass to N fertilization were significantly correlated with responses of soil CO2 emissions. There were no significant effects of biomes, fertilizer types, ambient N deposition rates or methods of measuring biomass. Altogether, these results suggest that N enrichment could reduce microbial biomass in many ecosystems, with corresponding declines in soil CO2 emissions.","container-title":"Ecology Letters","DOI":"10.1111/j.1461-0248.2008.01230.x","ISSN":"1461-0248","issue":"10","language":"en","page":"1111-1120","source":"Wiley Online Library","title":"Nitrogen additions and microbial biomass: a meta-analysis of ecosystem studies","title-short":"Nitrogen additions and microbial biomass","volume":"11","author":[{"family":"Treseder","given":"Kathleen K."}],"issued":{"date-parts":[["2008",10,1]]},"citation-key":"treseder_2008"}}],"schema":"https://github.com/citation-style-language/schema/raw/master/csl-citation.json"} </w:instrText>
      </w:r>
      <w:r w:rsidRPr="009867C1">
        <w:fldChar w:fldCharType="separate"/>
      </w:r>
      <w:r w:rsidR="0042141C" w:rsidRPr="009867C1">
        <w:t>(Treseder, 2008)</w:t>
      </w:r>
      <w:r w:rsidRPr="009867C1">
        <w:fldChar w:fldCharType="end"/>
      </w:r>
      <w:r w:rsidRPr="009867C1">
        <w:t xml:space="preserve">. As next-generation sequencing technologies have proliferated, characterization of soil microbiome communities has become more sophisticated; these studies have confirmed that diversity decreases with fertilization even as rates of nutrient cycling increase </w:t>
      </w:r>
      <w:r w:rsidRPr="009867C1">
        <w:fldChar w:fldCharType="begin"/>
      </w:r>
      <w:r w:rsidR="00AC0205">
        <w:instrText xml:space="preserve"> ADDIN ZOTERO_ITEM CSL_CITATION {"citationID":"iWeVboV5","properties":{"formattedCitation":"(Fierer, 2017)","plainCitation":"(Fierer, 2017)","noteIndex":0},"citationItems":[{"id":67,"uris":["http://zotero.org/users/2189142/items/A9TVLE6G"],"itemData":{"id":67,"type":"article-journal","abstract":"Soils can contain large amounts of microbial biomass, including fungi, protists, viruses, bacteria and archaea. Most of these taxa currently remain undescribed, and have physiological and ecological attributes that are unknown.Soil microbial communities are highly diverse, in part because soil environmental conditions are so heterogeneous. In a single soil there is a wide range of distinct microbial habitats that contain unique microbial assemblages.Spatial variability in the structure of soil microbial communities is typically larger than the temporal variability. The composition of soil bacterial communities and the abundances of specific taxa are often predictable from soil and site characteristics, including soil pH, climate and organic carbon availability.Plants can clearly have important direct or indirect effects on soil microbial communities and vice versa. However, the effects of plant species on microbial taxa are often difficult to predict a priori owing, in part, to plant associations with soil microorganisms being highly context-dependent.Linking specific soil microbial processes to specific microbial taxa remains difficult. One way to tackle this problem is to use genomic data to group microbial taxa according to shared similar life-history strategies and functional attributes.Given recent methodological and conceptual advances, the field is poised to rapidly advance our understanding of the soil microbiome. Promising future research directions include cultivation-based analyses of soil microbial taxa, studies of soil viruses and investigations into the importance of horizontal gene transfer in shaping the soil microbiome.","container-title":"Nature Reviews Microbiology","DOI":"10.1038/nrmicro.2017.87","ISSN":"1740-1534","issue":"10","language":"en","note":"number: 10\npublisher: Nature Publishing Group","page":"579-590","source":"www-nature-com.ezproxy.library.ubc.ca","title":"Embracing the unknown: disentangling the complexities of the soil microbiome","title-short":"Embracing the unknown","volume":"15","author":[{"family":"Fierer","given":"Noah"}],"issued":{"date-parts":[["2017",10]]},"citation-key":"fierer_2017"}}],"schema":"https://github.com/citation-style-language/schema/raw/master/csl-citation.json"} </w:instrText>
      </w:r>
      <w:r w:rsidRPr="009867C1">
        <w:fldChar w:fldCharType="separate"/>
      </w:r>
      <w:r w:rsidR="0042141C" w:rsidRPr="009867C1">
        <w:t>(Fierer, 2017)</w:t>
      </w:r>
      <w:r w:rsidRPr="009867C1">
        <w:fldChar w:fldCharType="end"/>
      </w:r>
      <w:r w:rsidRPr="009867C1">
        <w:t xml:space="preserve">.  </w:t>
      </w:r>
    </w:p>
    <w:p w14:paraId="44FEA073" w14:textId="49CBD542" w:rsidR="00086155" w:rsidRPr="009867C1" w:rsidRDefault="00086155" w:rsidP="00086155">
      <w:r w:rsidRPr="009867C1">
        <w:tab/>
        <w:t xml:space="preserve">As sequencing technologies have enabled quantification of in-situ soil communities, emerging databases </w:t>
      </w:r>
      <w:r w:rsidR="00C634A8">
        <w:t xml:space="preserve">have </w:t>
      </w:r>
      <w:r w:rsidRPr="009867C1">
        <w:t>allow</w:t>
      </w:r>
      <w:r w:rsidR="00C634A8">
        <w:t xml:space="preserve">ed </w:t>
      </w:r>
      <w:r w:rsidRPr="009867C1">
        <w:t>taxonomic classifications to be paired with functional trait</w:t>
      </w:r>
      <w:r w:rsidR="00565AC4">
        <w:t>s</w:t>
      </w:r>
      <w:r w:rsidRPr="009867C1">
        <w:t xml:space="preserve"> </w:t>
      </w:r>
      <w:r w:rsidRPr="009867C1">
        <w:fldChar w:fldCharType="begin"/>
      </w:r>
      <w:r w:rsidR="00AC0205">
        <w:instrText xml:space="preserve"> ADDIN ZOTERO_ITEM CSL_CITATION {"citationID":"M03leVlC","properties":{"formattedCitation":"(Nguyen et al., 2016; Zanne et al., 2020)","plainCitation":"(Nguyen et al., 2016; Zanne et al., 2020)","noteIndex":0},"citationItems":[{"id":287,"uris":["http://zotero.org/users/2189142/items/2LCXHEY3"],"itemData":{"id":287,"type":"article-journal","abstract":"Fungi typically live in highly diverse communities composed of multiple ecological guilds. Although high-throughput sequencing has greatly increased the ability to quantify the diversity of fungi in environmental samples, researchers currently lack a simple and consistent way to sort large sequence pools into ecologically meaningful categories. We address this issue by introducing FUNGuild, a tool that can be used to taxonomically parse fungal OTUs by ecological guild independent of sequencing platform or analysis pipeline. Using a database and an accompanying bioinformatics script, we demonstrate the application of FUNGuild to three high-throughput sequencing datasets from different habitats: forest soils, grassland soils, and decomposing wood. We found that guilds characteristic of each habitat (i.e., saprotrophic and ectomycorrhizal fungi in forest soils, saprotrophic and arbuscular mycorrhizal fungi in grassland soils, saprotrophic, wood decomposer, and plant pathogenic fungi in decomposing wood) were each well represented. The example datasets demonstrate that while we could quickly and efficiently assign a large portion of the data to guilds, another large portion could not be assigned, reflecting the need to expand and improve the database as well as to gain a better understanding of natural history for many described and undescribed fungal species. As a community resource, FUNGuild is dependent on third-party annotation, so we invite researchers to populate it with new categories and records as well as refine those already in existence.","container-title":"Fungal Ecology","DOI":"10.1016/j.funeco.2015.06.006","ISSN":"1754-5048","journalAbbreviation":"Fungal Ecology","page":"241-248","source":"ScienceDirect","title":"FUNGuild: An open annotation tool for parsing fungal community datasets by ecological guild","title-short":"FUNGuild","volume":"20","author":[{"family":"Nguyen","given":"Nhu H."},{"family":"Song","given":"Zewei"},{"family":"Bates","given":"Scott T."},{"family":"Branco","given":"Sara"},{"family":"Tedersoo","given":"Leho"},{"family":"Menke","given":"Jon"},{"family":"Schilling","given":"Jonathan S."},{"family":"Kennedy","given":"Peter G."}],"issued":{"date-parts":[["2016",4,1]]},"citation-key":"nguyen_2016"}},{"id":2121,"uris":["http://zotero.org/users/2189142/items/LXQ8LUDT"],"itemData":{"id":2121,"type":"article-journal","abstract":"Fungi play many essential roles in ecosystems. They facilitate plant access to nutrients and water, serve as decay agents that cycle carbon and nutrients through the soil, water and atmosphere, and are major regulators of macro-organismal populations. Although technological advances are improving the detection and identification of fungi, there still exist key gaps in our ecological knowledge of this kingdom, especially related to function. Trait-based approaches have been instrumental in strengthening our understanding of plant functional ecology and, as such, provide excellent models for deepening our understanding of fungal functional ecology in ways that complement insights gained from traditional and -omics-based techniques. In this review, we synthesize current knowledge of fungal functional ecology, taxonomy and systematics and introduce a novel database of fungal functional traits (FunFun). FunFun is built to interface with other databases to explore and predict how fungal functional diversity varies by taxonomy, guild, and other evolutionary or ecological grouping variables. To highlight how a quantitative trait-based approach can provide new insights, we describe multiple targeted examples and end by suggesting next steps in the rapidly growing field of fungal functional ecology.","container-title":"Biological Reviews","DOI":"10.1111/brv.12570","ISSN":"1469-185X","issue":"2","language":"en","note":"_eprint: https://onlinelibrary.wiley.com/doi/pdf/10.1111/brv.12570","page":"409-433","source":"Wiley Online Library","title":"Fungal functional ecology: bringing a trait-based approach to plant-associated fungi","title-short":"Fungal functional ecology","volume":"95","author":[{"family":"Zanne","given":"Amy E."},{"family":"Abarenkov","given":"Kessy"},{"family":"Afkhami","given":"Michelle E."},{"family":"Aguilar‐Trigueros","given":"Carlos A."},{"family":"Bates","given":"Scott"},{"family":"Bhatnagar","given":"Jennifer M."},{"family":"Busby","given":"Posy E."},{"family":"Christian","given":"Natalie"},{"family":"Cornwell","given":"William K."},{"family":"Crowther","given":"Thomas W."},{"family":"Flores‐Moreno","given":"Habacuc"},{"family":"Floudas","given":"Dimitrios"},{"family":"Gazis","given":"Romina"},{"family":"Hibbett","given":"David"},{"family":"Kennedy","given":"Peter"},{"family":"Lindner","given":"Daniel L."},{"family":"Maynard","given":"Daniel S."},{"family":"Milo","given":"Amy M."},{"family":"Nilsson","given":"Rolf Henrik"},{"family":"Powell","given":"Jeff"},{"family":"Schildhauer","given":"Mark"},{"family":"Schilling","given":"Jonathan"},{"family":"Treseder","given":"Kathleen K."}],"issued":{"date-parts":[["2020"]]},"citation-key":"zanne_2020"}}],"schema":"https://github.com/citation-style-language/schema/raw/master/csl-citation.json"} </w:instrText>
      </w:r>
      <w:r w:rsidRPr="009867C1">
        <w:fldChar w:fldCharType="separate"/>
      </w:r>
      <w:r w:rsidR="0042141C" w:rsidRPr="009867C1">
        <w:t>(Nguyen et al., 2016; Zanne et al., 2020)</w:t>
      </w:r>
      <w:r w:rsidRPr="009867C1">
        <w:fldChar w:fldCharType="end"/>
      </w:r>
      <w:r w:rsidRPr="009867C1">
        <w:t xml:space="preserve">. Separating fungal reads by feeding strategy (saprotrophic or symbiotrophic/ mycorrhizal) allows for the testing of trait-driven hypotheses. For example, as soil nutrient levels increase, </w:t>
      </w:r>
      <w:r w:rsidR="00C634A8">
        <w:t xml:space="preserve">it is typically </w:t>
      </w:r>
      <w:r w:rsidRPr="009867C1">
        <w:t>predict</w:t>
      </w:r>
      <w:r w:rsidR="00C634A8">
        <w:t xml:space="preserve">ed </w:t>
      </w:r>
      <w:r w:rsidRPr="009867C1">
        <w:t>that mycorrhizal fungi decrease in</w:t>
      </w:r>
      <w:r w:rsidR="00BF5309">
        <w:t xml:space="preserve"> relative</w:t>
      </w:r>
      <w:r w:rsidRPr="009867C1">
        <w:t xml:space="preserve"> abundance as plants are increasingly able to access nutrients directly without the need of their (now less competitive) fungal partners </w:t>
      </w:r>
      <w:r w:rsidRPr="009867C1">
        <w:fldChar w:fldCharType="begin"/>
      </w:r>
      <w:r w:rsidR="00AC0205">
        <w:instrText xml:space="preserve"> ADDIN ZOTERO_ITEM CSL_CITATION {"citationID":"R4nJ5kmr","properties":{"formattedCitation":"(Kutorga et al., 2013)","plainCitation":"(Kutorga et al., 2013)","noteIndex":0},"citationItems":[{"id":2279,"uris":["http://zotero.org/users/2189142/items/NAI5SAHH"],"itemData":{"id":2279,"type":"article-journal","container-title":"Acta Mycologica","DOI":"10.5586/am.2013.019","ISSN":"0001-625X","issue":"2","language":"EN","note":"publisher: -","source":"yadda.icm.edu.pl","title":"Species diversity and composition of fungal communities in a Scots pine forest affected by the great cormorant colony","URL":"http://yadda.icm.edu.pl/yadda/element/bwmeta1.element.agro-0a0256fd-c2dc-49d6-a8da-bd1e520519fd","volume":"48","author":[{"family":"Kutorga","given":"E."},{"family":"Irsenaite","given":"R."},{"family":"Iznova","given":"T."},{"family":"Kasparavicius","given":"J."},{"family":"Markovskaja","given":"S."},{"family":"Motiejunaite","given":"J."}],"accessed":{"date-parts":[["2020",12,3]]},"issued":{"date-parts":[["2013"]]},"citation-key":"kutorga_2013"}}],"schema":"https://github.com/citation-style-language/schema/raw/master/csl-citation.json"} </w:instrText>
      </w:r>
      <w:r w:rsidRPr="009867C1">
        <w:fldChar w:fldCharType="separate"/>
      </w:r>
      <w:r w:rsidR="0042141C" w:rsidRPr="009867C1">
        <w:t>(Kutorga et al., 2013)</w:t>
      </w:r>
      <w:r w:rsidRPr="009867C1">
        <w:fldChar w:fldCharType="end"/>
      </w:r>
      <w:r w:rsidRPr="009867C1">
        <w:t>. Saprotrophs, on the other hand, are expected to increase in</w:t>
      </w:r>
      <w:r w:rsidR="00BF5309">
        <w:t xml:space="preserve"> relative</w:t>
      </w:r>
      <w:r w:rsidRPr="009867C1">
        <w:t xml:space="preserve"> abundance as litter quality improves and C:N ratios decrease. Alternative hypothes</w:t>
      </w:r>
      <w:r w:rsidR="00A25309">
        <w:t>es</w:t>
      </w:r>
      <w:r w:rsidRPr="009867C1">
        <w:t xml:space="preserve"> may be generated however; for example, given the spatial and temporal heterogeneity characteristic of salmon carcass addition, is it possible that fungal network maintenance may be favoured as fungal hyphae may respond more flexibly than plant roots to nutrient hotpots in pulsed subsidy systems such as salmon forest ecosystems </w:t>
      </w:r>
      <w:r w:rsidRPr="009867C1">
        <w:fldChar w:fldCharType="begin"/>
      </w:r>
      <w:r w:rsidR="00AC0205">
        <w:instrText xml:space="preserve"> ADDIN ZOTERO_ITEM CSL_CITATION {"citationID":"JSkFJGA3","properties":{"formattedCitation":"(Moeller &amp; Neubert, 2015)","plainCitation":"(Moeller &amp; Neubert, 2015)","noteIndex":0},"citationItems":[{"id":835,"uris":["http://zotero.org/users/2189142/items/DAAITFA2"],"itemData":{"id":835,"type":"article-journal","abstract":"Most mutualisms in nature involve interactions between multispecies mutualist guilds and multiple partner species. While mechanisms such as niche partitioning can explain part of this diversity, the presence of low-quality partners, which produce relatively low returns on investment compared with other guild members, is not well understood. Here, we consider a novel explanation for this persistence: that low-quality partners are actively maintained by their hosts as part of a growth-maximizing strategy, even in the presence of higher-quality alternatives. We use a model inspired by the interaction between host trees and ectomycorrhizal fungi to demonstrate that when the environment is variable, trees maintain low-quality fungal partners that they would not otherwise maintain in constant environments. This active investment, which emerges as a response to saturating returns on investment in higher-quality partners, could contribute to the maintenance of diversity in multispecies mutualisms.","container-title":"The American Naturalist","DOI":"10.1086/684103","ISSN":"0003-0147","issue":"1","journalAbbreviation":"The American Naturalist","page":"E1-E12","source":"journals.uchicago.edu.ezproxy.library.ubc.ca (Atypon)","title":"Multiple Friends with Benefits: An Optimal Mutualist Management Strategy?","title-short":"Multiple Friends with Benefits","volume":"187","author":[{"family":"Moeller","given":"Holly V."},{"family":"Neubert","given":"Michael G."}],"issued":{"date-parts":[["2015",12,30]]},"citation-key":"moeller_2015a"}}],"schema":"https://github.com/citation-style-language/schema/raw/master/csl-citation.json"} </w:instrText>
      </w:r>
      <w:r w:rsidRPr="009867C1">
        <w:fldChar w:fldCharType="separate"/>
      </w:r>
      <w:r w:rsidR="0042141C" w:rsidRPr="009867C1">
        <w:t>(Moeller &amp; Neubert, 2015)</w:t>
      </w:r>
      <w:r w:rsidRPr="009867C1">
        <w:fldChar w:fldCharType="end"/>
      </w:r>
      <w:r w:rsidRPr="009867C1">
        <w:t xml:space="preserve">. Directly measuring fungal </w:t>
      </w:r>
      <w:r w:rsidR="00BF5309">
        <w:t>communities</w:t>
      </w:r>
      <w:r w:rsidRPr="009867C1">
        <w:t xml:space="preserve"> offers a way to disentangle these hypotheses.</w:t>
      </w:r>
    </w:p>
    <w:p w14:paraId="775E280D" w14:textId="258E3EC1" w:rsidR="00086155" w:rsidRPr="009867C1" w:rsidRDefault="00086155" w:rsidP="00086155">
      <w:r w:rsidRPr="009867C1">
        <w:tab/>
        <w:t xml:space="preserve">This study investigated the response of soil fungal microbiome diversity and composition to natural gradients of marine-derived nutrients in Heiltsuk </w:t>
      </w:r>
      <w:r w:rsidR="00C634A8">
        <w:t>Nation</w:t>
      </w:r>
      <w:r w:rsidRPr="009867C1">
        <w:t xml:space="preserve"> territory on the central coast of British Columbia, Canada (</w:t>
      </w:r>
      <w:r w:rsidRPr="00C634A8">
        <w:t>Appendix A</w:t>
      </w:r>
      <w:r w:rsidRPr="009867C1">
        <w:t xml:space="preserve">). Two environmental </w:t>
      </w:r>
      <w:r w:rsidR="00BF5309">
        <w:t>comparisons</w:t>
      </w:r>
      <w:r w:rsidRPr="009867C1">
        <w:t xml:space="preserve"> were used: one consisting of 23 watersheds along a regional gradient of salmon density, which varies from an average of 0 to 67 kg of salmon per m of linear stream reach per year. The other </w:t>
      </w:r>
      <w:r w:rsidR="00BF5309">
        <w:t xml:space="preserve">comparison </w:t>
      </w:r>
      <w:r w:rsidRPr="009867C1">
        <w:t xml:space="preserve">is between sites above and below salmon-blocking waterfalls at four of these streams. </w:t>
      </w:r>
      <w:r w:rsidR="00BF5309">
        <w:t>I</w:t>
      </w:r>
      <w:r w:rsidRPr="009867C1">
        <w:t xml:space="preserve"> investigated two soils depths: forest floor (0-5 cm depth) and organic soil (10-15 cm); and amplified two gene targets (ITS2 and SSU) to gauge fungal community composition. The ITS2 region was chosen </w:t>
      </w:r>
      <w:r w:rsidR="00565AC4">
        <w:t>due to previous use in identifying</w:t>
      </w:r>
      <w:r w:rsidRPr="009867C1">
        <w:t xml:space="preserve"> ectomycorrhizal fungi, while the SSU region was chosen</w:t>
      </w:r>
      <w:r w:rsidR="00565AC4">
        <w:t xml:space="preserve"> due to previous use in i</w:t>
      </w:r>
      <w:r w:rsidRPr="009867C1">
        <w:t>dentify</w:t>
      </w:r>
      <w:r w:rsidR="00565AC4">
        <w:t>ing</w:t>
      </w:r>
      <w:r w:rsidRPr="009867C1">
        <w:t xml:space="preserve"> arbuscular fungi </w:t>
      </w:r>
      <w:r w:rsidRPr="009867C1">
        <w:fldChar w:fldCharType="begin"/>
      </w:r>
      <w:r w:rsidR="00AC0205">
        <w:instrText xml:space="preserve"> ADDIN ZOTERO_ITEM CSL_CITATION {"citationID":"tiNfxHCk","properties":{"formattedCitation":"(Guichon, 2015)","plainCitation":"(Guichon, 2015)","noteIndex":0},"citationItems":[{"id":351,"uris":["http://zotero.org/users/2189142/items/XDTD8W28"],"itemData":{"id":351,"type":"thesis","publisher":"University of British Columbia","source":"Google Scholar","title":"Mycorrhizal fungi: unlocking their ecology and role in the establishment and growth performance of different conifer species in nutrient-poor coastal forests","title-short":"Mycorrhizal fungi","URL":"https://open.library.ubc.ca/cIRcle/collections/ubctheses/24/items/1.0221252","author":[{"family":"Guichon","given":"Shannon Heather Ann"}],"accessed":{"date-parts":[["2016",8,8]]},"issued":{"date-parts":[["2015"]]},"citation-key":"guichon_2015"}}],"schema":"https://github.com/citation-style-language/schema/raw/master/csl-citation.json"} </w:instrText>
      </w:r>
      <w:r w:rsidRPr="009867C1">
        <w:fldChar w:fldCharType="separate"/>
      </w:r>
      <w:r w:rsidR="0042141C" w:rsidRPr="009867C1">
        <w:t>(Guichon, 2015)</w:t>
      </w:r>
      <w:r w:rsidRPr="009867C1">
        <w:fldChar w:fldCharType="end"/>
      </w:r>
      <w:r w:rsidRPr="009867C1">
        <w:t>. The purpose of this study was to i. quantify and classify, for the first time, fungal communities in salmon forest soils;</w:t>
      </w:r>
      <w:r w:rsidR="00BF5309">
        <w:t xml:space="preserve"> ii</w:t>
      </w:r>
      <w:r w:rsidR="00BF5309" w:rsidRPr="009867C1">
        <w:t xml:space="preserve">. assess differential effects of MDN on </w:t>
      </w:r>
      <w:r w:rsidR="00F31310">
        <w:t>fungal relative abundance;</w:t>
      </w:r>
      <w:r w:rsidRPr="009867C1">
        <w:t xml:space="preserve"> </w:t>
      </w:r>
      <w:r w:rsidR="00BF5309">
        <w:t>iii</w:t>
      </w:r>
      <w:r w:rsidRPr="009867C1">
        <w:t>. assess the effects of MDN on fungal community species richness, Shannon diversity</w:t>
      </w:r>
      <w:r w:rsidR="00A25309">
        <w:t>,</w:t>
      </w:r>
      <w:r w:rsidRPr="009867C1">
        <w:t xml:space="preserve"> and phylogenetic dispersion; iv. assess the effects of MDN on structuring between-site fungal β-diversity. Where possible, </w:t>
      </w:r>
      <w:r w:rsidR="002D4368">
        <w:t>I was</w:t>
      </w:r>
      <w:r w:rsidRPr="009867C1">
        <w:t xml:space="preserve"> interested in identifying differences in these responses between symbiotrophic and saprotrophic feeding strategies. </w:t>
      </w:r>
      <w:r w:rsidR="00F31310">
        <w:t>I</w:t>
      </w:r>
      <w:r w:rsidRPr="009867C1">
        <w:t xml:space="preserve"> predicted (i) that symbiotrophic fungi would dominate fungal sequences at these sites, and (ii) that saprotroph</w:t>
      </w:r>
      <w:r w:rsidR="00F31310">
        <w:t xml:space="preserve"> relative</w:t>
      </w:r>
      <w:r w:rsidRPr="009867C1">
        <w:t xml:space="preserve"> abundance would increase with MDN addition while mycorrhizal abundance could either decrease or increase depending on whether resource heterogeneity or increased nutrient accessibility were more relevant to fungal biomass.</w:t>
      </w:r>
      <w:r w:rsidR="00FD6F99">
        <w:t xml:space="preserve"> I also predicted that salmon would have differential effects on different fungal taxa. </w:t>
      </w:r>
      <w:r w:rsidR="00FE16C1">
        <w:t>I</w:t>
      </w:r>
      <w:r w:rsidRPr="009867C1">
        <w:t xml:space="preserve"> further predicted that (iii) fungal community species richness and Shannon diversity would decrease with salmon density, and that phylogenetic dispersion would mirror plant communities and increase along MDN gradients </w:t>
      </w:r>
      <w:r w:rsidRPr="009867C1">
        <w:fldChar w:fldCharType="begin"/>
      </w:r>
      <w:r w:rsidR="00AC0205">
        <w:instrText xml:space="preserve"> ADDIN ZOTERO_ITEM CSL_CITATION {"citationID":"CsUqk1bT","properties":{"formattedCitation":"(Hurteau et al., 2016)","plainCitation":"(Hurteau et al., 2016)","noteIndex":0},"citationItems":[{"id":798,"uris":["http://zotero.org/users/2189142/items/PERQ85X5"],"itemData":{"id":798,"type":"article-journal","abstract":"A signature of nonrandom phylogenetic community structure has been interpreted as indicating community assembly processes. Significant clustering within the phylogenetic structure of a community can be caused by habitat filtering due to low nutrient availability. Nutrient limitation in temperate Pacific coastal rainforests can be alleviated to some extent by marine nutrient subsidies introduced by migrating salmon, which leave a quantitative signature on the makeup of plant communities near spawning streams. Thus, nutrient-mediated habitat filtering could be reduced by salmon nutrients. Here, we ask how salmon abundance affects the phylogenetic structure of riparian flowering plant assemblages across 50 watersheds in the Great Bear Rainforest of British Columbia, Canada. Based on a regional pool of 60 plant species, we found that assemblages become more phylogenetically dispersed and species poor adjacent to streams with higher salmon spawning density. In contrast, increased phylogenetic clumping and species richness was seen in sites with low salmon density, with steeper slopes, further from the stream edge, and within smaller watersheds. These observations are all consistent with abiotic habitat filtering and biotic competitive exclusion acting together across local and landscape-scale gradients in nutrient availability to structure assembly of riparian flowering plants. In this case, rich salmon nutrients appear to release riparian flowering-plant assemblages from the confines of a low-nutrient habitat filter that drives phylogenetic clustering.","container-title":"Ecology","DOI":"10.1890/15-0379.1","ISSN":"1939-9170","issue":"2","journalAbbreviation":"Ecology","language":"en","page":"450-460","source":"Wiley Online Library","title":"Salmon nutrients are associated with the phylogenetic dispersion of riparian flowering-plant assemblages","volume":"97","author":[{"family":"Hurteau","given":"Leslie A."},{"family":"Mooers","given":"Arne Ø."},{"family":"Reynolds","given":"John D."},{"family":"Hocking","given":"Morgan D."}],"issued":{"date-parts":[["2016",2,1]]},"citation-key":"hurteau_2016"}}],"schema":"https://github.com/citation-style-language/schema/raw/master/csl-citation.json"} </w:instrText>
      </w:r>
      <w:r w:rsidRPr="009867C1">
        <w:fldChar w:fldCharType="separate"/>
      </w:r>
      <w:r w:rsidR="0042141C" w:rsidRPr="009867C1">
        <w:t>(Hurteau et al., 2016)</w:t>
      </w:r>
      <w:r w:rsidRPr="009867C1">
        <w:fldChar w:fldCharType="end"/>
      </w:r>
      <w:r w:rsidRPr="009867C1">
        <w:t xml:space="preserve">. Furthermore, </w:t>
      </w:r>
      <w:r w:rsidR="00120D50">
        <w:t xml:space="preserve">I </w:t>
      </w:r>
      <w:r w:rsidRPr="009867C1">
        <w:t>predicted that that (iv) beta diversity would be affected by MDN across sites</w:t>
      </w:r>
      <w:r w:rsidR="00FD6F99">
        <w:t>.</w:t>
      </w:r>
      <w:r w:rsidRPr="009867C1">
        <w:t xml:space="preserve">  </w:t>
      </w:r>
    </w:p>
    <w:p w14:paraId="7233777A" w14:textId="77777777" w:rsidR="00086155" w:rsidRPr="009867C1" w:rsidRDefault="00086155" w:rsidP="00086155">
      <w:pPr>
        <w:pStyle w:val="Heading3"/>
        <w:rPr>
          <w:lang w:val="en-CA"/>
        </w:rPr>
      </w:pPr>
      <w:bookmarkStart w:id="141" w:name="_Toc99385444"/>
      <w:r w:rsidRPr="009867C1">
        <w:rPr>
          <w:lang w:val="en-CA"/>
        </w:rPr>
        <w:t>Materials and Methods</w:t>
      </w:r>
      <w:bookmarkEnd w:id="141"/>
    </w:p>
    <w:p w14:paraId="3B7B6DCB" w14:textId="77777777" w:rsidR="00086155" w:rsidRPr="009867C1" w:rsidRDefault="00086155" w:rsidP="00086155">
      <w:pPr>
        <w:pStyle w:val="Heading4"/>
      </w:pPr>
      <w:bookmarkStart w:id="142" w:name="_Toc99385445"/>
      <w:r w:rsidRPr="009867C1">
        <w:t>Study sites</w:t>
      </w:r>
      <w:bookmarkEnd w:id="142"/>
    </w:p>
    <w:p w14:paraId="092FE2EF" w14:textId="6CC76698" w:rsidR="00086155" w:rsidRPr="009867C1" w:rsidRDefault="00086155" w:rsidP="00086155">
      <w:pPr>
        <w:ind w:firstLine="720"/>
      </w:pPr>
      <w:r w:rsidRPr="009867C1">
        <w:t>This study was conducted in Heiltsuk First Nation traditional territory in the Central Coast Regional District of British Columbia, Canada, near the town of Bella Bella (</w:t>
      </w:r>
      <w:r w:rsidRPr="00C634A8">
        <w:t xml:space="preserve">Appendix </w:t>
      </w:r>
      <w:r w:rsidRPr="009867C1">
        <w:t xml:space="preserve">A). The study sites are in the Central variant of the Very Wet Hypermaritime subzone of the Coastal Western Hemlock biogeoclimatic zone (CWHvh2) </w:t>
      </w:r>
      <w:r w:rsidRPr="009867C1">
        <w:fldChar w:fldCharType="begin"/>
      </w:r>
      <w:r w:rsidR="00AC0205">
        <w:instrText xml:space="preserve"> ADDIN ZOTERO_ITEM CSL_CITATION {"citationID":"nMf4u7B1","properties":{"formattedCitation":"(MFLNRORD, 2018)","plainCitation":"(MFLNRORD, 2018)","noteIndex":0},"citationItems":[{"id":163,"uris":["http://zotero.org/users/2189142/items/YZ875M43"],"itemData":{"id":163,"type":"map","title":"Biogeoclimatic Ecosystem Classification Subzone/Variant Map for the Mid-Coast Subunit","author":[{"family":"MFLNRORD","given":""}],"issued":{"date-parts":[["2018"]]},"citation-key":"mflnrord_2018"}}],"schema":"https://github.com/citation-style-language/schema/raw/master/csl-citation.json"} </w:instrText>
      </w:r>
      <w:r w:rsidRPr="009867C1">
        <w:fldChar w:fldCharType="separate"/>
      </w:r>
      <w:r w:rsidR="0042141C" w:rsidRPr="009867C1">
        <w:t>(MFLNRORD, 2018)</w:t>
      </w:r>
      <w:r w:rsidRPr="009867C1">
        <w:fldChar w:fldCharType="end"/>
      </w:r>
      <w:r w:rsidRPr="009867C1">
        <w:t xml:space="preserve">. Dominated by a cool maritime climate with high rainfall, the landscape is a mosaic of highland bogs where water is stagnant, and forested slopes where water sheds </w:t>
      </w:r>
      <w:r w:rsidRPr="009867C1">
        <w:fldChar w:fldCharType="begin"/>
      </w:r>
      <w:r w:rsidR="00AC0205">
        <w:instrText xml:space="preserve"> ADDIN ZOTERO_ITEM CSL_CITATION {"citationID":"qCSYHb5T","properties":{"formattedCitation":"(Lamb &amp; Megill, 2003)","plainCitation":"(Lamb &amp; Megill, 2003)","noteIndex":0},"citationItems":[{"id":162,"uris":["http://zotero.org/users/2189142/items/55WKVB49"],"itemData":{"id":162,"type":"article-journal","abstract":"Four distinct vegetation types are found in close proximity along an exposed section of the southern central coast of British Columbia. A coastal fringe of coniferous forest a few hundred metres wide is separated by a steep ecotone from an inland peatland-forest complex. The objectives of this study were (1) to describe the plant communities along the transition from forest to peatland, and (2) to identify some of the major environmental factors associated with those communities using indicator plant analysis. The coastal forest is dominated by Thuja plicata, Tsuga heterophylla, Picea sitchensis, and Chamaecyparis nootkatensis. Characteristic understory species include Gaultheria shallon and Blechnum spicant. Inland from the coastal forest are transitional forest stands with a species-rich understory including Cornus canadensis, Hylocomium splendens, and Vaccinium parvifolium. The peatlands are poor fens characterized by thickets of Pinus contorta and Chamaecyparis nootkatensis among open areas dominated by species such as Sphagnum sp., Empetrum nigrum, Juniperus communis, and bogs characterized by Myrica gale, Eriophorum angustifolium, and Sanguisorba officinalis. Indicator plant analysis identified differences in the ground surface materials, soil moisture and nutrient regime between the vegetation types. The general trend is for an increase in soil moisture from the forest vegetation to the peatlands and a concurrent change from the Mor humus forms that dominate the coastal forest floor to the surface groundwater table of the peatlands. These environmental differences between forest and peatland are likely related to the steeper slopes typically found in the fringe forest vegetation.","container-title":"The Canadian Field-Naturalist","DOI":"10.22621/cfn.v117i2.684","ISSN":"0008-3550","issue":"2","language":"en","page":"209-217","source":"www-canadianfieldnaturalist-ca.ezproxy.library.ubc.ca","title":"The Shoreline Fringe Forest and Adjacent Peatlands of the Southern Central British Columbia Coast","volume":"117","author":[{"family":"Lamb","given":"Eric G."},{"family":"Megill","given":"William"}],"issued":{"date-parts":[["2003"]]},"citation-key":"lamb_2003"}}],"schema":"https://github.com/citation-style-language/schema/raw/master/csl-citation.json"} </w:instrText>
      </w:r>
      <w:r w:rsidRPr="009867C1">
        <w:fldChar w:fldCharType="separate"/>
      </w:r>
      <w:r w:rsidR="0042141C" w:rsidRPr="009867C1">
        <w:t>(Lamb &amp; Megill, 2003)</w:t>
      </w:r>
      <w:r w:rsidRPr="009867C1">
        <w:fldChar w:fldCharType="end"/>
      </w:r>
      <w:r w:rsidRPr="009867C1">
        <w:t>. The forested riparian zones are a mix of western hemlock (</w:t>
      </w:r>
      <w:r w:rsidRPr="009867C1">
        <w:rPr>
          <w:i/>
        </w:rPr>
        <w:t>Tsuga heterophylla</w:t>
      </w:r>
      <w:r w:rsidRPr="009867C1">
        <w:t>), western red cedar (</w:t>
      </w:r>
      <w:r w:rsidRPr="009867C1">
        <w:rPr>
          <w:i/>
        </w:rPr>
        <w:t>Thuja plicata</w:t>
      </w:r>
      <w:r w:rsidRPr="009867C1">
        <w:t>), Amabilis fir (</w:t>
      </w:r>
      <w:r w:rsidRPr="009867C1">
        <w:rPr>
          <w:i/>
        </w:rPr>
        <w:t>Abies amabilis</w:t>
      </w:r>
      <w:r w:rsidRPr="009867C1">
        <w:t>), and Sitka spruce (</w:t>
      </w:r>
      <w:r w:rsidRPr="009867C1">
        <w:rPr>
          <w:i/>
        </w:rPr>
        <w:t>Picea sitchensis</w:t>
      </w:r>
      <w:r w:rsidRPr="009867C1">
        <w:t>), with red alder (</w:t>
      </w:r>
      <w:r w:rsidRPr="009867C1">
        <w:rPr>
          <w:i/>
        </w:rPr>
        <w:t>Alnus rubra</w:t>
      </w:r>
      <w:r w:rsidRPr="009867C1">
        <w:t>) appearing in disturbed sites. The understory includes huckleberry and blueberry species (</w:t>
      </w:r>
      <w:r w:rsidRPr="009867C1">
        <w:rPr>
          <w:i/>
        </w:rPr>
        <w:t>Vaccinium parvifolium, V. alaskensae, and V. ovalifolium</w:t>
      </w:r>
      <w:r w:rsidRPr="009867C1">
        <w:t>), false azalea (</w:t>
      </w:r>
      <w:r w:rsidRPr="009867C1">
        <w:rPr>
          <w:i/>
        </w:rPr>
        <w:t>Menziesia furruginea</w:t>
      </w:r>
      <w:r w:rsidRPr="009867C1">
        <w:t>), salal (</w:t>
      </w:r>
      <w:r w:rsidRPr="009867C1">
        <w:rPr>
          <w:i/>
        </w:rPr>
        <w:t>Gaultheria shallon</w:t>
      </w:r>
      <w:r w:rsidRPr="009867C1">
        <w:t>), salmonberry (</w:t>
      </w:r>
      <w:r w:rsidRPr="009867C1">
        <w:rPr>
          <w:i/>
        </w:rPr>
        <w:t>Rubus spectabilis</w:t>
      </w:r>
      <w:r w:rsidRPr="009867C1">
        <w:t>), and devil’s club (</w:t>
      </w:r>
      <w:r w:rsidRPr="009867C1">
        <w:rPr>
          <w:i/>
        </w:rPr>
        <w:t>Oploplanax horridus</w:t>
      </w:r>
      <w:r w:rsidRPr="009867C1">
        <w:t xml:space="preserve">). </w:t>
      </w:r>
    </w:p>
    <w:p w14:paraId="0D21AAAB" w14:textId="737DC991" w:rsidR="00086155" w:rsidRPr="009867C1" w:rsidRDefault="00086155" w:rsidP="00086155">
      <w:pPr>
        <w:ind w:firstLine="720"/>
      </w:pPr>
      <w:r w:rsidRPr="009867C1">
        <w:t xml:space="preserve">Regional soils are dominated by prevalently alkaline and peralkaline geochemistry </w:t>
      </w:r>
      <w:r w:rsidRPr="009867C1">
        <w:fldChar w:fldCharType="begin"/>
      </w:r>
      <w:r w:rsidR="00AC0205">
        <w:instrText xml:space="preserve"> ADDIN ZOTERO_ITEM CSL_CITATION {"citationID":"mfzDASXs","properties":{"formattedCitation":"(Souther, 1986)","plainCitation":"(Souther, 1986)","noteIndex":0},"citationItems":[{"id":1312,"uris":["http://zotero.org/users/2189142/items/UVSFPGVJ"],"itemData":{"id":1312,"type":"article-journal","abstract":"The Anahim Volcanic Belt extends easterly across central British Columbia, where it includes three large shield volcanoes and numerous small monogenetic cones and lava flows. Potassium–argon dates on the lavas suggest that the onset of volcanic activity progressed from approximately 8 Ma in the west to less than 1 Ma in the east. A western extension of the belt into the strongly uplifted and deeply dissected Coast Mountains is defined by an east-trending zone of chemically distinctive, high-level plutons, dyke swarms, and remnants of eruptive breccia that yield K–Ar dates of 10–14 Ma. The lavas and dykes include both basic (alkali basalt and hawaiite) and salic (trachyte and sodic rhyolite) suites, which have remarkably similar major-element abundances. In addition, moderately to strongly peralkaline rocks (comendite and pantellerite) constitute a major part of the volcanic piles and a lesser proportion of the dykes. Epizonal plutons show an upward zonation from hypersolvus syenite to miarolitic, alkaline..., La ceinture volcanique d'Anahim est déployée vers l'est et traverse le centre de la Colombie-Britannique, où elle englobe trois volcans-boucliers et de nombreux petits cônes monogéniques et ainsi que des coulées de lave. Les datations des laves par potassium–argon révèlent que les épisodes d'activité volcanique sont progressivement plus jeunes d'ouest en est, soit approximativement de 8 Ma à 1 Ma. Un prolongement occidental de la ceinture dans la chaîne Côtière, largement soulevée et intensément disséquée, est défini par une zone chimiquement différente, de direction orientale, formée de plutons épizonaux, de cortèges filoniens et de résidus de brèche éruptive qui fournissent des âges K–Ar de 10–14 Ma. Les laves et les dykes incluent des séquences basiques (basalte alcalin et hawaiite) et saliques (trachyte et rhyolite sodique) qui ont des teneurs en éléments majeurs notamment semblables. En plus, les roches, modérément à fortement peralcalines (comendite et pantellérite), correspondent en majeure partie ...","container-title":"Canadian Journal of Earth Sciences","DOI":"10.1139/e86-091","ISSN":"0008-4077","issue":"6","journalAbbreviation":"Can. J. Earth Sci.","page":"895-908","source":"NRC Research Press","title":"The western Anahim Belt: root zone of a peralkaline magma system","title-short":"The western Anahim Belt","volume":"23","author":[{"family":"Souther","given":"J. G."}],"issued":{"date-parts":[["1986",6,1]]},"citation-key":"souther_1986"}}],"schema":"https://github.com/citation-style-language/schema/raw/master/csl-citation.json"} </w:instrText>
      </w:r>
      <w:r w:rsidRPr="009867C1">
        <w:fldChar w:fldCharType="separate"/>
      </w:r>
      <w:r w:rsidR="0042141C" w:rsidRPr="009867C1">
        <w:t>(Souther, 1986)</w:t>
      </w:r>
      <w:r w:rsidRPr="009867C1">
        <w:fldChar w:fldCharType="end"/>
      </w:r>
      <w:r w:rsidRPr="009867C1">
        <w:t xml:space="preserve">, and recent glacial dynamics imply that soil formation has occurred only in the last ~14,000 years </w:t>
      </w:r>
      <w:r w:rsidRPr="009867C1">
        <w:fldChar w:fldCharType="begin"/>
      </w:r>
      <w:r w:rsidR="00AC0205">
        <w:instrText xml:space="preserve"> ADDIN ZOTERO_ITEM CSL_CITATION {"citationID":"lvqOFxun","properties":{"formattedCitation":"(Eamer et al., 2017)","plainCitation":"(Eamer et al., 2017)","noteIndex":0},"citationItems":[{"id":1700,"uris":["http://zotero.org/users/2189142/items/DR2ZSDQ2"],"itemData":{"id":1700,"type":"article-journal","container-title":"Quaternary Research","issue":"3","page":"468–481","source":"Google Scholar","title":"A glacial readvance during retreat of the Cordilleran Ice Sheet, British Columbia central coast","volume":"87","author":[{"family":"Eamer","given":"Jordan BR"},{"family":"Shugar","given":"Dan H."},{"family":"Walker","given":"Ian J."},{"family":"Lian","given":"Olav B."},{"family":"Neudorf","given":"Christina M."},{"family":"Telka","given":"Alice M."}],"issued":{"date-parts":[["2017"]]},"citation-key":"eamer_2017a"}}],"schema":"https://github.com/citation-style-language/schema/raw/master/csl-citation.json"} </w:instrText>
      </w:r>
      <w:r w:rsidRPr="009867C1">
        <w:fldChar w:fldCharType="separate"/>
      </w:r>
      <w:r w:rsidR="0042141C" w:rsidRPr="009867C1">
        <w:t>(Eamer et al., 2017)</w:t>
      </w:r>
      <w:r w:rsidRPr="009867C1">
        <w:fldChar w:fldCharType="end"/>
      </w:r>
      <w:r w:rsidRPr="009867C1">
        <w:t xml:space="preserve">. Ferro-Humic Podzols dominate the region, extending from northern Vancouver Island to Prince Rupert. The Central Coast is characterized by a narrow coastal band of Folisols that encompass these study sites </w:t>
      </w:r>
      <w:r w:rsidRPr="009867C1">
        <w:fldChar w:fldCharType="begin"/>
      </w:r>
      <w:r w:rsidR="00AC0205">
        <w:instrText xml:space="preserve"> ADDIN ZOTERO_ITEM CSL_CITATION {"citationID":"yvTi9lv1","properties":{"formattedCitation":"(Carpenter et al., 2014)","plainCitation":"(Carpenter et al., 2014)","noteIndex":0},"citationItems":[{"id":904,"uris":["http://zotero.org/users/2189142/items/AWEPCWBQ"],"itemData":{"id":904,"type":"article-journal","abstract":"Temperate rainforests have high conservation and natural resource value, but the soils of this bioregion have not previously been studied as a unit. Here we examine the soils of North America's Pacific coastal temperate rainforests, utilizing databases from the United States Natural Resources Conservation Service and the Canadian Centre for Land and Biological Resources Research to (i) identify the soil taxa, (ii) evaluate the soil properties, and (iii) compare soils in temperate and tropical rainforests. There are strong climate gradients within these temperate rainforests, with the mean temperature declining from 11.7 °C to 6.1 °C and the mean annual precipitation increasing from 1500 mm to around 3000 mm from northern California (CA) to northwestern British Columbia (BC) and southeastern Alaska (AK). There is also high pedodiversity in this region, with soils representing 8 orders and 31 suborders, and, in the US portion, 65 great-groups, 142 subgroups, and 482 soil series. Twenty-six percent of described soil series are endemic to temperate rainforests in the US portion of the region, with the proportion declining with latitude. Dominant soil suborders vary along the latitudinal gradient from Humults–Udalfs/Ustalfs–Udepts–Udults in CA, to Udands–Udepts–Udands Humults in western Oregon (OR) and Washington (WA), to Orthods–Folists in BC and Cryods–Saprists in AK. The dominant diagnostic horizons are ochric/argillic (CA), umbric/cambic (OR, WA), and albic–histic/spodic (BC, AK). Whereas soils in CA, BC, and AK tend to have a mixed mineralogy, those in northern OR and WA commonly are derived from volcaniclastic materials and have a ferrihydritic or isotic mineralogy. Soils in this region are generally deep, hold abundant moisture, are not subject to deep-freezing, and are enriched in extractable Fe and Al. Organic C and total N contents are high overall, but also variable, with right-skewed distributions. Compared to tropical rainforest soils in the Pacific Basin, Pacific temperate rainforest have greater weatherable minerals, cation-exchange capacities, soil organic C, and total exchangeable base cations. However, soils of both bioregions tend to be deep, acidic Al-saturated, and can have large N reservoirs. This investigation provides a foundation for a more unified understanding of the soils of a globally significant bioregion.","container-title":"Geoderma","DOI":"10.1016/j.geoderma.2014.04.023","ISSN":"0016-7061","journalAbbreviation":"Geoderma","page":"250-264","source":"ScienceDirect","title":"Soils of temperate rainforests of the North American Pacific Coast","volume":"230–231","author":[{"family":"Carpenter","given":"Dunbar N."},{"family":"Bockheim","given":"James G."},{"family":"Reich","given":"Paul F."}],"issued":{"date-parts":[["2014",10]]},"citation-key":"carpenter_2014"}}],"schema":"https://github.com/citation-style-language/schema/raw/master/csl-citation.json"} </w:instrText>
      </w:r>
      <w:r w:rsidRPr="009867C1">
        <w:fldChar w:fldCharType="separate"/>
      </w:r>
      <w:r w:rsidR="0042141C" w:rsidRPr="009867C1">
        <w:t>(Carpenter et al., 2014)</w:t>
      </w:r>
      <w:r w:rsidRPr="009867C1">
        <w:fldChar w:fldCharType="end"/>
      </w:r>
      <w:r w:rsidRPr="009867C1">
        <w:t xml:space="preserve">. The soils found at the study sites were primarily Humic and Lignic Folisols (Organic order, Folisol great group), with the occasional Ferro-Humic Podzol (Podzolic order, Ferro-Humic great group) (n=4).  See </w:t>
      </w:r>
      <w:r w:rsidRPr="00C634A8">
        <w:t xml:space="preserve">Appendix A </w:t>
      </w:r>
      <w:r w:rsidRPr="009867C1">
        <w:t>for further soil descriptions.</w:t>
      </w:r>
    </w:p>
    <w:p w14:paraId="5F9D0C4E" w14:textId="739B5C6D" w:rsidR="00086155" w:rsidRPr="009867C1" w:rsidRDefault="00086155" w:rsidP="00086155">
      <w:pPr>
        <w:ind w:firstLine="720"/>
      </w:pPr>
      <w:r w:rsidRPr="009867C1">
        <w:t xml:space="preserve">A total of 23 streams were included in the study, representing a gradient of salmon density (0 – 67 kg salmon per meter of stream reach per year). These streams have been well studied previously </w:t>
      </w:r>
      <w:r w:rsidRPr="009867C1">
        <w:fldChar w:fldCharType="begin"/>
      </w:r>
      <w:r w:rsidR="00AC0205">
        <w:instrText xml:space="preserve"> ADDIN ZOTERO_ITEM CSL_CITATION {"citationID":"NkHeQQSa","properties":{"formattedCitation":"(Hocking &amp; Reynolds, 2011)","plainCitation":"(Hocking &amp; Reynolds, 2011)","noteIndex":0},"citationItems":[{"id":550,"uris":["http://zotero.org/users/2189142/items/JR362H46"],"itemData":{"id":550,"type":"article-journal","abstract":"The study of natural gradients in nutrient subsidies between ecosystems allows for predictions of how changes in one system can affect biodiversity in another. We performed a large-scale empirical test of the role of Pacific salmon (Oncorhynchus spp.) in structuring riparian plant communities. A comparison of 50 watersheds in the remote Great Bear Rainforest of British Columbia’s central coast in Canada shows that salmon influence nutrient loading to plants, shifting plant communities toward nutrient-rich species, which in turn decreases plant diversity. These effects are mediated by interactions between salmon density and the physical characteristics of watersheds. Predicting how salmon affect terrestrial ecosystems is central to conservation plans that aim to better integrate ecosystem values into resource management.","container-title":"Science","DOI":"10.1126/science.1201079","ISSN":"0036-8075, 1095-9203","issue":"6024","journalAbbreviation":"Science","language":"en","note":"PMID: 21442794","page":"1609-1612","source":"www.sciencemag.org.ezproxy.library.ubc.ca","title":"Impacts of Salmon on Riparian Plant Diversity","volume":"331","author":[{"family":"Hocking","given":"Morgan D."},{"family":"Reynolds","given":"John D."}],"issued":{"date-parts":[["2011",3,25]]},"citation-key":"hocking_2011"}}],"schema":"https://github.com/citation-style-language/schema/raw/master/csl-citation.json"} </w:instrText>
      </w:r>
      <w:r w:rsidRPr="009867C1">
        <w:fldChar w:fldCharType="separate"/>
      </w:r>
      <w:r w:rsidR="0042141C" w:rsidRPr="009867C1">
        <w:t>(Hocking &amp; Reynolds, 2011)</w:t>
      </w:r>
      <w:r w:rsidRPr="009867C1">
        <w:fldChar w:fldCharType="end"/>
      </w:r>
      <w:r w:rsidRPr="009867C1">
        <w:t xml:space="preserve"> and have ongoing long term (12+ years) salmon density measurements. Four of the 23 streams had waterfalls, which were included as above/below comparisons. This study was conducted in July and August in order to be as distant annually from the salmon run as possible, and to emphasize long-term and legacy effects of salmon deposition.</w:t>
      </w:r>
    </w:p>
    <w:p w14:paraId="26EDF04B" w14:textId="77777777" w:rsidR="00086155" w:rsidRPr="009867C1" w:rsidRDefault="00086155" w:rsidP="00086155">
      <w:pPr>
        <w:pStyle w:val="Heading4"/>
      </w:pPr>
      <w:bookmarkStart w:id="143" w:name="_Toc99385446"/>
      <w:r w:rsidRPr="009867C1">
        <w:t>Soil sampling</w:t>
      </w:r>
      <w:bookmarkEnd w:id="143"/>
    </w:p>
    <w:p w14:paraId="11282C90" w14:textId="77777777" w:rsidR="00086155" w:rsidRPr="009867C1" w:rsidRDefault="00086155" w:rsidP="00086155">
      <w:pPr>
        <w:ind w:firstLine="720"/>
      </w:pPr>
      <w:r w:rsidRPr="009867C1">
        <w:t xml:space="preserve">Two soil cores were collected from each stream, with an additional two cores above waterfalls in the five watersheds where they occurred. Samples were taken from microsites of flat, deep soil (&gt;50 cm), within 100 m of the stream mouth, and within 60 m perpendicular to the stream. At each microsite, a small soil pit was dug to 50 cm depth and the distance from the stream mouth and to the closest bank recorded. The litter layer was removed and the top 5 cm of the F and H layers were collected as a single sample (“forest floor”). The underlying 10-15 cm of organic soil was collected as a second sample (“organic”). </w:t>
      </w:r>
    </w:p>
    <w:p w14:paraId="4D425672" w14:textId="4B786B19" w:rsidR="00086155" w:rsidRPr="009867C1" w:rsidRDefault="00086155" w:rsidP="00C853EB">
      <w:pPr>
        <w:ind w:firstLine="720"/>
      </w:pPr>
      <w:r w:rsidRPr="009867C1">
        <w:t xml:space="preserve">Forest floors were generally dominated by decomposing moss and conifer needles. Deeper soils were found to match soil maps and were almost exclusively Lignic and Humic Folisols (Drw) </w:t>
      </w:r>
      <w:r w:rsidRPr="009867C1">
        <w:fldChar w:fldCharType="begin"/>
      </w:r>
      <w:r w:rsidR="00AC0205">
        <w:instrText xml:space="preserve"> ADDIN ZOTERO_ITEM CSL_CITATION {"citationID":"BuZRlf8F","properties":{"formattedCitation":"(C. A. Fox &amp; Tarnocai, 2011)","plainCitation":"(C. A. Fox &amp; Tarnocai, 2011)","noteIndex":0},"citationItems":[{"id":1292,"uris":["http://zotero.org/users/2189142/items/6SX9T85W"],"itemData":{"id":1292,"type":"article-journal","abstract":"Fox, C. A. and Tarnocai, C. 2011. Organic soils of Canada: Part 2. Upland Organic soils. Can. J. Soil Sci. 91: 823–842. Soils from upland moderately well-drained environments with thick accumulations (&gt;10 cm over lithic contact; &gt;40 cm over mineral soil) of folic materials (forest materials, branches, roots, and other non-wetland materials) are classified within the Folisol great group in the Organic Order since the 1987 revision of the Canadian System of Soil Classification. The Folisol great group correlates to Folist in Keys to Soil Taxonomy and Folic Histosol in World Reference Base for Soil Resources (FAO). Two subgroups – Hemic and Humic Folisol – account for most Folisols addressing the state of decomposition of folic materials. The Lignic and Histic Folisol subgroups identify specific kinds of folic accumulations. Folisolic soils can occur throughout Canada, in forest, heath, and alpine ecosytems with cool, moist, humid environments, but are most prominent within the Pacific Maritime Ecozone; area..., Fox, C. A. et Tarnocai, C. 2011. Sols organique au canada: Partie 2. Sols organiques des hautes terres. Can. J. Soil Sci. 91: 823–842. Depuis la révision, en 1987, du Système canadien de classification des sols, les sols des hautes terres modérément bien drainés qui se caractérisent par l'accumulation d'une couche épaisse (&gt; 10 cm sur l'assise rocheuse; &gt; 40 cm sur le sol minéral) de matériaux foliques (matériaux d'origine forestière, branches, racines et autres matériaux ne venant pas des terres humides) sont classés dans le grand groupe des folisols, de l'ordre des sols organiques. Ce groupe correspond à la catégorie « Folist » dans keys to Soil Taxonomy et à celle des Histosols Foliques dans la Base de référence mondiale pour les ressources en sols de la FAO. La plupart des Folisols se retrouvent dans deux sous-groupes (Folisols hémiques et humiques), selon le degré de décomposition des matériaux foliques. Les sous-groupes des Folisols ligniques et histiques identifient une accumulation particulière de...","container-title":"Canadian Journal of Soil Science","DOI":"10.4141/cjss10032","ISSN":"0008-4271","issue":"5","journalAbbreviation":"Can. J. Soil. Sci.","page":"823-842","source":"NRC Research Press","title":"Organic soils of Canada: Part 2. Upland Organic soils","title-short":"Organic soils of Canada","volume":"91","author":[{"family":"Fox","given":"C.A."},{"family":"Tarnocai","given":"Charles"}],"issued":{"date-parts":[["2011",1,1]]},"citation-key":"fox_2011"}}],"schema":"https://github.com/citation-style-language/schema/raw/master/csl-citation.json"} </w:instrText>
      </w:r>
      <w:r w:rsidRPr="009867C1">
        <w:fldChar w:fldCharType="separate"/>
      </w:r>
      <w:r w:rsidR="0042141C" w:rsidRPr="009867C1">
        <w:t>(C. A. Fox &amp; Tarnocai, 2011)</w:t>
      </w:r>
      <w:r w:rsidRPr="009867C1">
        <w:fldChar w:fldCharType="end"/>
      </w:r>
      <w:r w:rsidRPr="009867C1">
        <w:t xml:space="preserve">, with homogenous organic composition of down to gravel or bedrock. </w:t>
      </w:r>
    </w:p>
    <w:p w14:paraId="04FB2DDB" w14:textId="77777777" w:rsidR="00086155" w:rsidRPr="009867C1" w:rsidRDefault="00086155" w:rsidP="00086155"/>
    <w:p w14:paraId="331AE740" w14:textId="77777777" w:rsidR="00086155" w:rsidRPr="009867C1" w:rsidRDefault="00086155" w:rsidP="00086155">
      <w:pPr>
        <w:pStyle w:val="Heading4"/>
      </w:pPr>
      <w:bookmarkStart w:id="144" w:name="_Toc99385447"/>
      <w:r w:rsidRPr="009867C1">
        <w:t>Plant Community and Watershed Size</w:t>
      </w:r>
      <w:bookmarkEnd w:id="144"/>
    </w:p>
    <w:p w14:paraId="2A266109" w14:textId="77777777" w:rsidR="00086155" w:rsidRPr="009867C1" w:rsidRDefault="00086155" w:rsidP="00086155">
      <w:pPr>
        <w:ind w:firstLine="720"/>
      </w:pPr>
      <w:r w:rsidRPr="009867C1">
        <w:t xml:space="preserve">At each core, the largest tree (the “dominant tree”) was identified to species and its size and proximity to the core estimated. Trees and shrubs, and herbs and mosses, were recorded with a two-tiered nested approach. </w:t>
      </w:r>
    </w:p>
    <w:p w14:paraId="1D65677F" w14:textId="77777777" w:rsidR="00086155" w:rsidRPr="009867C1" w:rsidRDefault="00086155" w:rsidP="00086155">
      <w:pPr>
        <w:ind w:firstLine="720"/>
      </w:pPr>
      <w:r w:rsidRPr="009867C1">
        <w:t xml:space="preserve">First, a 5 m radius circular plot was centered on the soil core and every tree with dbh &gt; 1 cm recorded. Tree species identity, circumference, distance and relative bearing from the core were measured. To estimate the effect of each tree on the soil core, a “tree influence index” was calculated as: </w:t>
      </w:r>
    </w:p>
    <w:p w14:paraId="564022B7" w14:textId="77777777" w:rsidR="00086155" w:rsidRPr="009867C1" w:rsidRDefault="00557CA9" w:rsidP="00086155">
      <w:pPr>
        <w:ind w:firstLine="720"/>
        <w:jc w:val="center"/>
      </w:pPr>
      <m:oMath>
        <m:sSub>
          <m:sSubPr>
            <m:ctrlPr>
              <w:rPr>
                <w:rFonts w:ascii="Cambria Math" w:hAnsi="Cambria Math"/>
                <w:i/>
              </w:rPr>
            </m:ctrlPr>
          </m:sSubPr>
          <m:e>
            <m:r>
              <w:rPr>
                <w:rFonts w:ascii="Cambria Math" w:hAnsi="Cambria Math"/>
              </w:rPr>
              <m:t>i</m:t>
            </m:r>
          </m:e>
          <m:sub>
            <m:r>
              <w:rPr>
                <w:rFonts w:ascii="Cambria Math" w:hAnsi="Cambria Math"/>
              </w:rPr>
              <m:t>tree</m:t>
            </m:r>
          </m:sub>
        </m:sSub>
        <m:r>
          <w:rPr>
            <w:rFonts w:ascii="Cambria Math" w:hAnsi="Cambria Math"/>
          </w:rPr>
          <m:t>=</m:t>
        </m:r>
        <m:f>
          <m:fPr>
            <m:ctrlPr>
              <w:rPr>
                <w:rFonts w:ascii="Cambria Math" w:hAnsi="Cambria Math"/>
                <w:i/>
              </w:rPr>
            </m:ctrlPr>
          </m:fPr>
          <m:num>
            <m:r>
              <w:rPr>
                <w:rFonts w:ascii="Cambria Math" w:hAnsi="Cambria Math"/>
              </w:rPr>
              <m:t>circumference</m:t>
            </m:r>
          </m:num>
          <m:den>
            <m:r>
              <w:rPr>
                <w:rFonts w:ascii="Cambria Math" w:hAnsi="Cambria Math"/>
              </w:rPr>
              <m:t>distance to soil core</m:t>
            </m:r>
          </m:den>
        </m:f>
        <m:r>
          <w:rPr>
            <w:rFonts w:ascii="Cambria Math" w:hAnsi="Cambria Math"/>
          </w:rPr>
          <m:t xml:space="preserve"> </m:t>
        </m:r>
      </m:oMath>
      <w:r w:rsidR="00086155" w:rsidRPr="009867C1">
        <w:t>.</w:t>
      </w:r>
    </w:p>
    <w:p w14:paraId="7580AD6E" w14:textId="77777777" w:rsidR="00086155" w:rsidRPr="009867C1" w:rsidRDefault="00086155" w:rsidP="00086155">
      <w:r w:rsidRPr="009867C1">
        <w:t>Similarly, shrubs with height &gt;1 m were identified to species and their aboveground size estimated by measuring their cubic volume (</w:t>
      </w:r>
      <m:oMath>
        <m:r>
          <w:rPr>
            <w:rFonts w:ascii="Cambria Math" w:hAnsi="Cambria Math"/>
          </w:rPr>
          <m:t>h x l x w</m:t>
        </m:r>
      </m:oMath>
      <w:r w:rsidRPr="009867C1">
        <w:t>). Their distance and bearing to the core was measured, and these figures combined to estimate the effect of each shrub on the soil core as a “shrub influence index”, calculated as:</w:t>
      </w:r>
    </w:p>
    <w:p w14:paraId="648A44D4" w14:textId="77777777" w:rsidR="00086155" w:rsidRPr="009867C1" w:rsidRDefault="00557CA9" w:rsidP="00086155">
      <w:pPr>
        <w:jc w:val="center"/>
      </w:pPr>
      <m:oMath>
        <m:sSub>
          <m:sSubPr>
            <m:ctrlPr>
              <w:rPr>
                <w:rFonts w:ascii="Cambria Math" w:hAnsi="Cambria Math"/>
                <w:i/>
              </w:rPr>
            </m:ctrlPr>
          </m:sSubPr>
          <m:e>
            <m:r>
              <w:rPr>
                <w:rFonts w:ascii="Cambria Math" w:hAnsi="Cambria Math"/>
              </w:rPr>
              <m:t>i</m:t>
            </m:r>
          </m:e>
          <m:sub>
            <m:r>
              <w:rPr>
                <w:rFonts w:ascii="Cambria Math" w:hAnsi="Cambria Math"/>
              </w:rPr>
              <m:t>shrub</m:t>
            </m:r>
          </m:sub>
        </m:sSub>
        <m:r>
          <w:rPr>
            <w:rFonts w:ascii="Cambria Math" w:hAnsi="Cambria Math"/>
          </w:rPr>
          <m:t>=</m:t>
        </m:r>
        <m:f>
          <m:fPr>
            <m:ctrlPr>
              <w:rPr>
                <w:rFonts w:ascii="Cambria Math" w:hAnsi="Cambria Math"/>
                <w:i/>
              </w:rPr>
            </m:ctrlPr>
          </m:fPr>
          <m:num>
            <m:r>
              <w:rPr>
                <w:rFonts w:ascii="Cambria Math" w:hAnsi="Cambria Math"/>
              </w:rPr>
              <m:t>shrub volume</m:t>
            </m:r>
          </m:num>
          <m:den>
            <m:r>
              <w:rPr>
                <w:rFonts w:ascii="Cambria Math" w:hAnsi="Cambria Math"/>
              </w:rPr>
              <m:t>distance to soil core</m:t>
            </m:r>
          </m:den>
        </m:f>
      </m:oMath>
      <w:r w:rsidR="00086155" w:rsidRPr="009867C1">
        <w:t>.</w:t>
      </w:r>
    </w:p>
    <w:p w14:paraId="277F5A33" w14:textId="77777777" w:rsidR="00086155" w:rsidRPr="009867C1" w:rsidRDefault="00086155" w:rsidP="00086155"/>
    <w:p w14:paraId="5BB4208E" w14:textId="77777777" w:rsidR="00086155" w:rsidRPr="009867C1" w:rsidRDefault="00086155" w:rsidP="00086155">
      <w:r w:rsidRPr="009867C1">
        <w:t xml:space="preserve">For each tree and shrub species </w:t>
      </w:r>
      <w:r w:rsidRPr="009867C1">
        <w:rPr>
          <w:i/>
        </w:rPr>
        <w:t>j,</w:t>
      </w:r>
      <w:r w:rsidRPr="009867C1">
        <w:t xml:space="preserve"> the influence indices of all individuals at each plot were summed, giving an estimate of the aggregate effect of species </w:t>
      </w:r>
      <w:r w:rsidRPr="009867C1">
        <w:rPr>
          <w:i/>
        </w:rPr>
        <w:t>j</w:t>
      </w:r>
      <w:r w:rsidRPr="009867C1">
        <w:t xml:space="preserve"> on each soil core.   </w:t>
      </w:r>
    </w:p>
    <w:p w14:paraId="2851D31C" w14:textId="77777777" w:rsidR="00086155" w:rsidRPr="009867C1" w:rsidRDefault="00086155" w:rsidP="00086155">
      <w:r w:rsidRPr="009867C1">
        <w:t>Next, a smaller 1 m</w:t>
      </w:r>
      <w:r w:rsidRPr="009867C1">
        <w:rPr>
          <w:vertAlign w:val="superscript"/>
        </w:rPr>
        <w:t>2</w:t>
      </w:r>
      <w:r w:rsidRPr="009867C1">
        <w:t xml:space="preserve"> plot was centered on the soil core. Percent cover of each moss and herb species </w:t>
      </w:r>
      <w:r w:rsidRPr="009867C1">
        <w:rPr>
          <w:i/>
        </w:rPr>
        <w:t>j</w:t>
      </w:r>
      <w:r w:rsidRPr="009867C1">
        <w:t xml:space="preserve"> was visually assessed. This again provides an estimate for each moss and herb species </w:t>
      </w:r>
      <w:r w:rsidRPr="009867C1">
        <w:rPr>
          <w:i/>
        </w:rPr>
        <w:t xml:space="preserve">j </w:t>
      </w:r>
      <w:r w:rsidRPr="009867C1">
        <w:t xml:space="preserve">localized around the soil core in every plot. </w:t>
      </w:r>
    </w:p>
    <w:p w14:paraId="740F82A6" w14:textId="67F6A601" w:rsidR="00086155" w:rsidRPr="009867C1" w:rsidRDefault="00086155" w:rsidP="00C634A8">
      <w:r w:rsidRPr="009867C1">
        <w:t xml:space="preserve">Finally, dimensionality of tree influence indices, shrub influence indices, moss percent cover, and herb percent cover were each reduced via principal component analysis (PCA) for use as explanatory variables in later analyses. This resulted in one PCA for each of the four vegetation layers. In each PCA, the variation explained and major loading for the first principal axis was: moss (36% of variation explained; positive direction - lanky moss); herbs (35%; positive – salal, deer fern; negative – false lily of the valley, spiny wood fern); shrubs (34%; positive – salal; negative – false azalea, </w:t>
      </w:r>
      <w:r w:rsidR="00A25309" w:rsidRPr="00A25309">
        <w:rPr>
          <w:i/>
          <w:iCs/>
        </w:rPr>
        <w:t>V</w:t>
      </w:r>
      <w:r w:rsidRPr="00A25309">
        <w:rPr>
          <w:i/>
          <w:iCs/>
        </w:rPr>
        <w:t>accinium</w:t>
      </w:r>
      <w:r w:rsidRPr="009867C1">
        <w:t xml:space="preserve"> sp</w:t>
      </w:r>
      <w:r w:rsidR="00A25309">
        <w:t>p</w:t>
      </w:r>
      <w:r w:rsidRPr="009867C1">
        <w:t>.); trees (39% of variation; negative – cedar) (</w:t>
      </w:r>
      <w:r w:rsidRPr="00C634A8">
        <w:t xml:space="preserve">Appendix </w:t>
      </w:r>
      <w:r w:rsidRPr="009867C1">
        <w:t>C).</w:t>
      </w:r>
    </w:p>
    <w:p w14:paraId="12141A96" w14:textId="77777777" w:rsidR="00086155" w:rsidRPr="009867C1" w:rsidRDefault="00086155" w:rsidP="00C853EB">
      <w:pPr>
        <w:ind w:firstLine="720"/>
      </w:pPr>
      <w:r w:rsidRPr="009867C1">
        <w:t>To account for watershed size as an explanatory variable, PCA was conducted using catchment area, stream magnitude, spawning length, and bankfull width (after Wagner &amp; Reynolds 2019). The first axis accounted for 52% of the variation and was used as an explanatory variable where appropriate in downstream analysis.</w:t>
      </w:r>
    </w:p>
    <w:p w14:paraId="284C9EC5" w14:textId="77777777" w:rsidR="00086155" w:rsidRPr="009867C1" w:rsidRDefault="00086155" w:rsidP="00086155">
      <w:pPr>
        <w:pStyle w:val="NoSpacing"/>
        <w:ind w:firstLine="720"/>
        <w:rPr>
          <w:rFonts w:ascii="Times New Roman" w:hAnsi="Times New Roman" w:cs="Times New Roman"/>
        </w:rPr>
      </w:pPr>
    </w:p>
    <w:p w14:paraId="1E73C0D6" w14:textId="77777777" w:rsidR="00086155" w:rsidRPr="009867C1" w:rsidRDefault="00086155" w:rsidP="00086155">
      <w:pPr>
        <w:pStyle w:val="Heading4"/>
      </w:pPr>
      <w:bookmarkStart w:id="145" w:name="_Toc99385448"/>
      <w:r w:rsidRPr="009867C1">
        <w:t>Salmon density data</w:t>
      </w:r>
      <w:bookmarkEnd w:id="145"/>
    </w:p>
    <w:p w14:paraId="59B9A057" w14:textId="0A473A80" w:rsidR="00086155" w:rsidRPr="009867C1" w:rsidRDefault="00086155" w:rsidP="00086155">
      <w:pPr>
        <w:ind w:firstLine="720"/>
      </w:pPr>
      <w:r w:rsidRPr="009867C1">
        <w:t>Annual fish data was contributed by the Reynolds lab at Simon Fraser University, Department of Fisheries and Oceans, and the Heiltsuk First Nation (</w:t>
      </w:r>
      <w:r w:rsidRPr="00C634A8">
        <w:t xml:space="preserve">Appendix </w:t>
      </w:r>
      <w:r w:rsidRPr="009867C1">
        <w:t xml:space="preserve">B). Salmon biomass for year </w:t>
      </w:r>
      <w:r w:rsidRPr="009867C1">
        <w:rPr>
          <w:i/>
        </w:rPr>
        <w:t>t</w:t>
      </w:r>
      <w:r w:rsidRPr="009867C1">
        <w:t xml:space="preserve"> at site </w:t>
      </w:r>
      <w:r w:rsidRPr="009867C1">
        <w:rPr>
          <w:i/>
        </w:rPr>
        <w:t>j</w:t>
      </w:r>
      <w:r w:rsidRPr="009867C1">
        <w:t xml:space="preserve"> was calculated by multiplying annual salmon escapement estimates of site </w:t>
      </w:r>
      <w:r w:rsidRPr="009867C1">
        <w:rPr>
          <w:i/>
        </w:rPr>
        <w:t>j</w:t>
      </w:r>
      <w:r w:rsidRPr="009867C1">
        <w:t xml:space="preserve"> by the average biomass of the corresponding species </w:t>
      </w:r>
      <w:r w:rsidRPr="009867C1">
        <w:rPr>
          <w:i/>
        </w:rPr>
        <w:t>i</w:t>
      </w:r>
      <w:r w:rsidRPr="009867C1">
        <w:t xml:space="preserve"> at spawning time </w:t>
      </w:r>
      <m:oMath>
        <m:r>
          <w:rPr>
            <w:rFonts w:ascii="Cambria Math" w:hAnsi="Cambria Math"/>
          </w:rPr>
          <m:t>(</m:t>
        </m:r>
        <m:sSub>
          <m:sSubPr>
            <m:ctrlPr>
              <w:rPr>
                <w:rFonts w:ascii="Cambria Math" w:hAnsi="Cambria Math"/>
                <w:i/>
              </w:rPr>
            </m:ctrlPr>
          </m:sSubPr>
          <m:e>
            <m:r>
              <w:rPr>
                <w:rFonts w:ascii="Cambria Math" w:hAnsi="Cambria Math"/>
              </w:rPr>
              <m:t>estimated biomass</m:t>
            </m:r>
          </m:e>
          <m:sub>
            <m:r>
              <w:rPr>
                <w:rFonts w:ascii="Cambria Math" w:hAnsi="Cambria Math"/>
              </w:rPr>
              <m:t>tj</m:t>
            </m:r>
          </m:sub>
        </m:sSub>
        <m:r>
          <w:rPr>
            <w:rFonts w:ascii="Cambria Math" w:hAnsi="Cambria Math"/>
          </w:rPr>
          <m:t>=</m:t>
        </m:r>
        <m:nary>
          <m:naryPr>
            <m:chr m:val="∑"/>
            <m:limLoc m:val="undOvr"/>
            <m:ctrlPr>
              <w:rPr>
                <w:rFonts w:ascii="Cambria Math" w:hAnsi="Cambria Math"/>
                <w:i/>
              </w:rPr>
            </m:ctrlPr>
          </m:naryPr>
          <m:sub>
            <m:r>
              <w:rPr>
                <w:rFonts w:ascii="Cambria Math" w:hAnsi="Cambria Math"/>
              </w:rPr>
              <m:t>i=1</m:t>
            </m:r>
          </m:sub>
          <m:sup>
            <m:r>
              <w:rPr>
                <w:rFonts w:ascii="Cambria Math" w:hAnsi="Cambria Math"/>
              </w:rPr>
              <m:t>4</m:t>
            </m:r>
          </m:sup>
          <m:e>
            <m:sSub>
              <m:sSubPr>
                <m:ctrlPr>
                  <w:rPr>
                    <w:rFonts w:ascii="Cambria Math" w:hAnsi="Cambria Math"/>
                    <w:i/>
                  </w:rPr>
                </m:ctrlPr>
              </m:sSubPr>
              <m:e>
                <m:r>
                  <w:rPr>
                    <w:rFonts w:ascii="Cambria Math" w:hAnsi="Cambria Math"/>
                  </w:rPr>
                  <m:t>escapement</m:t>
                </m:r>
              </m:e>
              <m:sub>
                <m:r>
                  <w:rPr>
                    <w:rFonts w:ascii="Cambria Math" w:hAnsi="Cambria Math"/>
                  </w:rPr>
                  <m:t>tji</m:t>
                </m:r>
              </m:sub>
            </m:sSub>
            <m:r>
              <w:rPr>
                <w:rFonts w:ascii="Cambria Math" w:hAnsi="Cambria Math"/>
              </w:rPr>
              <m:t>*</m:t>
            </m:r>
            <m:sSub>
              <m:sSubPr>
                <m:ctrlPr>
                  <w:rPr>
                    <w:rFonts w:ascii="Cambria Math" w:hAnsi="Cambria Math"/>
                    <w:i/>
                  </w:rPr>
                </m:ctrlPr>
              </m:sSubPr>
              <m:e>
                <m:r>
                  <w:rPr>
                    <w:rFonts w:ascii="Cambria Math" w:hAnsi="Cambria Math"/>
                  </w:rPr>
                  <m:t>average individual biomass at spawning</m:t>
                </m:r>
              </m:e>
              <m:sub>
                <m:r>
                  <w:rPr>
                    <w:rFonts w:ascii="Cambria Math" w:hAnsi="Cambria Math"/>
                  </w:rPr>
                  <m:t xml:space="preserve"> i</m:t>
                </m:r>
              </m:sub>
            </m:sSub>
          </m:e>
        </m:nary>
      </m:oMath>
      <w:r w:rsidRPr="009867C1">
        <w:t>). Four salmon species are found in these study sites: Chum (</w:t>
      </w:r>
      <w:r w:rsidRPr="009867C1">
        <w:rPr>
          <w:i/>
        </w:rPr>
        <w:t>Oncorhynchus keta</w:t>
      </w:r>
      <w:r w:rsidRPr="009867C1">
        <w:t>), Pink (</w:t>
      </w:r>
      <w:r w:rsidRPr="009867C1">
        <w:rPr>
          <w:i/>
        </w:rPr>
        <w:t>O. gorbusha</w:t>
      </w:r>
      <w:r w:rsidRPr="009867C1">
        <w:t>), Coho (</w:t>
      </w:r>
      <w:r w:rsidRPr="009867C1">
        <w:rPr>
          <w:i/>
        </w:rPr>
        <w:t>O. kisutch</w:t>
      </w:r>
      <w:r w:rsidRPr="009867C1">
        <w:t>), and Sockeye (</w:t>
      </w:r>
      <w:r w:rsidRPr="009867C1">
        <w:rPr>
          <w:i/>
        </w:rPr>
        <w:t>O. nerka</w:t>
      </w:r>
      <w:r w:rsidRPr="009867C1">
        <w:t xml:space="preserve">); biomass estimates at spawning for Chum and Pink were taken from previous values at these sites </w:t>
      </w:r>
      <w:r w:rsidRPr="009867C1">
        <w:fldChar w:fldCharType="begin"/>
      </w:r>
      <w:r w:rsidR="00AC0205">
        <w:instrText xml:space="preserve"> ADDIN ZOTERO_ITEM CSL_CITATION {"citationID":"HjOlTk4c","properties":{"formattedCitation":"(Hocking &amp; Reynolds, 2011)","plainCitation":"(Hocking &amp; Reynolds, 2011)","noteIndex":0},"citationItems":[{"id":550,"uris":["http://zotero.org/users/2189142/items/JR362H46"],"itemData":{"id":550,"type":"article-journal","abstract":"The study of natural gradients in nutrient subsidies between ecosystems allows for predictions of how changes in one system can affect biodiversity in another. We performed a large-scale empirical test of the role of Pacific salmon (Oncorhynchus spp.) in structuring riparian plant communities. A comparison of 50 watersheds in the remote Great Bear Rainforest of British Columbia’s central coast in Canada shows that salmon influence nutrient loading to plants, shifting plant communities toward nutrient-rich species, which in turn decreases plant diversity. These effects are mediated by interactions between salmon density and the physical characteristics of watersheds. Predicting how salmon affect terrestrial ecosystems is central to conservation plans that aim to better integrate ecosystem values into resource management.","container-title":"Science","DOI":"10.1126/science.1201079","ISSN":"0036-8075, 1095-9203","issue":"6024","journalAbbreviation":"Science","language":"en","note":"PMID: 21442794","page":"1609-1612","source":"www.sciencemag.org.ezproxy.library.ubc.ca","title":"Impacts of Salmon on Riparian Plant Diversity","volume":"331","author":[{"family":"Hocking","given":"Morgan D."},{"family":"Reynolds","given":"John D."}],"issued":{"date-parts":[["2011",3,25]]},"citation-key":"hocking_2011"}}],"schema":"https://github.com/citation-style-language/schema/raw/master/csl-citation.json"} </w:instrText>
      </w:r>
      <w:r w:rsidRPr="009867C1">
        <w:fldChar w:fldCharType="separate"/>
      </w:r>
      <w:r w:rsidR="0042141C" w:rsidRPr="009867C1">
        <w:t>(Hocking &amp; Reynolds, 2011)</w:t>
      </w:r>
      <w:r w:rsidRPr="009867C1">
        <w:fldChar w:fldCharType="end"/>
      </w:r>
      <w:r w:rsidRPr="009867C1">
        <w:t xml:space="preserve">, and Coho and Sockeye were taken from the literature </w:t>
      </w:r>
      <w:r w:rsidRPr="009867C1">
        <w:fldChar w:fldCharType="begin"/>
      </w:r>
      <w:r w:rsidR="00AC0205">
        <w:instrText xml:space="preserve"> ADDIN ZOTERO_ITEM CSL_CITATION {"citationID":"TevLbUIS","properties":{"formattedCitation":"(Shaul et al., 2007)","plainCitation":"(Shaul et al., 2007)","noteIndex":0},"citationItems":[{"id":2031,"uris":["http://zotero.org/users/2189142/items/3M2FI2NH"],"itemData":{"id":2031,"type":"article-journal","container-title":"North Pacific Anadromous Fish Commission Bulletin","page":"93–104","source":"Google Scholar","title":"Trends in abundance and size of coho salmon in the Pacific Rim","volume":"4","author":[{"family":"Shaul","given":"Leon"},{"family":"Weitkamp","given":"Laurie"},{"family":"Simpson","given":"Kent"},{"family":"Sawada","given":"Joel"}],"issued":{"date-parts":[["2007"]]},"citation-key":"shaul_2007"}}],"schema":"https://github.com/citation-style-language/schema/raw/master/csl-citation.json"} </w:instrText>
      </w:r>
      <w:r w:rsidRPr="009867C1">
        <w:fldChar w:fldCharType="separate"/>
      </w:r>
      <w:r w:rsidR="0042141C" w:rsidRPr="009867C1">
        <w:t>(Shaul et al., 2007)</w:t>
      </w:r>
      <w:r w:rsidRPr="009867C1">
        <w:fldChar w:fldCharType="end"/>
      </w:r>
      <w:r w:rsidRPr="009867C1">
        <w:t xml:space="preserve">. Chum and Pink accounted for the vast majority of salmon at the sites (&gt;90% of total biomass). Annual biomass measures for each stream </w:t>
      </w:r>
      <w:r w:rsidRPr="009867C1">
        <w:rPr>
          <w:i/>
        </w:rPr>
        <w:t>j</w:t>
      </w:r>
      <w:r w:rsidRPr="009867C1">
        <w:t xml:space="preserve"> were estimated with a 3-year moving average.  From these biomass estimates, density indices were calculated by dividing estimated biomass by the length of spawning reach of each watershed </w:t>
      </w:r>
      <m:oMath>
        <m:r>
          <w:rPr>
            <w:rFonts w:ascii="Cambria Math" w:hAnsi="Cambria Math"/>
          </w:rPr>
          <m:t>(density=</m:t>
        </m:r>
        <m:f>
          <m:fPr>
            <m:ctrlPr>
              <w:rPr>
                <w:rFonts w:ascii="Cambria Math" w:hAnsi="Cambria Math"/>
                <w:i/>
              </w:rPr>
            </m:ctrlPr>
          </m:fPr>
          <m:num>
            <m:r>
              <w:rPr>
                <w:rFonts w:ascii="Cambria Math" w:hAnsi="Cambria Math"/>
              </w:rPr>
              <m:t>estimated biomass</m:t>
            </m:r>
          </m:num>
          <m:den>
            <m:r>
              <w:rPr>
                <w:rFonts w:ascii="Cambria Math" w:hAnsi="Cambria Math"/>
              </w:rPr>
              <m:t>length of spawning reach</m:t>
            </m:r>
          </m:den>
        </m:f>
        <m:r>
          <w:rPr>
            <w:rFonts w:ascii="Cambria Math" w:hAnsi="Cambria Math"/>
          </w:rPr>
          <m:t xml:space="preserve"> )</m:t>
        </m:r>
      </m:oMath>
      <w:r w:rsidRPr="009867C1">
        <w:t xml:space="preserve"> and is henceforth referred to as “salmon density”. Its units are thus </w:t>
      </w:r>
      <m:oMath>
        <m:f>
          <m:fPr>
            <m:ctrlPr>
              <w:rPr>
                <w:rFonts w:ascii="Cambria Math" w:hAnsi="Cambria Math"/>
                <w:i/>
              </w:rPr>
            </m:ctrlPr>
          </m:fPr>
          <m:num>
            <m:r>
              <w:rPr>
                <w:rFonts w:ascii="Cambria Math" w:hAnsi="Cambria Math"/>
              </w:rPr>
              <m:t>(kg of salmon)</m:t>
            </m:r>
          </m:num>
          <m:den>
            <m:r>
              <w:rPr>
                <w:rFonts w:ascii="Cambria Math" w:hAnsi="Cambria Math"/>
              </w:rPr>
              <m:t xml:space="preserve">(m of stream reach)(year) </m:t>
            </m:r>
          </m:den>
        </m:f>
      </m:oMath>
      <w:r w:rsidRPr="009867C1">
        <w:t xml:space="preserve">(see </w:t>
      </w:r>
      <w:r w:rsidRPr="00C634A8">
        <w:t xml:space="preserve">Appendix </w:t>
      </w:r>
      <w:r w:rsidRPr="009867C1">
        <w:t xml:space="preserve">B for further information). </w:t>
      </w:r>
    </w:p>
    <w:p w14:paraId="41491833" w14:textId="34778327" w:rsidR="00086155" w:rsidRPr="009867C1" w:rsidRDefault="00086155" w:rsidP="00086155">
      <w:pPr>
        <w:pStyle w:val="Heading4"/>
      </w:pPr>
      <w:bookmarkStart w:id="146" w:name="_Toc99385449"/>
      <w:r w:rsidRPr="009867C1">
        <w:t>Molecular analysis</w:t>
      </w:r>
      <w:bookmarkEnd w:id="146"/>
      <w:r w:rsidRPr="009867C1">
        <w:t xml:space="preserve"> </w:t>
      </w:r>
    </w:p>
    <w:p w14:paraId="2C323A44" w14:textId="456C4FFB" w:rsidR="00086155" w:rsidRPr="009867C1" w:rsidRDefault="00086155" w:rsidP="00086155">
      <w:pPr>
        <w:ind w:firstLine="720"/>
      </w:pPr>
      <w:r w:rsidRPr="009867C1">
        <w:t>DNA was extracted from 5 mg of wet soil using the Powersoil DNA isolation kit (MoBio Laboratories Inc., Carlsbad, CA, USA). DNA concentration and quality was quantified using a NanoDrop 2000 (Thermo Fisher Scientific Inc, Wilmington, DE, USA) and Quantus fluorometer (Promega, Madison, WI, USA) using the Qubit dsDNA HS assay kit (Thermo Fisher Scientific Inc, Wilmington, DE, USA). DNA was diluted to 10 ng/</w:t>
      </w:r>
      <w:r w:rsidR="001043A7">
        <w:t>µ</w:t>
      </w:r>
      <w:r w:rsidRPr="009867C1">
        <w:t xml:space="preserve">l and PCR amplicons created and quality control conducted by BC Cancer Genome Science Center (Vancouver, BC). Amplified regions were then pooled by template, Direct Seq libraries constructed, and libraries pooled to be sequenced in a single Illumina MiSeq 250 base PET run with v3 chemistry. Two regions were amplified: the ITS2 region, using primers gITS7 (F) </w:t>
      </w:r>
      <w:r w:rsidRPr="009867C1">
        <w:fldChar w:fldCharType="begin"/>
      </w:r>
      <w:r w:rsidR="00AC0205">
        <w:instrText xml:space="preserve"> ADDIN ZOTERO_ITEM CSL_CITATION {"citationID":"Qbs73tBX","properties":{"formattedCitation":"(Ihrmark et al., 2012)","plainCitation":"(Ihrmark et al., 2012)","noteIndex":0},"citationItems":[{"id":1062,"uris":["http://zotero.org/users/2189142/items/WSFM627S"],"itemData":{"id":1062,"type":"article-journal","container-title":"FEMS Microbiology Ecology","DOI":"10.1111/j.1574-6941.2012.01437.x","ISSN":"0168-6496","issue":"3","journalAbbreviation":"FEMS Microbiol Ecol","page":"666-677","source":"academic-oup-com.ezproxy.library.ubc.ca","title":"New primers to amplify the fungal ITS2 region – evaluation by 454-sequencing of artificial and natural communities","volume":"82","author":[{"family":"Ihrmark","given":"Katarina"},{"family":"Bödeker","given":"Inga T. M."},{"family":"Cruz-Martinez","given":"Karelyn"},{"family":"Friberg","given":"Hanna"},{"family":"Kubartova","given":"Ariana"},{"family":"Schenck","given":"Jessica"},{"family":"Strid","given":"Ylva"},{"family":"Stenlid","given":"Jan"},{"family":"Brandström-Durling","given":"Mikael"},{"family":"Clemmensen","given":"Karina E."},{"family":"Lindahl","given":"Björn D."}],"issued":{"date-parts":[["2012",12,1]]},"citation-key":"ihrmark_2012"}}],"schema":"https://github.com/citation-style-language/schema/raw/master/csl-citation.json"} </w:instrText>
      </w:r>
      <w:r w:rsidRPr="009867C1">
        <w:fldChar w:fldCharType="separate"/>
      </w:r>
      <w:r w:rsidR="0042141C" w:rsidRPr="009867C1">
        <w:t>(Ihrmark et al., 2012)</w:t>
      </w:r>
      <w:r w:rsidRPr="009867C1">
        <w:fldChar w:fldCharType="end"/>
      </w:r>
      <w:r w:rsidRPr="009867C1">
        <w:t xml:space="preserve"> (GTGARTCATCGARTCTTTG ) and ITS4 (R) </w:t>
      </w:r>
      <w:r w:rsidRPr="009867C1">
        <w:fldChar w:fldCharType="begin"/>
      </w:r>
      <w:r w:rsidR="00AC0205">
        <w:instrText xml:space="preserve"> ADDIN ZOTERO_ITEM CSL_CITATION {"citationID":"CtCfPQr4","properties":{"formattedCitation":"(White et al., 1990)","plainCitation":"(White et al., 1990)","noteIndex":0},"citationItems":[{"id":1787,"uris":["http://zotero.org/users/2189142/items/C6N9NZFX"],"itemData":{"id":1787,"type":"article-journal","container-title":"PCR protocols: a guide to methods and applications","issue":"1","page":"315–322","source":"Google Scholar","title":"Amplification and direct sequencing of fungal ribosomal RNA genes for phylogenetics","volume":"18","author":[{"family":"White","given":"Thomas J."},{"family":"Bruns","given":"T."},{"family":"Lee","given":"SJWT"},{"family":"Taylor","given":"J. W."}],"issued":{"date-parts":[["1990"]]},"citation-key":"white_1990"}}],"schema":"https://github.com/citation-style-language/schema/raw/master/csl-citation.json"} </w:instrText>
      </w:r>
      <w:r w:rsidRPr="009867C1">
        <w:fldChar w:fldCharType="separate"/>
      </w:r>
      <w:r w:rsidR="0042141C" w:rsidRPr="009867C1">
        <w:t>(White et al., 1990)</w:t>
      </w:r>
      <w:r w:rsidRPr="009867C1">
        <w:fldChar w:fldCharType="end"/>
      </w:r>
      <w:r w:rsidRPr="009867C1">
        <w:t xml:space="preserve"> (TCCTCCGCTTATTGATATGC); and a portion of the SSU region, using primers NS31 (F) (</w:t>
      </w:r>
      <w:r w:rsidRPr="009867C1">
        <w:rPr>
          <w:rFonts w:eastAsia="Times New Roman"/>
          <w:color w:val="000000"/>
          <w:lang w:eastAsia="en-CA"/>
        </w:rPr>
        <w:t>TTG GAG GGC AAG TCT GGT GCC</w:t>
      </w:r>
      <w:r w:rsidRPr="009867C1">
        <w:t xml:space="preserve">) </w:t>
      </w:r>
      <w:r w:rsidRPr="009867C1">
        <w:fldChar w:fldCharType="begin"/>
      </w:r>
      <w:r w:rsidR="00AC0205">
        <w:instrText xml:space="preserve"> ADDIN ZOTERO_ITEM CSL_CITATION {"citationID":"eBg81vg9","properties":{"formattedCitation":"(Simon et al., 1992)","plainCitation":"(Simon et al., 1992)","noteIndex":0},"citationItems":[{"id":215,"uris":["http://zotero.org/users/2189142/items/7K5V8LB3"],"itemData":{"id":215,"type":"article-journal","abstract":"The first DNA sequences obtained from arbuscular endomycorrhizal fungi are reported. They were obtained by directly sequencing overlapping amplified fragments of the nuclear genes coding for the small subunit rRNA. These sequences were used to develop a polymerase chain reaction primer (VANS1) that enables the specific amplification of a portion of the vesicular-arbuscular endomycorrhizal fungus small subunit rRNA directly from a mixture of plant and fungal tissues. The specificity of this primer for arbuscular endomycorrhizal fungi was demonstrated by testing it on a number of organisms and by sequencing the fragment amplified from colonized leek (Allium porum) roots. This approach, coupled with other molecular techniques, will facilitate rapid detection, identification, and possibly quantitation of arbuscular endomycorrhizal fungi.","container-title":"Applied and Environmental Microbiology","ISSN":"0099-2240, 1098-5336","issue":"1","journalAbbreviation":"Appl. Environ. Microbiol.","language":"en","note":"PMID: 1339260","page":"291-295","source":"aem-asm-org.ezproxy.library.ubc.ca","title":"Specific amplification of 18S fungal ribosomal genes from vesicular-arbuscular endomycorrhizal fungi colonizing roots.","volume":"58","author":[{"family":"Simon","given":"L."},{"family":"Lalonde","given":"M."},{"family":"Bruns","given":"T. D."}],"issued":{"date-parts":[["1992",1,1]]},"citation-key":"simon_1992"}}],"schema":"https://github.com/citation-style-language/schema/raw/master/csl-citation.json"} </w:instrText>
      </w:r>
      <w:r w:rsidRPr="009867C1">
        <w:fldChar w:fldCharType="separate"/>
      </w:r>
      <w:r w:rsidR="0042141C" w:rsidRPr="009867C1">
        <w:t>(Simon et al., 1992)</w:t>
      </w:r>
      <w:r w:rsidRPr="009867C1">
        <w:fldChar w:fldCharType="end"/>
      </w:r>
      <w:r w:rsidRPr="009867C1">
        <w:t xml:space="preserve">  and a AM1, AM2 and AM3 degenerate primer (R) </w:t>
      </w:r>
      <w:r w:rsidRPr="009867C1">
        <w:fldChar w:fldCharType="begin"/>
      </w:r>
      <w:r w:rsidR="00AC0205">
        <w:instrText xml:space="preserve"> ADDIN ZOTERO_ITEM CSL_CITATION {"citationID":"2j62cwwG","properties":{"formattedCitation":"(Santos-Gonz\\uc0\\u225{}lez et al., 2007)","plainCitation":"(Santos-González et al., 2007)","noteIndex":0},"citationItems":[{"id":1419,"uris":["http://zotero.org/users/2189142/items/EEHAC5SI"],"itemData":{"id":1419,"type":"article-journal","abstract":"Symbiotic arbuscular mycorrhizal fungi (AMF) have been shown to influence both the diversity and productivity of grassland plant communities. These effects have been postulated to depend on the differential effects of individual mycorrhizal taxa on different plant species; however, so far there are few detailed studies of the dynamics of AMF colonization of different plant species. In this study, we characterized the communities of AMF colonizing the roots of two plant species, Prunella vulgaris and Antennaria dioica, in a Swedish seminatural grassland at different times of the year. The AMF small subunit rRNA genes were subjected to PCR, cloning, sequencing, and phylogenetic analysis. Nineteen discrete sequence types belonging to Glomus groups A and B and to the genus Acaulospora were distinguished. No significant seasonal changes in the species compositions of the AMF communities as a whole were observed. However, the two plant species hosted significantly different AMF communities. P. vulgaris hosted a rich AMF community throughout the entire growing season. The presence of AMF in A. dioica decreased dramatically in autumn, while an increased presence of Ascomycetes species was detected.","container-title":"Appl. Environ. Microbiol.","DOI":"10.1128/AEM.00262-07","ISSN":"0099-2240, 1098-5336","issue":"17","journalAbbreviation":"Appl. Environ. Microbiol.","language":"en","note":"PMID: 17630308","page":"5613-5623","source":"aem-asm-org.ezproxy.library.ubc.ca","title":"Seasonal Dynamics of Arbuscular Mycorrhizal Fungal Communities in Roots in a Seminatural Grassland","volume":"73","author":[{"family":"Santos-González","given":"Juan C."},{"family":"Finlay","given":"Roger D."},{"family":"Tehler","given":"Anders"}],"issued":{"date-parts":[["2007",9,1]]},"citation-key":"santos-gonzalez_2007"}}],"schema":"https://github.com/citation-style-language/schema/raw/master/csl-citation.json"} </w:instrText>
      </w:r>
      <w:r w:rsidRPr="009867C1">
        <w:fldChar w:fldCharType="separate"/>
      </w:r>
      <w:r w:rsidR="0042141C" w:rsidRPr="009867C1">
        <w:t>(Santos-González et al., 2007)</w:t>
      </w:r>
      <w:r w:rsidRPr="009867C1">
        <w:fldChar w:fldCharType="end"/>
      </w:r>
      <w:r w:rsidRPr="009867C1">
        <w:t xml:space="preserve"> (GTT TCC CGT AAG GYG CCR AA). </w:t>
      </w:r>
    </w:p>
    <w:p w14:paraId="1DF1FF19" w14:textId="77777777" w:rsidR="00086155" w:rsidRPr="009867C1" w:rsidRDefault="00086155" w:rsidP="00086155"/>
    <w:p w14:paraId="67D424FE" w14:textId="77777777" w:rsidR="00086155" w:rsidRPr="009867C1" w:rsidRDefault="00086155" w:rsidP="00086155">
      <w:pPr>
        <w:pStyle w:val="Heading4"/>
      </w:pPr>
      <w:bookmarkStart w:id="147" w:name="_Toc99385450"/>
      <w:r w:rsidRPr="009867C1">
        <w:t>Bioinformatics</w:t>
      </w:r>
      <w:bookmarkEnd w:id="147"/>
    </w:p>
    <w:p w14:paraId="509C05FB" w14:textId="08CAE146" w:rsidR="00086155" w:rsidRPr="009867C1" w:rsidRDefault="00086155" w:rsidP="00086155">
      <w:pPr>
        <w:ind w:firstLine="720"/>
      </w:pPr>
      <w:r w:rsidRPr="009867C1">
        <w:t xml:space="preserve">Microbiome bioinformatics was performed with QIIME2 V.2019.7 </w:t>
      </w:r>
      <w:r w:rsidRPr="009867C1">
        <w:fldChar w:fldCharType="begin"/>
      </w:r>
      <w:r w:rsidR="00AC0205">
        <w:instrText xml:space="preserve"> ADDIN ZOTERO_ITEM CSL_CITATION {"citationID":"40fInPXe","properties":{"formattedCitation":"(Bolyen et al., 2019)","plainCitation":"(Bolyen et al., 2019)","noteIndex":0},"citationItems":[{"id":2608,"uris":["http://zotero.org/users/2189142/items/JCU5ZRKU"],"itemData":{"id":2608,"type":"article-journal","container-title":"Nature Biotechnology","DOI":"10.1038/s41587-019-0209-9","ISSN":"1546-1696","issue":"8","journalAbbreviation":"Nat Biotechnol","language":"en","page":"852-857","source":"www.nature.com","title":"Reproducible, interactive, scalable and extensible microbiome data science using QIIME 2","volume":"37","author":[{"family":"Bolyen","given":"Evan"},{"family":"Rideout","given":"Jai Ram"},{"family":"Dillon","given":"Matthew R."},{"family":"Bokulich","given":"Nicholas A."},{"family":"Abnet","given":"Christian C."},{"family":"Al-Ghalith","given":"Gabriel A."},{"family":"Alexander","given":"Harriet"},{"family":"Alm","given":"Eric J."},{"family":"Arumugam","given":"Manimozhiyan"},{"family":"Asnicar","given":"Francesco"},{"family":"Bai","given":"Yang"},{"family":"Bisanz","given":"Jordan E."},{"family":"Bittinger","given":"Kyle"},{"family":"Brejnrod","given":"Asker"},{"family":"Brislawn","given":"Colin J."},{"family":"Brown","given":"C. Titus"},{"family":"Callahan","given":"Ben J."},{"family":"Caraballo-Rodríguez","given":"Andrés Mauricio"},{"family":"Chase","given":"John"},{"family":"Cope","given":"Emily K."},{"family":"Silva","given":"Ricardo Da"},{"family":"Diener","given":"Christian"},{"family":"Dorrestein","given":"Pieter C."},{"family":"Douglas","given":"Gavin M."},{"family":"Durall","given":"Daniel M."},{"family":"Duvallet","given":"Claire"},{"family":"Edwardson","given":"Christian F."},{"family":"Ernst","given":"Madeleine"},{"family":"Estaki","given":"Mehrbod"},{"family":"Fouquier","given":"Jennifer"},{"family":"Gauglitz","given":"Julia M."},{"family":"Gibbons","given":"Sean M."},{"family":"Gibson","given":"Deanna L."},{"family":"Gonzalez","given":"Antonio"},{"family":"Gorlick","given":"Kestrel"},{"family":"Guo","given":"Jiarong"},{"family":"Hillmann","given":"Benjamin"},{"family":"Holmes","given":"Susan"},{"family":"Holste","given":"Hannes"},{"family":"Huttenhower","given":"Curtis"},{"family":"Huttley","given":"Gavin A."},{"family":"Janssen","given":"Stefan"},{"family":"Jarmusch","given":"Alan K."},{"family":"Jiang","given":"Lingjing"},{"family":"Kaehler","given":"Benjamin D."},{"family":"Kang","given":"Kyo Bin"},{"family":"Keefe","given":"Christopher R."},{"family":"Keim","given":"Paul"},{"family":"Kelley","given":"Scott T."},{"family":"Knights","given":"Dan"},{"family":"Koester","given":"Irina"},{"family":"Kosciolek","given":"Tomasz"},{"family":"Kreps","given":"Jorden"},{"family":"Langille","given":"Morgan G. I."},{"family":"Lee","given":"Joslynn"},{"family":"Ley","given":"Ruth"},{"family":"Liu","given":"Yong-Xin"},{"family":"Loftfield","given":"Erikka"},{"family":"Lozupone","given":"Catherine"},{"family":"Maher","given":"Massoud"},{"family":"Marotz","given":"Clarisse"},{"family":"Martin","given":"Bryan D."},{"family":"McDonald","given":"Daniel"},{"family":"McIver","given":"Lauren J."},{"family":"Melnik","given":"Alexey V."},{"family":"Metcalf","given":"Jessica L."},{"family":"Morgan","given":"Sydney C."},{"family":"Morton","given":"Jamie T."},{"family":"Naimey","given":"Ahmad Turan"},{"family":"Navas-Molina","given":"Jose A."},{"family":"Nothias","given":"Louis Felix"},{"family":"Orchanian","given":"Stephanie B."},{"family":"Pearson","given":"Talima"},{"family":"Peoples","given":"Samuel L."},{"family":"Petras","given":"Daniel"},{"family":"Preuss","given":"Mary Lai"},{"family":"Pruesse","given":"Elmar"},{"family":"Rasmussen","given":"Lasse Buur"},{"family":"Rivers","given":"Adam"},{"family":"Robeson","given":"Michael S."},{"family":"Rosenthal","given":"Patrick"},{"family":"Segata","given":"Nicola"},{"family":"Shaffer","given":"Michael"},{"family":"Shiffer","given":"Arron"},{"family":"Sinha","given":"Rashmi"},{"family":"Song","given":"Se Jin"},{"family":"Spear","given":"John R."},{"family":"Swafford","given":"Austin D."},{"family":"Thompson","given":"Luke R."},{"family":"Torres","given":"Pedro J."},{"family":"Trinh","given":"Pauline"},{"family":"Tripathi","given":"Anupriya"},{"family":"Turnbaugh","given":"Peter J."},{"family":"Ul-Hasan","given":"Sabah"},{"family":"Hooft","given":"Justin J. J.","dropping-particle":"van der"},{"family":"Vargas","given":"Fernando"},{"family":"Vázquez-Baeza","given":"Yoshiki"},{"family":"Vogtmann","given":"Emily"},{"family":"Hippel","given":"Max","dropping-particle":"von"},{"family":"Walters","given":"William"},{"family":"Wan","given":"Yunhu"},{"family":"Wang","given":"Mingxun"},{"family":"Warren","given":"Jonathan"},{"family":"Weber","given":"Kyle C."},{"family":"Williamson","given":"Charles H. D."},{"family":"Willis","given":"Amy D."},{"family":"Xu","given":"Zhenjiang Zech"},{"family":"Zaneveld","given":"Jesse R."},{"family":"Zhang","given":"Yilong"},{"family":"Zhu","given":"Qiyun"},{"family":"Knight","given":"Rob"},{"family":"Caporaso","given":"J. Gregory"}],"issued":{"date-parts":[["2019",8]]},"citation-key":"bolyen_2019"}}],"schema":"https://github.com/citation-style-language/schema/raw/master/csl-citation.json"} </w:instrText>
      </w:r>
      <w:r w:rsidRPr="009867C1">
        <w:fldChar w:fldCharType="separate"/>
      </w:r>
      <w:r w:rsidR="0042141C" w:rsidRPr="009867C1">
        <w:t>(Bolyen et al., 2019)</w:t>
      </w:r>
      <w:r w:rsidRPr="009867C1">
        <w:fldChar w:fldCharType="end"/>
      </w:r>
      <w:r w:rsidRPr="009867C1">
        <w:t xml:space="preserve">. Raw FASTAq sequences were binned into </w:t>
      </w:r>
      <w:r w:rsidR="001043A7">
        <w:t>two</w:t>
      </w:r>
      <w:r w:rsidRPr="009867C1">
        <w:t xml:space="preserve"> workflows, one for each amplicon, with Cutadapt </w:t>
      </w:r>
      <w:r w:rsidRPr="009867C1">
        <w:fldChar w:fldCharType="begin"/>
      </w:r>
      <w:r w:rsidR="00AC0205">
        <w:instrText xml:space="preserve"> ADDIN ZOTERO_ITEM CSL_CITATION {"citationID":"ZRsme2Cu","properties":{"formattedCitation":"(M. Martin, 2011)","plainCitation":"(M. Martin, 2011)","noteIndex":0},"citationItems":[{"id":1726,"uris":["http://zotero.org/users/2189142/items/H5NED9RQ"],"itemData":{"id":1726,"type":"article-journal","abstract":"When small RNA is sequenced on current sequencing machines, the resulting reads are usually longer than the RNA and therefore contain parts of the 3' adapter. That adapter must be found and removed error-tolerantly from each read before read mapping. Previous solutions are either hard to use or do not offer required features, in particular support for color space data. As an easy to use alternative, we developed the command-line tool cutadapt, which supports 454, Illumina and SOLiD (color space) data, offers two adapter trimming algorithms, and has other useful features. Cutadapt, including its MIT-licensed source code, is available for download at http://code.google.com/p/cutadapt/","container-title":"EMBnet.journal","DOI":"10.14806/ej.17.1.200","ISSN":"2226-6089","issue":"1","language":"en","page":"10-12","source":"journal.embnet.org","title":"Cutadapt removes adapter sequences from high-throughput sequencing reads","volume":"17","author":[{"family":"Martin","given":"Marcel"}],"issued":{"date-parts":[["2011",5,2]]},"citation-key":"martin_2011"}}],"schema":"https://github.com/citation-style-language/schema/raw/master/csl-citation.json"} </w:instrText>
      </w:r>
      <w:r w:rsidRPr="009867C1">
        <w:fldChar w:fldCharType="separate"/>
      </w:r>
      <w:r w:rsidR="0042141C" w:rsidRPr="009867C1">
        <w:t>(M. Martin, 2011)</w:t>
      </w:r>
      <w:r w:rsidRPr="009867C1">
        <w:fldChar w:fldCharType="end"/>
      </w:r>
      <w:r w:rsidRPr="009867C1">
        <w:t xml:space="preserve">. To control for read-through Illumina errors, the ‘sliding window’ function from Trimmomatic V0.39 was used to truncate reads when the average quality score on a 4-base moving average fell below 20 </w:t>
      </w:r>
      <w:r w:rsidRPr="009867C1">
        <w:fldChar w:fldCharType="begin"/>
      </w:r>
      <w:r w:rsidR="00AC0205">
        <w:instrText xml:space="preserve"> ADDIN ZOTERO_ITEM CSL_CITATION {"citationID":"zCY36G16","properties":{"formattedCitation":"(Bolger et al., 2014)","plainCitation":"(Bolger et al., 2014)","noteIndex":0},"citationItems":[{"id":1705,"uris":["http://zotero.org/users/2189142/items/GLQRSEUR"],"itemData":{"id":1705,"type":"article-journal","abstract":"Abstract.  Motivation: Although many next-generation sequencing (NGS) read preprocessing tools already existed, we could not find any tool or combination of too","container-title":"Bioinformatics","DOI":"10.1093/bioinformatics/btu170","ISSN":"1367-4803","issue":"15","journalAbbreviation":"Bioinformatics","language":"en","page":"2114-2120","source":"academic.oup.com","title":"Trimmomatic: a flexible trimmer for Illumina sequence data","title-short":"Trimmomatic","volume":"30","author":[{"family":"Bolger","given":"Anthony M."},{"family":"Lohse","given":"Marc"},{"family":"Usadel","given":"Bjoern"}],"issued":{"date-parts":[["2014",8,1]]},"citation-key":"bolger_2014"}}],"schema":"https://github.com/citation-style-language/schema/raw/master/csl-citation.json"} </w:instrText>
      </w:r>
      <w:r w:rsidRPr="009867C1">
        <w:fldChar w:fldCharType="separate"/>
      </w:r>
      <w:r w:rsidR="0042141C" w:rsidRPr="009867C1">
        <w:t>(Bolger et al., 2014)</w:t>
      </w:r>
      <w:r w:rsidRPr="009867C1">
        <w:fldChar w:fldCharType="end"/>
      </w:r>
      <w:r w:rsidRPr="009867C1">
        <w:t xml:space="preserve">. Each workflow was demultiplexed and quality filtered with the q2-demux plugin. ITS2 sequences were processed through ITSexpress </w:t>
      </w:r>
      <w:r w:rsidRPr="009867C1">
        <w:fldChar w:fldCharType="begin"/>
      </w:r>
      <w:r w:rsidR="00AC0205">
        <w:instrText xml:space="preserve"> ADDIN ZOTERO_ITEM CSL_CITATION {"citationID":"oISB4Tt3","properties":{"formattedCitation":"(Rivers et al., 2018)","plainCitation":"(Rivers et al., 2018)","noteIndex":0},"citationItems":[{"id":1727,"uris":["http://zotero.org/users/2189142/items/B4GJNCC3"],"itemData":{"id":1727,"type":"article-journal","abstract":"The internally transcribed spacer (ITS) region between the small subunit ribosomal RNA gene and large subunit ribosomal RNA gene is a widely used phylogenetic marker for fungi and other taxa. The eukaryotic ITS contains the conserved 5.8S rRNA and is divided into the ITS1 and ITS2 hypervariable regions. These regions are variable in length and are amplified using primers complementary to the conserved regions of their flanking genes. Previous work has shown that removing the conserved regions results in more accurate taxonomic classification. An existing software program, ITSx, is capable of trimming FASTA sequences by matching hidden Markov model profiles to the ends of the conserved genes using the software suite HMMER. ITSxpress was developed to extend this technique from marker gene studies using Operational Taxonomic Units (OTU’s) to studies using exact sequence variants; a method used by the software packages Dada2, Deblur, QIIME 2, and Unoise. The sequence variant approach uses the quality scores of each read to identify sequences that are statistically likely to represent real sequences. ITSxpress enables this by processing FASTQ rather than FASTA files. The software also speeds up the trimming of reads by a factor of 14-23 times on a 4-core computer by temporarily clustering highly similar sequences that are common in amplicon data and utilizing optimized parameters for Hmmsearch. ITSxpress is available as a QIIME 2 plugin and a stand-alone application installable from the Python package index, Bioconda, and Github.","container-title":"F1000Research","DOI":"10.12688/f1000research.15704.1","ISSN":"2046-1402","journalAbbreviation":"F1000Res","language":"en","page":"1418","source":"DOI.org (Crossref)","title":"ITSxpress: Software to rapidly trim internally transcribed spacer sequences with quality scores for marker gene analysis","title-short":"ITSxpress","volume":"7","author":[{"family":"Rivers","given":"Adam R."},{"family":"Weber","given":"Kyle C."},{"family":"Gardner","given":"Terrence G."},{"family":"Liu","given":"Shuang"},{"family":"Armstrong","given":"Shalamar D."}],"issued":{"date-parts":[["2018",9,6]]},"citation-key":"rivers_2018"}}],"schema":"https://github.com/citation-style-language/schema/raw/master/csl-citation.json"} </w:instrText>
      </w:r>
      <w:r w:rsidRPr="009867C1">
        <w:fldChar w:fldCharType="separate"/>
      </w:r>
      <w:r w:rsidR="0042141C" w:rsidRPr="009867C1">
        <w:t>(Rivers et al., 2018)</w:t>
      </w:r>
      <w:r w:rsidRPr="009867C1">
        <w:fldChar w:fldCharType="end"/>
      </w:r>
      <w:r w:rsidRPr="009867C1">
        <w:t xml:space="preserve"> to filter, trim, and export the variable ITS2 region and both amplicons were filtered, denoised, merged and had chimeras removed via DADA2 </w:t>
      </w:r>
      <w:r w:rsidRPr="009867C1">
        <w:fldChar w:fldCharType="begin"/>
      </w:r>
      <w:r w:rsidR="00AC0205">
        <w:instrText xml:space="preserve"> ADDIN ZOTERO_ITEM CSL_CITATION {"citationID":"z6a0lvfi","properties":{"formattedCitation":"(Callahan, McMurdie, et al., 2016)","plainCitation":"(Callahan, McMurdie, et al., 2016)","noteIndex":0},"citationItems":[{"id":2609,"uris":["http://zotero.org/users/2189142/items/H9GQK4QH"],"itemData":{"id":2609,"type":"article-journal","abstract":"We present the open-source software package DADA2 for modeling and correcting Illumina-sequenced amplicon errors (https://github.com/benjjneb/dada2). DADA2 infers sample sequences exactly and resolves differences of as little as 1 nucleotide. In several mock communities, DADA2 identified more real variants and output fewer spurious sequences than other methods. We applied DADA2 to vaginal samples from a cohort of pregnant women, revealing a diversity of previously undetected Lactobacillus crispatus variants.","container-title":"Nature Methods","DOI":"10.1038/nmeth.3869","ISSN":"1548-7105","issue":"7","language":"en","page":"581-583","source":"www-nature-com.ezproxy.library.ubc.ca","title":"DADA2: High-resolution sample inference from Illumina amplicon data","title-short":"DADA2","volume":"13","author":[{"family":"Callahan","given":"Ben J."},{"family":"McMurdie","given":"Paul J."},{"family":"Rosen","given":"Michael J."},{"family":"Han","given":"Andrew W."},{"family":"Johnson","given":"Amy Jo A."},{"family":"Holmes","given":"Susan P."}],"issued":{"date-parts":[["2016",7]]},"citation-key":"callahan_2016b"}}],"schema":"https://github.com/citation-style-language/schema/raw/master/csl-citation.json"} </w:instrText>
      </w:r>
      <w:r w:rsidRPr="009867C1">
        <w:fldChar w:fldCharType="separate"/>
      </w:r>
      <w:r w:rsidR="0042141C" w:rsidRPr="009867C1">
        <w:t>(Callahan, McMurdie, et al., 2016)</w:t>
      </w:r>
      <w:r w:rsidRPr="009867C1">
        <w:fldChar w:fldCharType="end"/>
      </w:r>
      <w:r w:rsidRPr="009867C1">
        <w:t xml:space="preserve">. Taxonomic assignments were made using a naïve Bayes classifier </w:t>
      </w:r>
      <w:r w:rsidRPr="009867C1">
        <w:fldChar w:fldCharType="begin"/>
      </w:r>
      <w:r w:rsidR="00AC0205">
        <w:instrText xml:space="preserve"> ADDIN ZOTERO_ITEM CSL_CITATION {"citationID":"7DINCDdL","properties":{"formattedCitation":"(Bokulich et al., 2018)","plainCitation":"(Bokulich et al., 2018)","noteIndex":0},"citationItems":[{"id":1707,"uris":["http://zotero.org/users/2189142/items/RMJQ6W2A"],"itemData":{"id":1707,"type":"article-journal","abstract":"Taxonomic classification of marker-gene sequences is an important step in microbiome analysis.","container-title":"Microbiome","DOI":"10.1186/s40168-018-0470-z","ISSN":"2049-2618","issue":"1","journalAbbreviation":"Microbiome","page":"90","source":"BioMed Central","title":"Optimizing taxonomic classification of marker-gene amplicon sequences with QIIME 2’s q2-feature-classifier plugin","volume":"6","author":[{"family":"Bokulich","given":"Nicholas A."},{"family":"Kaehler","given":"Benjamin D."},{"family":"Rideout","given":"Jai Ram"},{"family":"Dillon","given":"Matthew"},{"family":"Bolyen","given":"Evan"},{"family":"Knight","given":"Rob"},{"family":"Huttley","given":"Gavin A."},{"family":"Gregory Caporaso","given":"J."}],"issued":{"date-parts":[["2018",5,17]]},"citation-key":"bokulich_2018a"}}],"schema":"https://github.com/citation-style-language/schema/raw/master/csl-citation.json"} </w:instrText>
      </w:r>
      <w:r w:rsidRPr="009867C1">
        <w:fldChar w:fldCharType="separate"/>
      </w:r>
      <w:r w:rsidR="0042141C" w:rsidRPr="009867C1">
        <w:t>(Bokulich et al., 2018)</w:t>
      </w:r>
      <w:r w:rsidRPr="009867C1">
        <w:fldChar w:fldCharType="end"/>
      </w:r>
      <w:r w:rsidRPr="009867C1">
        <w:t xml:space="preserve"> trained on the UNITE database for ITS2 amplicons </w:t>
      </w:r>
      <w:r w:rsidRPr="009867C1">
        <w:fldChar w:fldCharType="begin"/>
      </w:r>
      <w:r w:rsidR="00AC0205">
        <w:instrText xml:space="preserve"> ADDIN ZOTERO_ITEM CSL_CITATION {"citationID":"1Ya5oWWW","properties":{"formattedCitation":"(Abarenkov et al., 2010; Nilsson et al., 2019)","plainCitation":"(Abarenkov et al., 2010; Nilsson et al., 2019)","noteIndex":0},"citationItems":[{"id":290,"uris":["http://zotero.org/users/2189142/items/7Y4SQ5YZ"],"itemData":{"id":290,"type":"article-journal","abstract":"Bruns TD, Kennedy PG. 2009. Individuals, populations, communities and function: the growing ﬁeld of ectomycorrhizal ecology. New Phytologist 182: 12–14. Capoen W, Oldroyd G, Goormachtig S, Holsters M. 2010. Sesbania rostrata: a case study of natural variation in legume nodulation. New Phytologist 186: 340–345. Harvey JJW, Strauss SH. 2009. Towards physiological sculpture of plants. New Phytologist 181: 8–12. Iversen C. 2010. Digging deeper: ﬁne-root responses to rising atmospheric CO2 concentration in forested ecosystems. New Phytologist 186: 346–357. Lewis DH, Ingram J. 2002. A brief history of New Phytologist. New Phytologist 153: 10–16. McCulloh K, Sperry JS, Lachenbruch B, Meinzer FC, Reich PB, Voelker S. 2010. Moving water well: comparing hydraulic efﬁciency in twigs and trunks of coniferous, ring-porous, and diffuse-porous saplings from temperate and tropical forests. New Phytologist 186: 439–450. Mosher RA. 2010. Maternal control of Pol IV-dependent siRNAs in Arabidopsis endosperm. New Phytologist 186: 358–364. Rouhier N. 2010. Plant glutaredoxins: pivotal players in redox biology and iron–sulphur centre assembly. New Phytologist 186: 365–372. Spoel SH, Tada Y, Loake GJ. 2010. Post-translational protein modiﬁcation as a tool for transcription reprogramming. New Phytologist 186: 333–339.","container-title":"New Phytologist","DOI":"10.1111/j.1469-8137.2009.03160.x","ISSN":"0028646X","issue":"2","language":"en","page":"281-285","source":"Crossref","title":"The UNITE database for molecular identification of fungi - recent updates and future perspectives: Letters","title-short":"The UNITE database for molecular identification of fungi - recent updates and future perspectives","volume":"186","author":[{"family":"Abarenkov","given":"Kessy"},{"family":"Henrik Nilsson","given":"R."},{"family":"Larsson","given":"Karl-Henrik"},{"family":"Alexander","given":"Ian J."},{"family":"Eberhardt","given":"Ursula"},{"family":"Erland","given":"Susanne"},{"family":"Høiland","given":"Klaus"},{"family":"Kjøller","given":"Rasmus"},{"family":"Larsson","given":"Ellen"},{"family":"Pennanen","given":"Taina"},{"family":"Sen","given":"Robin"},{"family":"Taylor","given":"Andy F. S."},{"family":"Tedersoo","given":"Leho"},{"family":"Ursing","given":"Björn M."},{"family":"Vrålstad","given":"Trude"},{"family":"Liimatainen","given":"Kare"},{"family":"Peintner","given":"Ursula"},{"family":"Kõljalg","given":"Urmas"}],"issued":{"date-parts":[["2010",4]]},"citation-key":"abarenkov_2010a"}},{"id":1961,"uris":["http://zotero.org/users/2189142/items/YZRXTA52"],"itemData":{"id":1961,"type":"article-journal","abstract":"Abstract.  UNITE (https://unite.ut.ee/) is a web-based database and sequence management environment for the molecular identification of fungi. It targets the fo","container-title":"Nucleic Acids Research","DOI":"10.1093/nar/gky1022","ISSN":"0305-1048","issue":"D1","journalAbbreviation":"Nucleic Acids Res","language":"en","note":"publisher: Oxford Academic","page":"D259-D264","source":"academic-oup-com.ezproxy.library.ubc.ca","title":"The UNITE database for molecular identification of fungi: handling dark taxa and parallel taxonomic classifications","title-short":"The UNITE database for molecular identification of fungi","volume":"47","author":[{"family":"Nilsson","given":"Rolf Henrik"},{"family":"Larsson","given":"Karl-Henrik"},{"family":"Taylor","given":"Andy F. S."},{"family":"Bengtsson-Palme","given":"Johan"},{"family":"Jeppesen","given":"Thomas S."},{"family":"Schigel","given":"Dmitry"},{"family":"Kennedy","given":"Peter"},{"family":"Picard","given":"Kathryn"},{"family":"Glöckner","given":"Frank Oliver"},{"family":"Tedersoo","given":"Leho"},{"family":"Saar","given":"Irja"},{"family":"Kõljalg","given":"Urmas"},{"family":"Abarenkov","given":"Kessy"}],"issued":{"date-parts":[["2019",1,8]]},"citation-key":"nilsson_2019"}}],"schema":"https://github.com/citation-style-language/schema/raw/master/csl-citation.json"} </w:instrText>
      </w:r>
      <w:r w:rsidRPr="009867C1">
        <w:fldChar w:fldCharType="separate"/>
      </w:r>
      <w:r w:rsidR="0042141C" w:rsidRPr="009867C1">
        <w:t>(Abarenkov et al., 2010; Nilsson et al., 2019)</w:t>
      </w:r>
      <w:r w:rsidRPr="009867C1">
        <w:fldChar w:fldCharType="end"/>
      </w:r>
      <w:r w:rsidRPr="009867C1">
        <w:t xml:space="preserve">; and a merged MAARJAM </w:t>
      </w:r>
      <w:r w:rsidRPr="009867C1">
        <w:fldChar w:fldCharType="begin"/>
      </w:r>
      <w:r w:rsidR="00AC0205">
        <w:instrText xml:space="preserve"> ADDIN ZOTERO_ITEM CSL_CITATION {"citationID":"T6aRJhbJ","properties":{"formattedCitation":"(\\uc0\\u214{}pik et al., 2010)","plainCitation":"(Öpik et al., 2010)","noteIndex":0},"citationItems":[{"id":1512,"uris":["http://zotero.org/users/2189142/items/EDANC7AA"],"itemData":{"id":1512,"type":"article-journal","abstract":"* •Here, we describe a new database, MaarjAM, that summarizes publicly available Glomeromycota DNA sequence data and associated metadata. The goal of the database is to facilitate the description of distribution and richness patterns in this group of fungi.\n* •Small subunit (SSU) rRNA gene sequences and available metadata were collated from all suitable taxonomic and ecological publications. These data have been made accessible in an open-access database (http://maarjam.botany.ut.ee).\n* •Two hundred and eighty-two SSU rRNA gene virtual taxa (VT) were described based on a comprehensive phylogenetic analysis of all collated Glomeromycota sequences. Two-thirds of VT showed limited distribution ranges, occurring in single current or historic continents or climatic zones. Those VT that associated with a taxonomically wide range of host plants also tended to have a wide geographical distribution, and vice versa. No relationships were detected between VT richness and latitude, elevation or vascular plant richness.\n* •The collated Glomeromycota molecular diversity data suggest limited distribution ranges in most Glomeromycota taxa and a positive relationship between the width of a taxon’s geographical range and its host taxonomic range. Inconsistencies between molecular and traditional taxonomy of Glomeromycota, and shortage of data from major continents and ecosystems, are highlighted.","container-title":"New Phytologist","DOI":"10.1111/j.1469-8137.2010.03334.x","ISSN":"1469-8137","issue":"1","language":"en","page":"223-241","source":"Wiley Online Library","title":"The online database MaarjAM reveals global and ecosystemic distribution patterns in arbuscular mycorrhizal fungi (Glomeromycota)","volume":"188","author":[{"family":"Öpik","given":"M."},{"family":"Vanatoa","given":"A."},{"family":"Vanatoa","given":"E."},{"family":"Moora","given":"M."},{"family":"Davison","given":"J."},{"family":"Kalwij","given":"J. M."},{"family":"Reier","given":"Ü."},{"family":"Zobel","given":"M."}],"issued":{"date-parts":[["2010",10,1]]},"citation-key":"opik_2010"}}],"schema":"https://github.com/citation-style-language/schema/raw/master/csl-citation.json"} </w:instrText>
      </w:r>
      <w:r w:rsidRPr="009867C1">
        <w:fldChar w:fldCharType="separate"/>
      </w:r>
      <w:r w:rsidR="0042141C" w:rsidRPr="009867C1">
        <w:t>(Öpik et al., 2010)</w:t>
      </w:r>
      <w:r w:rsidRPr="009867C1">
        <w:fldChar w:fldCharType="end"/>
      </w:r>
      <w:r w:rsidRPr="009867C1">
        <w:t xml:space="preserve"> and SILVA </w:t>
      </w:r>
      <w:r w:rsidRPr="009867C1">
        <w:fldChar w:fldCharType="begin"/>
      </w:r>
      <w:r w:rsidR="00AC0205">
        <w:instrText xml:space="preserve"> ADDIN ZOTERO_ITEM CSL_CITATION {"citationID":"z1O4O82i","properties":{"formattedCitation":"(Quast et al., 2013)","plainCitation":"(Quast et al., 2013)","noteIndex":0},"citationItems":[{"id":2311,"uris":["http://zotero.org/users/2189142/items/ED4LZ9N5"],"itemData":{"id":2311,"type":"article-journal","abstract":"Abstract. SILVA (from Latin silva, forest, http://www.arb-silva.de) is a comprehensive web resource for up to date, quality-controlled databases of aligned ribo","container-title":"Nucleic Acids Research","DOI":"10.1093/nar/gks1219","ISSN":"0305-1048","issue":"D1","journalAbbreviation":"Nucleic Acids Res","language":"en","note":"publisher: Oxford Academic","page":"D590-D596","source":"academic-oup-com.ezproxy.library.ubc.ca","title":"The SILVA ribosomal RNA gene database project: improved data processing and web-based tools","title-short":"The SILVA ribosomal RNA gene database project","volume":"41","author":[{"family":"Quast","given":"Christian"},{"family":"Pruesse","given":"Elmar"},{"family":"Yilmaz","given":"Pelin"},{"family":"Gerken","given":"Jan"},{"family":"Schweer","given":"Timmy"},{"family":"Yarza","given":"Pablo"},{"family":"Peplies","given":"Jörg"},{"family":"Glöckner","given":"Frank Oliver"}],"issued":{"date-parts":[["2013",1,1]]},"citation-key":"quast_2013"}}],"schema":"https://github.com/citation-style-language/schema/raw/master/csl-citation.json"} </w:instrText>
      </w:r>
      <w:r w:rsidRPr="009867C1">
        <w:fldChar w:fldCharType="separate"/>
      </w:r>
      <w:r w:rsidR="0042141C" w:rsidRPr="009867C1">
        <w:t>(Quast et al., 2013)</w:t>
      </w:r>
      <w:r w:rsidRPr="009867C1">
        <w:fldChar w:fldCharType="end"/>
      </w:r>
      <w:r w:rsidRPr="009867C1">
        <w:t xml:space="preserve"> database for the SSU amplicons, which was created with the Qiime2 merge_taxa function. Before being used for classifier training, the UNITE database was processed with ITSx </w:t>
      </w:r>
      <w:r w:rsidRPr="009867C1">
        <w:fldChar w:fldCharType="begin"/>
      </w:r>
      <w:r w:rsidR="00AC0205">
        <w:instrText xml:space="preserve"> ADDIN ZOTERO_ITEM CSL_CITATION {"citationID":"X8tY12pO","properties":{"formattedCitation":"(Bengtsson\\uc0\\u8208{}Palme et al., 2013)","plainCitation":"(Bengtsson‐Palme et al., 2013)","noteIndex":0},"citationItems":[{"id":1445,"uris":["http://zotero.org/users/2189142/items/DL3MG8KX"],"itemData":{"id":1445,"type":"article-journal","abstract":"The nuclear ribosomal internal transcribed spacer (ITS) region is the primary choice for molecular identification of fungi. Its two highly variable spacers (ITS1 and ITS2) are usually species specific, whereas the intercalary 5.8S gene is highly conserved. For sequence clustering and blast searches, it is often advantageous to rely on either one of the variable spacers but not the conserved 5.8S gene. To identify and extract ITS1 and ITS2 from large taxonomic and environmental data sets is, however, often difficult, and many ITS sequences are incorrectly delimited in the public sequence databases. We introduce ITSx, a Perl-based software tool to extract ITS1, 5.8S and ITS2 – as well as full-length ITS sequences – from both Sanger and high-throughput sequencing data sets. ITSx uses hidden Markov models computed from large alignments of a total of 20 groups of eukaryotes, including fungi, metazoans and plants, and the sequence extraction is based on the predicted positions of the ribosomal genes in the sequences. ITSx has a very high proportion of true-positive extractions and a low proportion of false-positive extractions. Additionally, process parallelization permits expedient analyses of very large data sets, such as a one million sequence amplicon pyrosequencing data set. ITSx is rich in features and written to be easily incorporated into automated sequence analysis pipelines. ITSx paves the way for more sensitive blast searches and sequence clustering operations for the ITS region in eukaryotes. The software also permits elimination of non-ITS sequences from any data set. This is particularly useful for amplicon-based next-generation sequencing data sets, where insidious non-target sequences are often found among the target sequences. Such non-target sequences are difficult to find by other means and would contribute noise to diversity estimates if left in the data set.","container-title":"Methods in Ecology and Evolution","DOI":"10.1111/2041-210X.12073","ISSN":"2041-210X","issue":"10","language":"en","page":"914-919","source":"Wiley Online Library","title":"Improved software detection and extraction of ITS1 and ITS2 from ribosomal ITS sequences of fungi and other eukaryotes for analysis of environmental sequencing data","volume":"4","author":[{"family":"Bengtsson‐Palme","given":"Johan"},{"family":"Ryberg","given":"Martin"},{"family":"Hartmann","given":"Martin"},{"family":"Branco","given":"Sara"},{"family":"Wang","given":"Zheng"},{"family":"Godhe","given":"Anna"},{"family":"Wit","given":"Pierre De"},{"family":"Sánchez‐García","given":"Marisol"},{"family":"Ebersberger","given":"Ingo"},{"family":"Sousa","given":"Filipe","dropping-particle":"de"},{"family":"Amend","given":"Anthony"},{"family":"Jumpponen","given":"Ari"},{"family":"Unterseher","given":"Martin"},{"family":"Kristiansson","given":"Erik"},{"family":"Abarenkov","given":"Kessy"},{"family":"Bertrand","given":"Yann J. K."},{"family":"Sanli","given":"Kemal"},{"family":"Eriksson","given":"K. Martin"},{"family":"Vik","given":"Unni"},{"family":"Veldre","given":"Vilmar"},{"family":"Nilsson","given":"R. Henrik"}],"issued":{"date-parts":[["2013",10,1]]},"citation-key":"bengtsson-palme_2013"}}],"schema":"https://github.com/citation-style-language/schema/raw/master/csl-citation.json"} </w:instrText>
      </w:r>
      <w:r w:rsidRPr="009867C1">
        <w:fldChar w:fldCharType="separate"/>
      </w:r>
      <w:r w:rsidR="0042141C" w:rsidRPr="009867C1">
        <w:t>(Bengtsson‐Palme et al., 2013)</w:t>
      </w:r>
      <w:r w:rsidRPr="009867C1">
        <w:fldChar w:fldCharType="end"/>
      </w:r>
      <w:r w:rsidRPr="009867C1">
        <w:t xml:space="preserve"> parallelized with akutils v.1.2 </w:t>
      </w:r>
      <w:r w:rsidRPr="009867C1">
        <w:fldChar w:fldCharType="begin"/>
      </w:r>
      <w:r w:rsidR="00AC0205">
        <w:instrText xml:space="preserve"> ADDIN ZOTERO_ITEM CSL_CITATION {"citationID":"4jG31kGq","properties":{"formattedCitation":"(Andrews, 2016)","plainCitation":"(Andrews, 2016)","noteIndex":0},"citationItems":[{"id":1711,"uris":["http://zotero.org/users/2189142/items/9TVLIC6V"],"itemData":{"id":1711,"type":"book","abstract":"akutils v1.2 release (1.2.3) Changes since last release: changed strip_primers from fastq-mcf to cutadapt added primer_list and primer_file commands to facilitate strip_primers updated README two-way permanova function improved ancom.R function indicator species function DESeq2 transformation in core_diversity option for de novo chimera filtering in vsearch several bug fixes","note":"DOI: 10.5281/zenodo.61581","publisher":"Zenodo","source":"Zenodo","title":"akutils-v1.2: Facilitating analyses of microbial communities through QIIME.","title-short":"akutils-v1.2","URL":"https://zenodo.org/record/61581","author":[{"family":"Andrews","given":"Lela"}],"accessed":{"date-parts":[["2019",11,6]]},"issued":{"date-parts":[["2016",9,5]]},"citation-key":"andrews_2016"}}],"schema":"https://github.com/citation-style-language/schema/raw/master/csl-citation.json"} </w:instrText>
      </w:r>
      <w:r w:rsidRPr="009867C1">
        <w:fldChar w:fldCharType="separate"/>
      </w:r>
      <w:r w:rsidR="0042141C" w:rsidRPr="009867C1">
        <w:t>(Andrews, 2016)</w:t>
      </w:r>
      <w:r w:rsidRPr="009867C1">
        <w:fldChar w:fldCharType="end"/>
      </w:r>
      <w:r w:rsidRPr="009867C1">
        <w:t xml:space="preserve">, with reduced stringency parameter of 1 to avoid dropping reads with short amplicons. Finally, Funguild </w:t>
      </w:r>
      <w:r w:rsidRPr="009867C1">
        <w:fldChar w:fldCharType="begin"/>
      </w:r>
      <w:r w:rsidR="00AC0205">
        <w:instrText xml:space="preserve"> ADDIN ZOTERO_ITEM CSL_CITATION {"citationID":"6XhFrJeo","properties":{"formattedCitation":"(Nguyen et al., 2016)","plainCitation":"(Nguyen et al., 2016)","noteIndex":0},"citationItems":[{"id":287,"uris":["http://zotero.org/users/2189142/items/2LCXHEY3"],"itemData":{"id":287,"type":"article-journal","abstract":"Fungi typically live in highly diverse communities composed of multiple ecological guilds. Although high-throughput sequencing has greatly increased the ability to quantify the diversity of fungi in environmental samples, researchers currently lack a simple and consistent way to sort large sequence pools into ecologically meaningful categories. We address this issue by introducing FUNGuild, a tool that can be used to taxonomically parse fungal OTUs by ecological guild independent of sequencing platform or analysis pipeline. Using a database and an accompanying bioinformatics script, we demonstrate the application of FUNGuild to three high-throughput sequencing datasets from different habitats: forest soils, grassland soils, and decomposing wood. We found that guilds characteristic of each habitat (i.e., saprotrophic and ectomycorrhizal fungi in forest soils, saprotrophic and arbuscular mycorrhizal fungi in grassland soils, saprotrophic, wood decomposer, and plant pathogenic fungi in decomposing wood) were each well represented. The example datasets demonstrate that while we could quickly and efficiently assign a large portion of the data to guilds, another large portion could not be assigned, reflecting the need to expand and improve the database as well as to gain a better understanding of natural history for many described and undescribed fungal species. As a community resource, FUNGuild is dependent on third-party annotation, so we invite researchers to populate it with new categories and records as well as refine those already in existence.","container-title":"Fungal Ecology","DOI":"10.1016/j.funeco.2015.06.006","ISSN":"1754-5048","journalAbbreviation":"Fungal Ecology","page":"241-248","source":"ScienceDirect","title":"FUNGuild: An open annotation tool for parsing fungal community datasets by ecological guild","title-short":"FUNGuild","volume":"20","author":[{"family":"Nguyen","given":"Nhu H."},{"family":"Song","given":"Zewei"},{"family":"Bates","given":"Scott T."},{"family":"Branco","given":"Sara"},{"family":"Tedersoo","given":"Leho"},{"family":"Menke","given":"Jon"},{"family":"Schilling","given":"Jonathan S."},{"family":"Kennedy","given":"Peter G."}],"issued":{"date-parts":[["2016",4,1]]},"citation-key":"nguyen_2016"}}],"schema":"https://github.com/citation-style-language/schema/raw/master/csl-citation.json"} </w:instrText>
      </w:r>
      <w:r w:rsidRPr="009867C1">
        <w:fldChar w:fldCharType="separate"/>
      </w:r>
      <w:r w:rsidR="0042141C" w:rsidRPr="009867C1">
        <w:t>(Nguyen et al., 2016)</w:t>
      </w:r>
      <w:r w:rsidRPr="009867C1">
        <w:fldChar w:fldCharType="end"/>
      </w:r>
      <w:r w:rsidRPr="009867C1">
        <w:t xml:space="preserve"> was used to assign guild membership and trophic information to identified fungal taxa. </w:t>
      </w:r>
    </w:p>
    <w:p w14:paraId="0C9E42A2" w14:textId="774B0113" w:rsidR="00086155" w:rsidRPr="009867C1" w:rsidRDefault="00086155" w:rsidP="00086155">
      <w:pPr>
        <w:pStyle w:val="Heading4"/>
      </w:pPr>
      <w:bookmarkStart w:id="148" w:name="_Toc99385451"/>
      <w:r w:rsidRPr="009867C1">
        <w:t>Statistical Analysis</w:t>
      </w:r>
      <w:bookmarkEnd w:id="148"/>
      <w:r w:rsidRPr="009867C1">
        <w:t xml:space="preserve"> </w:t>
      </w:r>
    </w:p>
    <w:p w14:paraId="2E6EE92A" w14:textId="560286F6" w:rsidR="00086155" w:rsidRPr="009867C1" w:rsidRDefault="00086155" w:rsidP="00086155">
      <w:pPr>
        <w:ind w:firstLine="720"/>
      </w:pPr>
      <w:r w:rsidRPr="009867C1">
        <w:t xml:space="preserve">Two datasets were considered in this study: one along a regional gradient of salmon density (‘regional gradient data’) and the other a comparison between sites above and below salmon-blocking waterfalls (‘above/below’ data). Each sample consisted of two soil depths (forest floor, FF, and organic, O), and each of these samples amplified two amplicons: ITS2 and SSU. To address </w:t>
      </w:r>
      <w:r w:rsidR="002944AE">
        <w:t>my</w:t>
      </w:r>
      <w:r w:rsidRPr="009867C1">
        <w:t xml:space="preserve"> hypotheses about differing effects of trophic mode, three taxonomic groups were investigated: ‘all taxa’, which include all sequences; and ‘symbiotrophs’ and ‘saprotrophs’, which include only the subset of sequences that were identified and annotated by FunGuild, and respectively included the term ‘symbiotroph’ or ‘saprotroph’ in their ‘trophic mode’ designations. To visualize total amplicon read and taxonomic distribution, heat trees were plotted using the R packages </w:t>
      </w:r>
      <w:r w:rsidRPr="009867C1">
        <w:rPr>
          <w:i/>
        </w:rPr>
        <w:t xml:space="preserve">phyloseq </w:t>
      </w:r>
      <w:r w:rsidRPr="009867C1">
        <w:fldChar w:fldCharType="begin"/>
      </w:r>
      <w:r w:rsidR="00AC0205">
        <w:instrText xml:space="preserve"> ADDIN ZOTERO_ITEM CSL_CITATION {"citationID":"WthapbqJ","properties":{"formattedCitation":"(McMurdie &amp; Holmes, 2013)","plainCitation":"(McMurdie &amp; Holmes, 2013)","noteIndex":0},"citationItems":[{"id":2166,"uris":["http://zotero.org/users/2189142/items/NG9WI296"],"itemData":{"id":2166,"type":"article-journal","abstract":"Background The analysis of microbial communities through DNA sequencing brings many challenges: the integration of different types of data with methods from ecology, genetics, phylogenetics, multivariate statistics, visualization and testing. With the increased breadth of experimental designs now being pursued, project-specific statistical analyses are often needed, and these analyses are often difficult (or impossible) for peer researchers to independently reproduce. The vast majority of the requisite tools for performing these analyses reproducibly are already implemented in R and its extensions (packages), but with limited support for high throughput microbiome census data. Results Here we describe a software project, phyloseq, dedicated to the object-oriented representation and analysis of microbiome census data in R. It supports importing data from a variety of common formats, as well as many analysis techniques. These include calibration, filtering, subsetting, agglomeration, multi-table comparisons, diversity analysis, parallelized Fast UniFrac, ordination methods, and production of publication-quality graphics; all in a manner that is easy to document, share, and modify. We show how to apply functions from other R packages to phyloseq-represented data, illustrating the availability of a large number of open source analysis techniques. We discuss the use of phyloseq with tools for reproducible research, a practice common in other fields but still rare in the analysis of highly parallel microbiome census data. We have made available all of the materials necessary to completely reproduce the analysis and figures included in this article, an example of best practices for reproducible research. Conclusions The phyloseq project for R is a new open-source software package, freely available on the web from both GitHub and Bioconductor.","container-title":"PLOS ONE","DOI":"10.1371/journal.pone.0061217","ISSN":"1932-6203","issue":"4","journalAbbreviation":"PLOS ONE","language":"en","note":"publisher: Public Library of Science","page":"e61217","source":"PLoS Journals","title":"phyloseq: An R Package for Reproducible Interactive Analysis and Graphics of Microbiome Census Data","title-short":"phyloseq","volume":"8","author":[{"family":"McMurdie","given":"Paul J."},{"family":"Holmes","given":"Susan"}],"issued":{"date-parts":[["2013",4,22]]},"citation-key":"mcmurdie_2013"}}],"schema":"https://github.com/citation-style-language/schema/raw/master/csl-citation.json"} </w:instrText>
      </w:r>
      <w:r w:rsidRPr="009867C1">
        <w:fldChar w:fldCharType="separate"/>
      </w:r>
      <w:r w:rsidR="0042141C" w:rsidRPr="009867C1">
        <w:t>(McMurdie &amp; Holmes, 2013)</w:t>
      </w:r>
      <w:r w:rsidRPr="009867C1">
        <w:fldChar w:fldCharType="end"/>
      </w:r>
      <w:r w:rsidRPr="009867C1">
        <w:t xml:space="preserve">, </w:t>
      </w:r>
      <w:r w:rsidRPr="009867C1">
        <w:rPr>
          <w:i/>
        </w:rPr>
        <w:t>taxa</w:t>
      </w:r>
      <w:r w:rsidRPr="009867C1">
        <w:t xml:space="preserve"> </w:t>
      </w:r>
      <w:r w:rsidRPr="009867C1">
        <w:fldChar w:fldCharType="begin"/>
      </w:r>
      <w:r w:rsidR="00AC0205">
        <w:instrText xml:space="preserve"> ADDIN ZOTERO_ITEM CSL_CITATION {"citationID":"WmrwB4rc","properties":{"formattedCitation":"(Z. S. Foster et al., 2018)","plainCitation":"(Z. S. Foster et al., 2018)","noteIndex":0},"citationItems":[{"id":2165,"uris":["http://zotero.org/users/2189142/items/JKPVRFB2"],"itemData":{"id":2165,"type":"article-journal","container-title":"F1000Research","note":"publisher: Faculty of 1000 Ltd","source":"Google Scholar","title":"Taxa: An R package implementing data standards and methods for taxonomic data","title-short":"Taxa","volume":"7","author":[{"family":"Foster","given":"Zachary SL"},{"family":"Chamberlain","given":"Scott"},{"family":"Grünwald","given":"Niklaus J."}],"issued":{"date-parts":[["2018"]]},"citation-key":"foster_2018"}}],"schema":"https://github.com/citation-style-language/schema/raw/master/csl-citation.json"} </w:instrText>
      </w:r>
      <w:r w:rsidRPr="009867C1">
        <w:fldChar w:fldCharType="separate"/>
      </w:r>
      <w:r w:rsidR="0042141C" w:rsidRPr="009867C1">
        <w:t>(Z. S. Foster et al., 2018)</w:t>
      </w:r>
      <w:r w:rsidRPr="009867C1">
        <w:fldChar w:fldCharType="end"/>
      </w:r>
      <w:r w:rsidRPr="009867C1">
        <w:t xml:space="preserve"> and </w:t>
      </w:r>
      <w:r w:rsidRPr="009867C1">
        <w:rPr>
          <w:i/>
        </w:rPr>
        <w:t>metacodeR</w:t>
      </w:r>
      <w:r w:rsidRPr="009867C1">
        <w:t xml:space="preserve"> </w:t>
      </w:r>
      <w:r w:rsidRPr="009867C1">
        <w:fldChar w:fldCharType="begin"/>
      </w:r>
      <w:r w:rsidR="00AC0205">
        <w:instrText xml:space="preserve"> ADDIN ZOTERO_ITEM CSL_CITATION {"citationID":"1qgeFkGf","properties":{"formattedCitation":"(Z. S. Foster et al., 2017)","plainCitation":"(Z. S. Foster et al., 2017)","noteIndex":0},"citationItems":[{"id":2318,"uris":["http://zotero.org/users/2189142/items/Z8EKZM8C"],"itemData":{"id":2318,"type":"article-journal","container-title":"PLoS computational biology","issue":"2","note":"publisher: Public Library of Science","page":"e1005404","source":"Google Scholar","title":"Metacoder: an R package for visualization and manipulation of community taxonomic diversity data","title-short":"Metacoder","volume":"13","author":[{"family":"Foster","given":"Zachary SL"},{"family":"Sharpton","given":"Thomas J."},{"family":"Grünwald","given":"Niklaus J."}],"issued":{"date-parts":[["2017"]]},"citation-key":"foster_2017"}}],"schema":"https://github.com/citation-style-language/schema/raw/master/csl-citation.json"} </w:instrText>
      </w:r>
      <w:r w:rsidRPr="009867C1">
        <w:fldChar w:fldCharType="separate"/>
      </w:r>
      <w:r w:rsidR="0042141C" w:rsidRPr="009867C1">
        <w:t>(Z. S. Foster et al., 2017)</w:t>
      </w:r>
      <w:r w:rsidRPr="009867C1">
        <w:fldChar w:fldCharType="end"/>
      </w:r>
      <w:r w:rsidRPr="009867C1">
        <w:t>.</w:t>
      </w:r>
    </w:p>
    <w:p w14:paraId="6FF3BF74" w14:textId="178BD5D2" w:rsidR="00086155" w:rsidRPr="009867C1" w:rsidRDefault="00086155" w:rsidP="00086155">
      <w:pPr>
        <w:ind w:firstLine="720"/>
      </w:pPr>
      <w:r w:rsidRPr="009867C1">
        <w:t xml:space="preserve">Four community metrics were chosen as response variables to compare communities: </w:t>
      </w:r>
      <w:r w:rsidR="00973586">
        <w:t>relative</w:t>
      </w:r>
      <w:r w:rsidRPr="009867C1">
        <w:t xml:space="preserve"> abundance</w:t>
      </w:r>
      <w:r w:rsidR="00973586">
        <w:t xml:space="preserve"> of symbiotrophs and saprotrophs</w:t>
      </w:r>
      <w:r w:rsidRPr="009867C1">
        <w:t>, species richness, Shannon’s diversity index, and phylogenetic dispersion. Three approaches were used to examine these relationships: i. simple bivariate visualization; ii. hypothesis testing via a GLM approach, which allow</w:t>
      </w:r>
      <w:r w:rsidR="00F83010">
        <w:t>ed</w:t>
      </w:r>
      <w:r w:rsidRPr="009867C1">
        <w:t xml:space="preserve"> for the consideration of a subset of covariates at these sites; and iii. an exploratory approach using random forest models to examine a wider set of covariates. </w:t>
      </w:r>
    </w:p>
    <w:p w14:paraId="7504C51D" w14:textId="77777777" w:rsidR="00086155" w:rsidRPr="009867C1" w:rsidRDefault="00086155" w:rsidP="00086155">
      <w:pPr>
        <w:ind w:firstLine="720"/>
      </w:pPr>
      <w:r w:rsidRPr="009867C1">
        <w:t>First, to most directly examine the effects of salmon density in the regional data on fungal communities, response variables were plotted against salmon density for all taxonomic groups and loess curves drawn to visualize trends.  Above/below data was visualized with Tukey boxplots and hypothesis testing performed by paired Wilcoxon tests.</w:t>
      </w:r>
    </w:p>
    <w:p w14:paraId="530AF307" w14:textId="7E9B870D" w:rsidR="00086155" w:rsidRPr="009867C1" w:rsidRDefault="00086155" w:rsidP="00086155">
      <w:pPr>
        <w:ind w:firstLine="720"/>
      </w:pPr>
      <w:r w:rsidRPr="009867C1">
        <w:t xml:space="preserve">Second, hypothesis testing was accomplished using a GLM model-averaging framework. GLMs were constructed with the equation </w:t>
      </w:r>
      <m:oMath>
        <m:sSub>
          <m:sSubPr>
            <m:ctrlPr>
              <w:rPr>
                <w:rFonts w:ascii="Cambria Math" w:hAnsi="Cambria Math"/>
                <w:i/>
              </w:rPr>
            </m:ctrlPr>
          </m:sSubPr>
          <m:e>
            <m:r>
              <w:rPr>
                <w:rFonts w:ascii="Cambria Math" w:hAnsi="Cambria Math"/>
              </w:rPr>
              <m:t>Community metric</m:t>
            </m:r>
          </m:e>
          <m:sub>
            <m:r>
              <w:rPr>
                <w:rFonts w:ascii="Cambria Math" w:hAnsi="Cambria Math"/>
              </w:rPr>
              <m:t>i</m:t>
            </m:r>
          </m:sub>
        </m:sSub>
        <m:r>
          <w:rPr>
            <w:rFonts w:ascii="Cambria Math" w:hAnsi="Cambria Math"/>
          </w:rPr>
          <m:t xml:space="preserve"> ~ salmon density+soil type+ nearest focal tree+moss percent cover PCA1+</m:t>
        </m:r>
        <m:r>
          <w:rPr>
            <w:rFonts w:ascii="Cambria Math" w:hAnsi="Cambria Math"/>
          </w:rPr>
          <m:t>herb percent cover PCA1+shrub</m:t>
        </m:r>
        <m:r>
          <w:rPr>
            <w:rFonts w:ascii="Cambria Math" w:eastAsiaTheme="minorEastAsia" w:hAnsi="Cambria Math"/>
          </w:rPr>
          <m:t xml:space="preserve"> influence index PCA1+tree influence index PCA1</m:t>
        </m:r>
      </m:oMath>
      <w:r w:rsidRPr="009867C1">
        <w:rPr>
          <w:rFonts w:eastAsiaTheme="minorEastAsia"/>
        </w:rPr>
        <w:t xml:space="preserve"> for every taxonomic group </w:t>
      </w:r>
      <w:r w:rsidRPr="009867C1">
        <w:rPr>
          <w:rFonts w:eastAsiaTheme="minorEastAsia"/>
          <w:i/>
        </w:rPr>
        <w:t>i</w:t>
      </w:r>
      <w:r w:rsidRPr="009867C1">
        <w:rPr>
          <w:rFonts w:eastAsiaTheme="minorEastAsia"/>
        </w:rPr>
        <w:t>.</w:t>
      </w:r>
      <w:r w:rsidRPr="009867C1">
        <w:t xml:space="preserve">  Gaussian and Gamma families were considered, and identity, log, and inverse link functions chosen where appropriate on domain, theoretical grounds, and model fit. Collinearity and model assumptions were checked visually using the R packages </w:t>
      </w:r>
      <w:r w:rsidRPr="009867C1">
        <w:rPr>
          <w:i/>
        </w:rPr>
        <w:t>DHARMa</w:t>
      </w:r>
      <w:r w:rsidRPr="009867C1">
        <w:t xml:space="preserve"> </w:t>
      </w:r>
      <w:r w:rsidRPr="009867C1">
        <w:fldChar w:fldCharType="begin"/>
      </w:r>
      <w:r w:rsidR="00AC0205">
        <w:instrText xml:space="preserve"> ADDIN ZOTERO_ITEM CSL_CITATION {"citationID":"PQDjMtia","properties":{"formattedCitation":"(Hartig, 2020)","plainCitation":"(Hartig, 2020)","noteIndex":0},"citationItems":[{"id":2555,"uris":["http://zotero.org/users/2189142/items/J6SKBW6A"],"itemData":{"id":2555,"type":"book","title":"DHARMa: Residual Diagnostics for Hierarchical (Multi-Level / Mixed) Regression Models","URL":"https://CRAN.R-project.org/package=DHARMa","author":[{"family":"Hartig","given":"Florian"}],"issued":{"date-parts":[["2020"]]},"citation-key":"hartig_2020"}}],"schema":"https://github.com/citation-style-language/schema/raw/master/csl-citation.json"} </w:instrText>
      </w:r>
      <w:r w:rsidRPr="009867C1">
        <w:fldChar w:fldCharType="separate"/>
      </w:r>
      <w:r w:rsidR="0042141C" w:rsidRPr="009867C1">
        <w:t>(Hartig, 2020)</w:t>
      </w:r>
      <w:r w:rsidRPr="009867C1">
        <w:fldChar w:fldCharType="end"/>
      </w:r>
      <w:r w:rsidRPr="009867C1">
        <w:t xml:space="preserve"> and </w:t>
      </w:r>
      <w:r w:rsidRPr="009867C1">
        <w:rPr>
          <w:i/>
        </w:rPr>
        <w:t>performance</w:t>
      </w:r>
      <w:r w:rsidRPr="009867C1">
        <w:t xml:space="preserve"> </w:t>
      </w:r>
      <w:r w:rsidRPr="009867C1">
        <w:fldChar w:fldCharType="begin"/>
      </w:r>
      <w:r w:rsidR="00AC0205">
        <w:instrText xml:space="preserve"> ADDIN ZOTERO_ITEM CSL_CITATION {"citationID":"kbzzkWKB","properties":{"formattedCitation":"(L\\uc0\\u252{}decke et al., 2020)","plainCitation":"(Lüdecke et al., 2020)","noteIndex":0},"citationItems":[{"id":2556,"uris":["http://zotero.org/users/2189142/items/BWU2HGKS"],"itemData":{"id":2556,"type":"article-journal","container-title":"CRAN","DOI":"10.5281/zenodo.3952174","title":"performance: Assessment of Regression Models Performance","URL":"https://easystats.github.io/performance/","author":[{"family":"Lüdecke","given":"Daniel"},{"family":"Makowski","given":"Dominique"},{"family":"Waggoner","given":"Philip"},{"family":"Patil","given":"Indrajeet"}],"issued":{"date-parts":[["2020"]]},"citation-key":"ludecke_2020"}}],"schema":"https://github.com/citation-style-language/schema/raw/master/csl-citation.json"} </w:instrText>
      </w:r>
      <w:r w:rsidRPr="009867C1">
        <w:fldChar w:fldCharType="separate"/>
      </w:r>
      <w:r w:rsidR="0042141C" w:rsidRPr="009867C1">
        <w:t>(Lüdecke et al., 2020)</w:t>
      </w:r>
      <w:r w:rsidRPr="009867C1">
        <w:fldChar w:fldCharType="end"/>
      </w:r>
      <w:r w:rsidRPr="009867C1">
        <w:t>. Since we were concerned primarily with the sign and direction of effects, a m</w:t>
      </w:r>
      <w:r w:rsidRPr="009867C1">
        <w:rPr>
          <w:rFonts w:eastAsiaTheme="minorEastAsia"/>
        </w:rPr>
        <w:t xml:space="preserve">odel averaging approach was used using the MuMIn package in R </w:t>
      </w:r>
      <w:r w:rsidRPr="009867C1">
        <w:rPr>
          <w:rFonts w:eastAsiaTheme="minorEastAsia"/>
        </w:rPr>
        <w:fldChar w:fldCharType="begin"/>
      </w:r>
      <w:r w:rsidR="00AC0205">
        <w:rPr>
          <w:rFonts w:eastAsiaTheme="minorEastAsia"/>
        </w:rPr>
        <w:instrText xml:space="preserve"> ADDIN ZOTERO_ITEM CSL_CITATION {"citationID":"KnSOWV3x","properties":{"formattedCitation":"(Barton, 2020)","plainCitation":"(Barton, 2020)","noteIndex":0},"citationItems":[{"id":2612,"uris":["http://zotero.org/users/2189142/items/XEQ99PYQ"],"itemData":{"id":2612,"type":"book","title":"MuMIn: Multi-Model Inference","URL":"https://CRAN.R-project.org/package=MuMIn","author":[{"family":"Barton","given":"Kamil"}],"issued":{"date-parts":[["2020"]]},"citation-key":"barton_2020"}}],"schema":"https://github.com/citation-style-language/schema/raw/master/csl-citation.json"} </w:instrText>
      </w:r>
      <w:r w:rsidRPr="009867C1">
        <w:rPr>
          <w:rFonts w:eastAsiaTheme="minorEastAsia"/>
        </w:rPr>
        <w:fldChar w:fldCharType="separate"/>
      </w:r>
      <w:r w:rsidR="0042141C" w:rsidRPr="009867C1">
        <w:t>(Barton, 2020)</w:t>
      </w:r>
      <w:r w:rsidRPr="009867C1">
        <w:rPr>
          <w:rFonts w:eastAsiaTheme="minorEastAsia"/>
        </w:rPr>
        <w:fldChar w:fldCharType="end"/>
      </w:r>
      <w:r w:rsidRPr="009867C1">
        <w:rPr>
          <w:rFonts w:eastAsiaTheme="minorEastAsia"/>
        </w:rPr>
        <w:t xml:space="preserve">. All models were included in final coefficient estimates, weighted in proportion to their AICc values using conditional averaging </w:t>
      </w:r>
      <w:r w:rsidRPr="009867C1">
        <w:rPr>
          <w:rFonts w:eastAsiaTheme="minorEastAsia"/>
        </w:rPr>
        <w:fldChar w:fldCharType="begin"/>
      </w:r>
      <w:r w:rsidR="00AC0205">
        <w:rPr>
          <w:rFonts w:eastAsiaTheme="minorEastAsia"/>
        </w:rPr>
        <w:instrText xml:space="preserve"> ADDIN ZOTERO_ITEM CSL_CITATION {"citationID":"I2hRWLdH","properties":{"formattedCitation":"(Galipaud et al., 2014)","plainCitation":"(Galipaud et al., 2014)","noteIndex":0},"citationItems":[{"id":1652,"uris":["http://zotero.org/users/2189142/items/B7S9ZVCA"],"itemData":{"id":1652,"type":"article-journal","abstract":"Information-theory procedures are powerful tools for multimodel inference and are now standard methods in ecology. When performing model averaging on a given set of models, the importance of a predictor variable is commonly estimated by summing the weights of models where the variable appears, the so-called sum of weights (SW). However, SWs have received little methodological attention and are frequently misinterpreted. We assessed the reliability of SW by performing model selection and averaging on simulated data sets including variables strongly and weakly correlated to the response variable and a variable unrelated to the response. Our aim was to investigate how useful SWs are to inform about the relative importance of predictor variables. SW can take a wide range of possible values, even for predictor variables unrelated to the response. As a consequence, SW with intermediate values cannot be confidently interpreted as denoting importance for the considered predictor variable. Increasing sample size using an alternative information criterion for model selection or using only a subset of candidate models for model averaging did not qualitatively change our results: a variable of a given effect size can take a wide range of SW values. Contrary to what is assumed in many ecological studies, it seems hazardous to define a threshold for SW above which a variable is considered as having a statistical effect on the response and SW is not a measure of effect size. Although we did not consider every possible condition of analysis, it is likely that in most situations, SW is a poor estimate of variable's importance.","container-title":"Methods in Ecology and Evolution","DOI":"10.1111/2041-210X.12251","ISSN":"2041-210X","issue":"10","language":"en","page":"983-991","source":"Wiley Online Library","title":"Ecologists overestimate the importance of predictor variables in model averaging: a plea for cautious interpretations","title-short":"Ecologists o</w:instrText>
      </w:r>
      <w:r w:rsidR="00AC0205">
        <w:rPr>
          <w:rFonts w:eastAsiaTheme="minorEastAsia" w:hint="eastAsia"/>
        </w:rPr>
        <w:instrText>verestimate the importance of predictor variables in model averaging","volume":"5","author":[{"family":"Galipaud","given":"Matthias"},{"family":"Gillingham","given":"Mark A. F."},{"family":"David","given":"Morgan"},{"family":"Dechaume</w:instrText>
      </w:r>
      <w:r w:rsidR="00AC0205">
        <w:rPr>
          <w:rFonts w:eastAsiaTheme="minorEastAsia" w:hint="eastAsia"/>
        </w:rPr>
        <w:instrText>‐</w:instrText>
      </w:r>
      <w:r w:rsidR="00AC0205">
        <w:rPr>
          <w:rFonts w:eastAsiaTheme="minorEastAsia" w:hint="eastAsia"/>
        </w:rPr>
        <w:instrText>Moncharmont","given"</w:instrText>
      </w:r>
      <w:r w:rsidR="00AC0205">
        <w:rPr>
          <w:rFonts w:eastAsiaTheme="minorEastAsia"/>
        </w:rPr>
        <w:instrText xml:space="preserve">:"François-Xavier"}],"issued":{"date-parts":[["2014"]]},"citation-key":"galipaud_2014"}}],"schema":"https://github.com/citation-style-language/schema/raw/master/csl-citation.json"} </w:instrText>
      </w:r>
      <w:r w:rsidRPr="009867C1">
        <w:rPr>
          <w:rFonts w:eastAsiaTheme="minorEastAsia"/>
        </w:rPr>
        <w:fldChar w:fldCharType="separate"/>
      </w:r>
      <w:r w:rsidR="0042141C" w:rsidRPr="009867C1">
        <w:t>(Galipaud et al., 2014)</w:t>
      </w:r>
      <w:r w:rsidRPr="009867C1">
        <w:rPr>
          <w:rFonts w:eastAsiaTheme="minorEastAsia"/>
        </w:rPr>
        <w:fldChar w:fldCharType="end"/>
      </w:r>
      <w:r w:rsidRPr="009867C1">
        <w:rPr>
          <w:rFonts w:eastAsiaTheme="minorEastAsia"/>
        </w:rPr>
        <w:t>. All explanatory variables were standardized prior to regression to account for differences in scale and units, and s</w:t>
      </w:r>
      <w:r w:rsidRPr="009867C1">
        <w:t xml:space="preserve">tandardized coefficients and their confidence intervals visualized via forestplots </w:t>
      </w:r>
      <w:r w:rsidRPr="009867C1">
        <w:fldChar w:fldCharType="begin"/>
      </w:r>
      <w:r w:rsidR="00AC0205">
        <w:instrText xml:space="preserve"> ADDIN ZOTERO_ITEM CSL_CITATION {"citationID":"esasgycu","properties":{"formattedCitation":"(Scheinin et al., 2021)","plainCitation":"(Scheinin et al., 2021)","noteIndex":0},"citationItems":[{"id":2553,"uris":["http://zotero.org/users/2189142/items/C58KCMU9"],"itemData":{"id":2553,"type":"book","title":"ggforestplot: Forestplots of Measures of Effects and Their Confidence Intervals","author":[{"family":"Scheinin","given":"Ilari"},{"family":"Kalimeri","given":"Maria"},{"family":"Jagerroos","given":"Vilma"},{"family":"Parkkinen","given":"Juuso"},{"family":"Tikkanen","given":"Emmi"},{"family":"Würtz","given":"Peter"},{"family":"Kangas","given":"Antti"}],"issued":{"date-parts":[["2021"]]},"citation-key":"scheinin_2021"}}],"schema":"https://github.com/citation-style-language/schema/raw/master/csl-citation.json"} </w:instrText>
      </w:r>
      <w:r w:rsidRPr="009867C1">
        <w:fldChar w:fldCharType="separate"/>
      </w:r>
      <w:r w:rsidR="0042141C" w:rsidRPr="009867C1">
        <w:t>(Scheinin et al., 2021)</w:t>
      </w:r>
      <w:r w:rsidRPr="009867C1">
        <w:fldChar w:fldCharType="end"/>
      </w:r>
      <w:r w:rsidRPr="009867C1">
        <w:t xml:space="preserve">. Finally, interpretation of coefficients was aided through inspection of marginal effects with the aid of the </w:t>
      </w:r>
      <w:r w:rsidRPr="009867C1">
        <w:rPr>
          <w:i/>
        </w:rPr>
        <w:t>visreg</w:t>
      </w:r>
      <w:r w:rsidRPr="009867C1">
        <w:t xml:space="preserve"> package </w:t>
      </w:r>
      <w:r w:rsidRPr="009867C1">
        <w:fldChar w:fldCharType="begin"/>
      </w:r>
      <w:r w:rsidR="00AC0205">
        <w:instrText xml:space="preserve"> ADDIN ZOTERO_ITEM CSL_CITATION {"citationID":"dFoFKQq6","properties":{"formattedCitation":"(Breheny &amp; Burchett, 2017)","plainCitation":"(Breheny &amp; Burchett, 2017)","noteIndex":0},"citationItems":[{"id":1581,"uris":["http://zotero.org/users/2189142/items/LPVSCQYU"],"itemData":{"id":1581,"type":"article-journal","abstract":"Regression models allow one to isolate the relationship between the outcome and an explanatory variable while the other variables are held constant. Here, we introduce an R package, visreg, for the convenient visualization of this relationship via short, simple function calls. In addition to estimates of this relationship, the package also provides pointwise conﬁdence bands and partial residuals to allow assessment of variability as well as outliers and other deviations from modeling assumptions. The package provides several options for visualizing models with interactions, including lattice plots, contour plots, and both static and interactive perspective plots. The implementation of the package is designed to be fully object-oriented and interface seamlessly with R’s rich collection of model classes, allowing a consistent interface for visualizing not only linear models, but generalized linear models, proportional hazards models, generalized additive models, robust regression models, and many more.","container-title":"The R Journal","DOI":"10.32614/RJ-2017-046","ISSN":"2073-4859","issue":"2","journalAbbreviation":"The R Journal","language":"en","page":"56","source":"DOI.org (Crossref)","title":"Visualization of Regression Models Using visreg","volume":"9","author":[{"family":"Breheny","given":"Patrick"},{"family":"Burchett","given":"Woodrow"}],"issued":{"date-parts":[["2017"]]},"citation-key":"breheny_2017a"}}],"schema":"https://github.com/citation-style-language/schema/raw/master/csl-citation.json"} </w:instrText>
      </w:r>
      <w:r w:rsidRPr="009867C1">
        <w:fldChar w:fldCharType="separate"/>
      </w:r>
      <w:r w:rsidR="0042141C" w:rsidRPr="009867C1">
        <w:t>(Breheny &amp; Burchett, 2017)</w:t>
      </w:r>
      <w:r w:rsidRPr="009867C1">
        <w:fldChar w:fldCharType="end"/>
      </w:r>
      <w:r w:rsidRPr="009867C1">
        <w:t xml:space="preserve">. </w:t>
      </w:r>
    </w:p>
    <w:p w14:paraId="661A395E" w14:textId="180890F7" w:rsidR="00086155" w:rsidRPr="009867C1" w:rsidRDefault="00086155" w:rsidP="00086155">
      <w:pPr>
        <w:ind w:firstLine="720"/>
      </w:pPr>
      <w:r w:rsidRPr="009867C1">
        <w:t xml:space="preserve"> Third, t</w:t>
      </w:r>
      <w:r w:rsidRPr="009867C1">
        <w:rPr>
          <w:rFonts w:eastAsiaTheme="minorEastAsia"/>
        </w:rPr>
        <w:t>o assess the relative importance of environmental and soil factors on community response variables, a suite of physical variables (</w:t>
      </w:r>
      <w:r w:rsidR="001043A7">
        <w:rPr>
          <w:rFonts w:eastAsiaTheme="minorEastAsia"/>
        </w:rPr>
        <w:t>four</w:t>
      </w:r>
      <w:r w:rsidRPr="009867C1">
        <w:rPr>
          <w:rFonts w:eastAsiaTheme="minorEastAsia"/>
        </w:rPr>
        <w:t xml:space="preserve"> variables, including salmon density), chemical variables (21 variables), and vegetation variables (16 variables) (</w:t>
      </w:r>
      <w:r w:rsidR="00C634A8">
        <w:rPr>
          <w:rFonts w:eastAsiaTheme="minorEastAsia"/>
        </w:rPr>
        <w:t>C</w:t>
      </w:r>
      <w:r w:rsidRPr="00C634A8">
        <w:rPr>
          <w:rFonts w:eastAsiaTheme="minorEastAsia"/>
        </w:rPr>
        <w:t>hapter 2</w:t>
      </w:r>
      <w:r w:rsidRPr="009867C1">
        <w:rPr>
          <w:rFonts w:eastAsiaTheme="minorEastAsia"/>
        </w:rPr>
        <w:t xml:space="preserve">) were included in random forest models constructed in R with the </w:t>
      </w:r>
      <w:r w:rsidRPr="009867C1">
        <w:rPr>
          <w:rFonts w:eastAsiaTheme="minorEastAsia"/>
          <w:i/>
        </w:rPr>
        <w:t>caret</w:t>
      </w:r>
      <w:r w:rsidRPr="009867C1">
        <w:rPr>
          <w:rFonts w:eastAsiaTheme="minorEastAsia"/>
        </w:rPr>
        <w:t xml:space="preserve"> and </w:t>
      </w:r>
      <w:r w:rsidRPr="009867C1">
        <w:rPr>
          <w:rFonts w:eastAsiaTheme="minorEastAsia"/>
          <w:i/>
        </w:rPr>
        <w:t>randomForest</w:t>
      </w:r>
      <w:r w:rsidRPr="009867C1">
        <w:rPr>
          <w:rFonts w:eastAsiaTheme="minorEastAsia"/>
        </w:rPr>
        <w:t xml:space="preserve"> packages </w:t>
      </w:r>
      <w:r w:rsidRPr="009867C1">
        <w:rPr>
          <w:rFonts w:eastAsiaTheme="minorEastAsia"/>
        </w:rPr>
        <w:fldChar w:fldCharType="begin"/>
      </w:r>
      <w:r w:rsidR="00AC0205">
        <w:rPr>
          <w:rFonts w:eastAsiaTheme="minorEastAsia"/>
        </w:rPr>
        <w:instrText xml:space="preserve"> ADDIN ZOTERO_ITEM CSL_CITATION {"citationID":"YA9kUVtR","properties":{"formattedCitation":"(Kuhn, 2008; Liaw &amp; Wiener, 2002)","plainCitation":"(Kuhn, 2008; Liaw &amp; Wiener, 2002)","noteIndex":0},"citationItems":[{"id":8,"uris":["http://zotero.org/users/2189142/items/3XNZDZ29"],"itemData":{"id":8,"type":"article-journal","container-title":"Journal of Statistical Software","DOI":"10.18637/jss.v028.i05","ISSN":"1548-7660","issue":"1","language":"en","note":"number: 1","page":"1-26","source":"www.jstatsoft.org","title":"Building Predictive Models in R Using the caret Package","volume":"28","author":[{"family":"Kuhn","given":"Max"}],"issued":{"date-parts":[["2008",11,10]]},"citation-key":"kuhn_2008"}},{"id":7,"uris":["http://zotero.org/users/2189142/items/F4A4NN58"],"itemData":{"id":7,"type":"article-journal","container-title":"R news","issue":"3","page":"18–22","source":"Google Scholar","title":"Classification and regression by randomForest","volume":"2","author":[{"family":"Liaw","given":"Andy"},{"family":"Wiener","given":"Matthew"}],"issued":{"date-parts":[["2002"]]},"citation-key":"liaw_2002"}}],"schema":"https://github.com/citation-style-language/schema/raw/master/csl-citation.json"} </w:instrText>
      </w:r>
      <w:r w:rsidRPr="009867C1">
        <w:rPr>
          <w:rFonts w:eastAsiaTheme="minorEastAsia"/>
        </w:rPr>
        <w:fldChar w:fldCharType="separate"/>
      </w:r>
      <w:r w:rsidR="0042141C" w:rsidRPr="009867C1">
        <w:t>(Kuhn, 2008; Liaw &amp; Wiener, 2002)</w:t>
      </w:r>
      <w:r w:rsidRPr="009867C1">
        <w:rPr>
          <w:rFonts w:eastAsiaTheme="minorEastAsia"/>
        </w:rPr>
        <w:fldChar w:fldCharType="end"/>
      </w:r>
      <w:r w:rsidRPr="009867C1">
        <w:rPr>
          <w:rFonts w:eastAsiaTheme="minorEastAsia"/>
        </w:rPr>
        <w:t xml:space="preserve">. Standardized importance coefficients of these explanatory variables were then visualized via heatmaps. </w:t>
      </w:r>
    </w:p>
    <w:p w14:paraId="1717C596" w14:textId="515C291B" w:rsidR="00086155" w:rsidRPr="009867C1" w:rsidRDefault="00086155" w:rsidP="00086155">
      <w:pPr>
        <w:ind w:firstLine="720"/>
      </w:pPr>
      <w:r w:rsidRPr="009867C1">
        <w:t xml:space="preserve">Beta diversity was ordinated and visualized with NDMS plots </w:t>
      </w:r>
      <w:r w:rsidRPr="009867C1">
        <w:fldChar w:fldCharType="begin"/>
      </w:r>
      <w:r w:rsidR="00AC0205">
        <w:instrText xml:space="preserve"> ADDIN ZOTERO_ITEM CSL_CITATION {"citationID":"63leV2xW","properties":{"formattedCitation":"(Legendre &amp; Legendre, 2012; Lozupone et al., 2011)","plainCitation":"(Legendre &amp; Legendre, 2012; Lozupone et al., 2011)","noteIndex":0},"citationItems":[{"id":141,"uris":["http://zotero.org/users/2189142/items/TR22582P"],"itemData":{"id":141,"type":"book","abstract":"The book describes and discusses the numerical methods which are successfully being used for analysing ecological data, using a clear and comprehensive approach. These methods are derived from the fields of mathematical physics, parametric and nonparametric statistics, information theory, numerical taxonomy, archaeology, psychometry, sociometry, econometry and others.An updated, 3rd English edition of the most widely cited book on quantitative analysis of multivariate ecological dataRelates ecological questions to methods of statistical analysis, with a clear description of complex numerical methodsAll methods are illustrated by examples from the ecological literature so that ecologists clearly see how to use the methods and approaches in their own researchAll calculations are available in R language functions","edition":"3 edition","event-place":"Amsterdam","ISBN":"978-0-444-53868-0","language":"English","number-of-pages":"1006","publisher":"Elsevier","publisher-place":"Amsterdam","source":"Amazon","title":"Numerical Ecology","author":[{"family":"Legendre","given":"Pierre"},{"family":"Legendre","given":"Loic F. J."}],"issued":{"date-parts":[["2012",8,20]]},"citation-key":"legendre_2012"}},{"id":2181,"uris":["http://zotero.org/users/2189142/items/VXH4FLBK"],"itemData":{"id":2181,"type":"article-journal","container-title":"The ISME journal","DOI":"10.1038/ismej.2010.133","ISSN":"1751-7362","issue":"2","journalAbbreviation":"ISME J","note":"PMID: 20827291\nPMCID: PMC3105689","page":"169-172","source":"PubMed Central","title":"UniFrac: an effective distance metric for microbial community comparison","title-short":"UniFrac","volume":"5","author":[{"family":"Lozupone","given":"Catherine"},{"family":"Lladser","given":"Manuel E"},{"family":"Knights","given":"Dan"},{"family":"Stombaugh","given":"Jesse"},{"family":"Knight","given":"Rob"}],"issued":{"date-parts":[["2011",2]]},"citation-key":"lozupone_2011"}}],"schema":"https://github.com/citation-style-language/schema/raw/master/csl-citation.json"} </w:instrText>
      </w:r>
      <w:r w:rsidRPr="009867C1">
        <w:fldChar w:fldCharType="separate"/>
      </w:r>
      <w:r w:rsidR="0042141C" w:rsidRPr="009867C1">
        <w:t>(Legendre &amp; Legendre, 2012; Lozupone et al., 2011)</w:t>
      </w:r>
      <w:r w:rsidRPr="009867C1">
        <w:fldChar w:fldCharType="end"/>
      </w:r>
      <w:r w:rsidRPr="009867C1">
        <w:t>. Since the ITS2 region diversifies on relatively short time scales, Unifraq distances are inappropriate and so standardized Bray-Curtis distance was used for the ITS sequences and weighted UniFraq distance calculated from the</w:t>
      </w:r>
      <w:r w:rsidR="00DB7ABB">
        <w:t xml:space="preserve"> generated</w:t>
      </w:r>
      <w:r w:rsidRPr="009867C1">
        <w:t xml:space="preserve"> SSU tree for SSU amplicons. Separate ordinations were conducted for each amplicon. NMDS was fit using 20 iterations and collapsed to </w:t>
      </w:r>
      <w:r w:rsidR="001043A7">
        <w:t>two</w:t>
      </w:r>
      <w:r w:rsidRPr="009867C1">
        <w:t xml:space="preserve"> dimensions. Significance was assessed using analysis of variance using distance matrices as implemented in the ‘adonis2’ method in the R package </w:t>
      </w:r>
      <w:r w:rsidRPr="009867C1">
        <w:rPr>
          <w:i/>
        </w:rPr>
        <w:t>vegan</w:t>
      </w:r>
      <w:r w:rsidRPr="009867C1">
        <w:t xml:space="preserve"> </w:t>
      </w:r>
      <w:r w:rsidRPr="009867C1">
        <w:fldChar w:fldCharType="begin"/>
      </w:r>
      <w:r w:rsidR="00AC0205">
        <w:instrText xml:space="preserve"> ADDIN ZOTERO_ITEM CSL_CITATION {"citationID":"GjHBWYMc","properties":{"formattedCitation":"(Oksanen et al., 2013)","plainCitation":"(Oksanen et al., 2013)","noteIndex":0},"citationItems":[{"id":12,"uris":["http://zotero.org/users/2189142/items/UDASSLXM"],"itemData":{"id":12,"type":"article-journal","container-title":"Community ecology package, version","issue":"9","page":"1–295","source":"Google Scholar","title":"Package ‘vegan’","volume":"2","author":[{"family":"Oksanen","given":"Jari"},{"family":"Blanchet","given":"F. Guillaume"},{"family":"Kindt","given":"Roeland"},{"family":"Legendre","given":"Pierre"},{"family":"Minchin","given":"Peter R."},{"family":"O’hara","given":"R. B."},{"family":"Simpson","given":"Gavin L."},{"family":"Solymos","given":"Peter"},{"family":"Stevens","given":"M. Henry H."},{"family":"Wagner","given":"Helene"}],"issued":{"date-parts":[["2013"]]},"citation-key":"oksanen_2013"}}],"schema":"https://github.com/citation-style-language/schema/raw/master/csl-citation.json"} </w:instrText>
      </w:r>
      <w:r w:rsidRPr="009867C1">
        <w:fldChar w:fldCharType="separate"/>
      </w:r>
      <w:r w:rsidR="0042141C" w:rsidRPr="009867C1">
        <w:t>(Oksanen et al., 2013)</w:t>
      </w:r>
      <w:r w:rsidRPr="009867C1">
        <w:fldChar w:fldCharType="end"/>
      </w:r>
      <w:r w:rsidRPr="009867C1">
        <w:t xml:space="preserve">. In the regional gradient data, effects of salmon density were modelled with the equation  </w:t>
      </w:r>
      <m:oMath>
        <m:r>
          <w:rPr>
            <w:rFonts w:ascii="Cambria Math" w:hAnsi="Cambria Math"/>
          </w:rPr>
          <m:t>Y~ Salmon density+Watershed size PCA1+ Nearest Tree Species+Soil Type</m:t>
        </m:r>
      </m:oMath>
      <w:r w:rsidRPr="009867C1">
        <w:rPr>
          <w:rFonts w:eastAsiaTheme="minorEastAsia"/>
        </w:rPr>
        <w:t xml:space="preserve">, while in above/below data the formula </w:t>
      </w:r>
      <m:oMath>
        <m:r>
          <w:rPr>
            <w:rFonts w:ascii="Cambria Math" w:hAnsi="Cambria Math"/>
          </w:rPr>
          <m:t>Y~ Above or below waterfall+ Nearest Tree Species+Soil Type</m:t>
        </m:r>
      </m:oMath>
      <w:r w:rsidRPr="009867C1">
        <w:rPr>
          <w:rFonts w:eastAsiaTheme="minorEastAsia"/>
        </w:rPr>
        <w:t xml:space="preserve"> was used</w:t>
      </w:r>
      <w:r w:rsidRPr="009867C1">
        <w:t xml:space="preserve">. To account for model uncertainty and collinearity between salmon density and watershed size, these analyses were repeated with salmon density </w:t>
      </w:r>
      <w:r w:rsidR="00DB7ABB">
        <w:t>and</w:t>
      </w:r>
      <w:r w:rsidRPr="009867C1">
        <w:t xml:space="preserve"> waterfall placed last in the model</w:t>
      </w:r>
      <w:r w:rsidR="008B5BFC">
        <w:t>s</w:t>
      </w:r>
      <w:r w:rsidRPr="009867C1">
        <w:t xml:space="preserve">.  </w:t>
      </w:r>
    </w:p>
    <w:p w14:paraId="0603B754" w14:textId="752100FE" w:rsidR="00086155" w:rsidRPr="009867C1" w:rsidRDefault="00086155" w:rsidP="00086155">
      <w:pPr>
        <w:ind w:firstLine="720"/>
      </w:pPr>
      <w:r w:rsidRPr="009867C1">
        <w:t xml:space="preserve">Differential composition analysis was conducted using the </w:t>
      </w:r>
      <w:r w:rsidR="00FE3491">
        <w:rPr>
          <w:i/>
        </w:rPr>
        <w:t xml:space="preserve">MaAsLin2 </w:t>
      </w:r>
      <w:r w:rsidR="00E80CC8">
        <w:t>package</w:t>
      </w:r>
      <w:r w:rsidRPr="009867C1">
        <w:t xml:space="preserve"> </w:t>
      </w:r>
      <w:r w:rsidR="00E80CC8">
        <w:fldChar w:fldCharType="begin"/>
      </w:r>
      <w:r w:rsidR="00AC0205">
        <w:instrText xml:space="preserve"> ADDIN ZOTERO_ITEM CSL_CITATION {"citationID":"PKZq3bkq","properties":{"formattedCitation":"(Mallick et al., 2021)","plainCitation":"(Mallick et al., 2021)","noteIndex":0},"citationItems":[{"id":10623,"uris":["http://zotero.org/users/2189142/items/TBLCB33H"],"itemData":{"id":10623,"type":"report","abstract":"It is challenging to associate features such as human health outcomes, diet, environmental conditions, or other metadata to microbial community measurements, due in part to their quantitative properties. Microbiome multi-omics are typically noisy, sparse (zero-inflated), high-dimensional, extremely non-normal, and often in the form of count or compositional measurements. Here we introduce an optimized combination of novel and established methodology to assess multivariable association of microbial community features with complex metadata in population-scale observational studies. Our approach, MaAsLin 2 (Microbiome Multivariable Associations with Linear Models), uses general linear models to accommodate a wide variety of modern epidemiological studies, including cross-sectional and longitudinal designs, as well as a variety of data types (e.g. counts and relative abundances) with or without covariates and repeated measurements. To construct this method, we conducted a large-scale evaluation of a broad range of scenarios under which straightforward identification of meta-omics associations can be challenging. These simulation studies reveal that MaAsLin 2’s linear model preserves statistical power in the presence of repeated measures and multiple covariates, while accounting for the nuances of meta-omics features and controlling false discovery. We also applied MaAsLin 2 to a microbial multi-omics dataset from the Integrative Human Microbiome (HMP2) project which, in addition to reproducing established results, revealed a unique, integrated landscape of inflammatory bowel disease (IBD) across multiple time points and omics profiles.","language":"en","note":"Company: Cold Spring Harbor Laboratory\nDOI: 10.1101/2021.01.20.427420\nDistributor: Cold Spring Harbor Laboratory\nLabel: Cold Spring Harbor Laboratory\nsection: New Results\ntype: article","page":"2021.01.20.427420","source":"bioRxiv","title":"Multivariable Association Discovery in Population-scale Meta-omics Studies","URL":"https://www.biorxiv.org/content/10.1101/2021.01.20.427420v1","author":[{"family":"Mallick","given":"Himel"},{"family":"Rahnavard","given":"Ali"},{"family":"McIver","given":"Lauren J."},{"family":"Ma","given":"Siyuan"},{"family":"Zhang","given":"Yancong"},{"family":"Nguyen","given":"Long H."},{"family":"Tickle","given":"Timothy L."},{"family":"Weingart","given":"George"},{"family":"Ren","given":"Boyu"},{"family":"Schwager","given":"Emma H."},{"family":"Chatterjee","given":"Suvo"},{"family":"Thompson","given":"Kelsey N."},{"family":"Wilkinson","given":"Jeremy E."},{"family":"Subramanian","given":"Ayshwarya"},{"family":"Lu","given":"Yiren"},{"family":"Waldron","given":"Levi"},{"family":"Paulson","given":"Joseph N."},{"family":"Franzosa","given":"Eric A."},{"family":"Bravo","given":"Hector Corrada"},{"family":"Huttenhower","given":"Curtis"}],"accessed":{"date-parts":[["2021",10,19]]},"issued":{"date-parts":[["2021",1,20]]},"citation-key":"mallick_2021"}}],"schema":"https://github.com/citation-style-language/schema/raw/master/csl-citation.json"} </w:instrText>
      </w:r>
      <w:r w:rsidR="00E80CC8">
        <w:fldChar w:fldCharType="separate"/>
      </w:r>
      <w:r w:rsidR="00E80CC8" w:rsidRPr="00E80CC8">
        <w:t>(Mallick et al., 2021)</w:t>
      </w:r>
      <w:r w:rsidR="00E80CC8">
        <w:fldChar w:fldCharType="end"/>
      </w:r>
      <w:r w:rsidR="00E80CC8">
        <w:t>.</w:t>
      </w:r>
      <w:r w:rsidR="00144C27">
        <w:t xml:space="preserve"> </w:t>
      </w:r>
      <w:r w:rsidR="00144C27" w:rsidRPr="009867C1">
        <w:t xml:space="preserve">ASV tables were filtered by removing all taxa in fewer than 5% of samples and abundance fewer than 10 reads across all samples </w:t>
      </w:r>
      <w:r w:rsidR="00144C27" w:rsidRPr="009867C1">
        <w:fldChar w:fldCharType="begin"/>
      </w:r>
      <w:r w:rsidR="00AC0205">
        <w:instrText xml:space="preserve"> ADDIN ZOTERO_ITEM CSL_CITATION {"citationID":"yP2vXBQZ","properties":{"formattedCitation":"(Callahan, Sankaran, et al., 2016)","plainCitation":"(Callahan, Sankaran, et al., 2016)","noteIndex":0},"citationItems":[{"id":2211,"uris":["http://zotero.org/users/2189142/items/YNS4JRQQ"],"itemData":{"id":2211,"type":"article-journal","abstract":"High-throughput sequencing of PCR-amplified taxonomic markers (like the 16S rRNA gene) has enabled a new level of analysis of complex bacterial communities known as microbiomes. Many tools exist to quantify and compare abundance levels or OTU composition of communities in different conditions. The sequencing reads have to be denoised and assigned to the closest taxa from a reference database. Common approaches use a notion of 97% similarity and normalize the data by subsampling to equalize library sizes. In this paper, we show that statistical models allow more accurate abundance estimates. By providing a complete workflow in R, we enable the user to do sophisticated downstream statistical analyses, whether parametric or nonparametric. We provide examples of using the R packages dada2, phyloseq, DESeq2, ggplot2 and vegan to filter, visualize and test microbiome data. We also provide examples of supervised analyses using random forests and nonparametric testing using community networks and the ggnetwork package.","container-title":"F1000Research","DOI":"10.12688/f1000research.8986.2","ISSN":"2046-1402","journalAbbreviation":"F1000Res","language":"en","page":"1492","source":"DOI.org (Crossref)","title":"Bioconductor Workflow for Microbiome Data Analysis: from raw reads to community analyses","title-short":"Bioconductor Workflow for Microbiome Data Analysis","volume":"5","author":[{"family":"Callahan","given":"Ben J."},{"family":"Sankaran","given":"Kris"},{"family":"Fukuyama","given":"Julia A."},{"family":"McMurdie","given":"Paul J."},{"family":"Holmes","given":"Susan P."}],"issued":{"date-parts":[["2016",11,2]]},"citation-key":"callahan_2016"}}],"schema":"https://github.com/citation-style-language/schema/raw/master/csl-citation.json"} </w:instrText>
      </w:r>
      <w:r w:rsidR="00144C27" w:rsidRPr="009867C1">
        <w:fldChar w:fldCharType="separate"/>
      </w:r>
      <w:r w:rsidR="00144C27" w:rsidRPr="009867C1">
        <w:t>(Callahan, Sankaran, et al., 2016)</w:t>
      </w:r>
      <w:r w:rsidR="00144C27" w:rsidRPr="009867C1">
        <w:fldChar w:fldCharType="end"/>
      </w:r>
      <w:r w:rsidR="00144C27" w:rsidRPr="009867C1">
        <w:t>.</w:t>
      </w:r>
      <w:r w:rsidR="00197160">
        <w:t xml:space="preserve"> </w:t>
      </w:r>
      <w:r w:rsidRPr="009867C1">
        <w:t xml:space="preserve">Gradient data was modelled as a </w:t>
      </w:r>
      <w:r w:rsidR="00E80CC8">
        <w:t>linear</w:t>
      </w:r>
      <w:r w:rsidRPr="009867C1">
        <w:t xml:space="preserve"> function of salmon density, and above/below data as a function of being above or below the respective waterfall, using </w:t>
      </w:r>
      <w:r w:rsidR="00D86D14">
        <w:t xml:space="preserve">centered </w:t>
      </w:r>
      <w:r w:rsidRPr="009867C1">
        <w:t xml:space="preserve">log-transform </w:t>
      </w:r>
      <w:r w:rsidR="00D86D14">
        <w:t xml:space="preserve">(CLT) </w:t>
      </w:r>
      <w:r w:rsidR="00197160">
        <w:t xml:space="preserve">on ASV reads </w:t>
      </w:r>
      <w:r w:rsidRPr="009867C1">
        <w:t>for each case.</w:t>
      </w:r>
      <w:r w:rsidR="00197160">
        <w:t xml:space="preserve"> Salmon density was Z-transformed prior to modelling.</w:t>
      </w:r>
      <w:r w:rsidRPr="009867C1">
        <w:t xml:space="preserve"> Forest floor and organic soils were treated separately, as were the two amplicons, resulting in eight final model</w:t>
      </w:r>
      <w:r w:rsidR="007C63A6">
        <w:t xml:space="preserve"> sets</w:t>
      </w:r>
      <w:r w:rsidRPr="009867C1">
        <w:t xml:space="preserve">. Since </w:t>
      </w:r>
      <w:r w:rsidR="00774B95" w:rsidRPr="00774B95">
        <w:rPr>
          <w:i/>
          <w:iCs/>
        </w:rPr>
        <w:t>MaAsLin2</w:t>
      </w:r>
      <w:r w:rsidR="00774B95">
        <w:t xml:space="preserve"> </w:t>
      </w:r>
      <w:r w:rsidRPr="009867C1">
        <w:t xml:space="preserve">assigns coefficients on the ASV level, coefficients for non-tip taxa as well as taxa that were represented by multiple ASVs were constructed by taking the average of the coefficients of contributing ASVs weighted by the </w:t>
      </w:r>
      <w:r w:rsidR="00774B95">
        <w:t>relative</w:t>
      </w:r>
      <w:r w:rsidRPr="009867C1">
        <w:t xml:space="preserve"> abundance among significant taxa. Finally, coefficients were visualized via heat trees in R using the </w:t>
      </w:r>
      <w:r w:rsidRPr="009867C1">
        <w:rPr>
          <w:i/>
        </w:rPr>
        <w:t>metacodeR</w:t>
      </w:r>
      <w:r w:rsidRPr="009867C1">
        <w:t xml:space="preserve"> package </w:t>
      </w:r>
      <w:r w:rsidRPr="009867C1">
        <w:fldChar w:fldCharType="begin"/>
      </w:r>
      <w:r w:rsidR="00AC0205">
        <w:instrText xml:space="preserve"> ADDIN ZOTERO_ITEM CSL_CITATION {"citationID":"4a47iZXn","properties":{"formattedCitation":"(Z. S. Foster et al., 2017)","plainCitation":"(Z. S. Foster et al., 2017)","noteIndex":0},"citationItems":[{"id":2318,"uris":["http://zotero.org/users/2189142/items/Z8EKZM8C"],"itemData":{"id":2318,"type":"article-journal","container-title":"PLoS computational biology","issue":"2","note":"publisher: Public Library of Science","page":"e1005404","source":"Google Scholar","title":"Metacoder: an R package for visualization and manipulation of community taxonomic diversity data","title-short":"Metacoder","volume":"13","author":[{"family":"Foster","given":"Zachary SL"},{"family":"Sharpton","given":"Thomas J."},{"family":"Grünwald","given":"Niklaus J."}],"issued":{"date-parts":[["2017"]]},"citation-key":"foster_2017"}}],"schema":"https://github.com/citation-style-language/schema/raw/master/csl-citation.json"} </w:instrText>
      </w:r>
      <w:r w:rsidRPr="009867C1">
        <w:fldChar w:fldCharType="separate"/>
      </w:r>
      <w:r w:rsidR="0042141C" w:rsidRPr="009867C1">
        <w:t>(Z. S. Foster et al., 2017)</w:t>
      </w:r>
      <w:r w:rsidRPr="009867C1">
        <w:fldChar w:fldCharType="end"/>
      </w:r>
      <w:r w:rsidRPr="009867C1">
        <w:t xml:space="preserve">. </w:t>
      </w:r>
    </w:p>
    <w:p w14:paraId="579CCEF5" w14:textId="77777777" w:rsidR="00086155" w:rsidRPr="009867C1" w:rsidRDefault="00086155" w:rsidP="00086155">
      <w:pPr>
        <w:ind w:firstLine="720"/>
      </w:pPr>
    </w:p>
    <w:p w14:paraId="35BC64BF" w14:textId="77777777" w:rsidR="00086155" w:rsidRPr="009867C1" w:rsidRDefault="00086155" w:rsidP="00086155"/>
    <w:p w14:paraId="1771C1C4" w14:textId="77777777" w:rsidR="00086155" w:rsidRPr="009867C1" w:rsidRDefault="00086155" w:rsidP="00086155">
      <w:pPr>
        <w:pStyle w:val="Heading3"/>
        <w:rPr>
          <w:lang w:val="en-CA"/>
        </w:rPr>
      </w:pPr>
      <w:bookmarkStart w:id="149" w:name="_Toc99385452"/>
      <w:r w:rsidRPr="009867C1">
        <w:rPr>
          <w:lang w:val="en-CA"/>
        </w:rPr>
        <w:t>Results</w:t>
      </w:r>
      <w:bookmarkEnd w:id="149"/>
    </w:p>
    <w:p w14:paraId="02232F88" w14:textId="77777777" w:rsidR="00086155" w:rsidRPr="009867C1" w:rsidRDefault="00086155" w:rsidP="00086155">
      <w:pPr>
        <w:pStyle w:val="Heading4"/>
      </w:pPr>
      <w:bookmarkStart w:id="150" w:name="_Toc99385453"/>
      <w:r w:rsidRPr="009867C1">
        <w:t>Sequencing and community composition</w:t>
      </w:r>
      <w:bookmarkEnd w:id="150"/>
    </w:p>
    <w:p w14:paraId="1AE33825" w14:textId="3ABC8E75" w:rsidR="00086155" w:rsidRPr="009867C1" w:rsidRDefault="00086155" w:rsidP="00086155">
      <w:pPr>
        <w:rPr>
          <w:rFonts w:eastAsia="Times New Roman"/>
          <w:color w:val="000000"/>
          <w:lang w:eastAsia="en-CA"/>
        </w:rPr>
      </w:pPr>
      <w:r w:rsidRPr="009867C1">
        <w:rPr>
          <w:b/>
        </w:rPr>
        <w:t>ITS reads</w:t>
      </w:r>
      <w:r w:rsidRPr="009867C1">
        <w:t xml:space="preserve">: A total of 1.86 million clean, double-stranded Illumina reads were obtained after demultiplexing; after dada2 filtering this resulted in 1.12 million reads representing </w:t>
      </w:r>
      <w:r w:rsidRPr="009867C1">
        <w:rPr>
          <w:rFonts w:eastAsia="Times New Roman"/>
          <w:color w:val="000000"/>
          <w:lang w:eastAsia="en-CA"/>
        </w:rPr>
        <w:t>3,165 ASVs. A total of 2,100 (66.3%) were identified at the class level; 1,333 (42%) at the genus level and 605 (20%) at the species level. FunGuild annotations were successfully applied to 1,660 taxa (52% of the total</w:t>
      </w:r>
      <w:r w:rsidR="0046243F">
        <w:rPr>
          <w:rFonts w:eastAsia="Times New Roman"/>
          <w:color w:val="000000"/>
          <w:lang w:eastAsia="en-CA"/>
        </w:rPr>
        <w:t>);</w:t>
      </w:r>
      <w:r w:rsidRPr="009867C1">
        <w:rPr>
          <w:rFonts w:eastAsia="Times New Roman"/>
          <w:color w:val="000000"/>
          <w:lang w:eastAsia="en-CA"/>
        </w:rPr>
        <w:t xml:space="preserve"> and 832 (55.3% of annotated samples) included the word ‘symbiotroph’ in the Funguild “Trophic Mode” designation; and 1,108 (73.6%) the word ‘saprotroph’ (taxa with both designations were included in both groups). The top fungal classes by</w:t>
      </w:r>
      <w:r w:rsidR="008068DD">
        <w:rPr>
          <w:rFonts w:eastAsia="Times New Roman"/>
          <w:color w:val="000000"/>
          <w:lang w:eastAsia="en-CA"/>
        </w:rPr>
        <w:t xml:space="preserve"> average</w:t>
      </w:r>
      <w:r w:rsidRPr="009867C1">
        <w:rPr>
          <w:rFonts w:eastAsia="Times New Roman"/>
          <w:color w:val="000000"/>
          <w:lang w:eastAsia="en-CA"/>
        </w:rPr>
        <w:t xml:space="preserve"> </w:t>
      </w:r>
      <w:r w:rsidR="008068DD">
        <w:rPr>
          <w:rFonts w:eastAsia="Times New Roman"/>
          <w:color w:val="000000"/>
          <w:lang w:eastAsia="en-CA"/>
        </w:rPr>
        <w:t>relative abundance</w:t>
      </w:r>
      <w:r w:rsidRPr="009867C1">
        <w:rPr>
          <w:rFonts w:eastAsia="Times New Roman"/>
          <w:color w:val="000000"/>
          <w:lang w:eastAsia="en-CA"/>
        </w:rPr>
        <w:t xml:space="preserve"> represented in the complete data set were Agaricomycetes (50.</w:t>
      </w:r>
      <w:r w:rsidR="000417C7">
        <w:rPr>
          <w:rFonts w:eastAsia="Times New Roman"/>
          <w:color w:val="000000"/>
          <w:lang w:eastAsia="en-CA"/>
        </w:rPr>
        <w:t>0</w:t>
      </w:r>
      <w:r w:rsidRPr="009867C1">
        <w:rPr>
          <w:rFonts w:eastAsia="Times New Roman"/>
          <w:color w:val="000000"/>
          <w:lang w:eastAsia="en-CA"/>
        </w:rPr>
        <w:t xml:space="preserve">%), </w:t>
      </w:r>
      <w:r w:rsidR="001F3BF0" w:rsidRPr="009867C1">
        <w:rPr>
          <w:rFonts w:eastAsia="Times New Roman"/>
          <w:color w:val="000000"/>
          <w:lang w:eastAsia="en-CA"/>
        </w:rPr>
        <w:t>Leotiomycetes (8</w:t>
      </w:r>
      <w:r w:rsidR="001F3BF0">
        <w:rPr>
          <w:rFonts w:eastAsia="Times New Roman"/>
          <w:color w:val="000000"/>
          <w:lang w:eastAsia="en-CA"/>
        </w:rPr>
        <w:t>.3</w:t>
      </w:r>
      <w:r w:rsidR="001F3BF0" w:rsidRPr="009867C1">
        <w:rPr>
          <w:rFonts w:eastAsia="Times New Roman"/>
          <w:color w:val="000000"/>
          <w:lang w:eastAsia="en-CA"/>
        </w:rPr>
        <w:t>%)</w:t>
      </w:r>
      <w:r w:rsidR="001F3BF0">
        <w:rPr>
          <w:rFonts w:eastAsia="Times New Roman"/>
          <w:color w:val="000000"/>
          <w:lang w:eastAsia="en-CA"/>
        </w:rPr>
        <w:t xml:space="preserve">, </w:t>
      </w:r>
      <w:r w:rsidRPr="009867C1">
        <w:rPr>
          <w:rFonts w:eastAsia="Times New Roman"/>
          <w:color w:val="000000"/>
          <w:lang w:eastAsia="en-CA"/>
        </w:rPr>
        <w:t>Eurotiomycetes (8.</w:t>
      </w:r>
      <w:r w:rsidR="001F3BF0">
        <w:rPr>
          <w:rFonts w:eastAsia="Times New Roman"/>
          <w:color w:val="000000"/>
          <w:lang w:eastAsia="en-CA"/>
        </w:rPr>
        <w:t>1</w:t>
      </w:r>
      <w:r w:rsidRPr="009867C1">
        <w:rPr>
          <w:rFonts w:eastAsia="Times New Roman"/>
          <w:color w:val="000000"/>
          <w:lang w:eastAsia="en-CA"/>
        </w:rPr>
        <w:t xml:space="preserve">%), and Mortierellomycetes (7.0%). The ten most abundant genera were </w:t>
      </w:r>
      <w:r w:rsidRPr="001043A7">
        <w:rPr>
          <w:rFonts w:eastAsia="Times New Roman"/>
          <w:i/>
          <w:iCs/>
          <w:color w:val="000000"/>
          <w:lang w:eastAsia="en-CA"/>
        </w:rPr>
        <w:t>Tylospora</w:t>
      </w:r>
      <w:r w:rsidRPr="009867C1">
        <w:rPr>
          <w:rFonts w:eastAsia="Times New Roman"/>
          <w:color w:val="000000"/>
          <w:lang w:eastAsia="en-CA"/>
        </w:rPr>
        <w:t xml:space="preserve"> (</w:t>
      </w:r>
      <w:r w:rsidR="008068DD">
        <w:rPr>
          <w:rFonts w:eastAsia="Times New Roman"/>
          <w:color w:val="000000"/>
          <w:lang w:eastAsia="en-CA"/>
        </w:rPr>
        <w:t>19.8</w:t>
      </w:r>
      <w:r w:rsidRPr="009867C1">
        <w:rPr>
          <w:rFonts w:eastAsia="Times New Roman"/>
          <w:color w:val="000000"/>
          <w:lang w:eastAsia="en-CA"/>
        </w:rPr>
        <w:t xml:space="preserve">%), </w:t>
      </w:r>
      <w:r w:rsidRPr="001043A7">
        <w:rPr>
          <w:rFonts w:eastAsia="Times New Roman"/>
          <w:i/>
          <w:iCs/>
          <w:color w:val="000000"/>
          <w:lang w:eastAsia="en-CA"/>
        </w:rPr>
        <w:t xml:space="preserve">Mortierella </w:t>
      </w:r>
      <w:r w:rsidRPr="009867C1">
        <w:rPr>
          <w:rFonts w:eastAsia="Times New Roman"/>
          <w:color w:val="000000"/>
          <w:lang w:eastAsia="en-CA"/>
        </w:rPr>
        <w:t xml:space="preserve">(7.3%), </w:t>
      </w:r>
      <w:r w:rsidRPr="001043A7">
        <w:rPr>
          <w:rFonts w:eastAsia="Times New Roman"/>
          <w:i/>
          <w:iCs/>
          <w:color w:val="000000"/>
          <w:lang w:eastAsia="en-CA"/>
        </w:rPr>
        <w:t>Russula</w:t>
      </w:r>
      <w:r w:rsidRPr="009867C1">
        <w:rPr>
          <w:rFonts w:eastAsia="Times New Roman"/>
          <w:color w:val="000000"/>
          <w:lang w:eastAsia="en-CA"/>
        </w:rPr>
        <w:t xml:space="preserve"> (7.2%), </w:t>
      </w:r>
      <w:r w:rsidRPr="001043A7">
        <w:rPr>
          <w:rFonts w:eastAsia="Times New Roman"/>
          <w:i/>
          <w:iCs/>
          <w:color w:val="000000"/>
          <w:lang w:eastAsia="en-CA"/>
        </w:rPr>
        <w:t>Archaeorhizomyces</w:t>
      </w:r>
      <w:r w:rsidRPr="009867C1">
        <w:rPr>
          <w:rFonts w:eastAsia="Times New Roman"/>
          <w:color w:val="000000"/>
          <w:lang w:eastAsia="en-CA"/>
        </w:rPr>
        <w:t xml:space="preserve"> (6.3%), </w:t>
      </w:r>
      <w:r w:rsidRPr="001043A7">
        <w:rPr>
          <w:rFonts w:eastAsia="Times New Roman"/>
          <w:i/>
          <w:iCs/>
          <w:color w:val="000000"/>
          <w:lang w:eastAsia="en-CA"/>
        </w:rPr>
        <w:t>Cenococcum</w:t>
      </w:r>
      <w:r w:rsidRPr="009867C1">
        <w:rPr>
          <w:rFonts w:eastAsia="Times New Roman"/>
          <w:color w:val="000000"/>
          <w:lang w:eastAsia="en-CA"/>
        </w:rPr>
        <w:t xml:space="preserve"> (6.2%), </w:t>
      </w:r>
      <w:r w:rsidRPr="001043A7">
        <w:rPr>
          <w:rFonts w:eastAsia="Times New Roman"/>
          <w:i/>
          <w:iCs/>
          <w:color w:val="000000"/>
          <w:lang w:eastAsia="en-CA"/>
        </w:rPr>
        <w:t>Elaphomyces</w:t>
      </w:r>
      <w:r w:rsidRPr="009867C1">
        <w:rPr>
          <w:rFonts w:eastAsia="Times New Roman"/>
          <w:color w:val="000000"/>
          <w:lang w:eastAsia="en-CA"/>
        </w:rPr>
        <w:t xml:space="preserve"> (</w:t>
      </w:r>
      <w:r w:rsidR="008068DD">
        <w:rPr>
          <w:rFonts w:eastAsia="Times New Roman"/>
          <w:color w:val="000000"/>
          <w:lang w:eastAsia="en-CA"/>
        </w:rPr>
        <w:t>4</w:t>
      </w:r>
      <w:r w:rsidRPr="009867C1">
        <w:rPr>
          <w:rFonts w:eastAsia="Times New Roman"/>
          <w:color w:val="000000"/>
          <w:lang w:eastAsia="en-CA"/>
        </w:rPr>
        <w:t>.</w:t>
      </w:r>
      <w:r w:rsidR="008068DD">
        <w:rPr>
          <w:rFonts w:eastAsia="Times New Roman"/>
          <w:color w:val="000000"/>
          <w:lang w:eastAsia="en-CA"/>
        </w:rPr>
        <w:t>7</w:t>
      </w:r>
      <w:r w:rsidRPr="009867C1">
        <w:rPr>
          <w:rFonts w:eastAsia="Times New Roman"/>
          <w:color w:val="000000"/>
          <w:lang w:eastAsia="en-CA"/>
        </w:rPr>
        <w:t xml:space="preserve">%), </w:t>
      </w:r>
      <w:r w:rsidRPr="001043A7">
        <w:rPr>
          <w:rFonts w:eastAsia="Times New Roman"/>
          <w:i/>
          <w:iCs/>
          <w:color w:val="000000"/>
          <w:lang w:eastAsia="en-CA"/>
        </w:rPr>
        <w:t xml:space="preserve">Clavulina </w:t>
      </w:r>
      <w:r w:rsidRPr="009867C1">
        <w:rPr>
          <w:rFonts w:eastAsia="Times New Roman"/>
          <w:color w:val="000000"/>
          <w:lang w:eastAsia="en-CA"/>
        </w:rPr>
        <w:t xml:space="preserve">(2.9%), </w:t>
      </w:r>
      <w:r w:rsidRPr="001043A7">
        <w:rPr>
          <w:rFonts w:eastAsia="Times New Roman"/>
          <w:i/>
          <w:iCs/>
          <w:color w:val="000000"/>
          <w:lang w:eastAsia="en-CA"/>
        </w:rPr>
        <w:t>Piloderma</w:t>
      </w:r>
      <w:r w:rsidRPr="009867C1">
        <w:rPr>
          <w:rFonts w:eastAsia="Times New Roman"/>
          <w:color w:val="000000"/>
          <w:lang w:eastAsia="en-CA"/>
        </w:rPr>
        <w:t xml:space="preserve"> (2.</w:t>
      </w:r>
      <w:r w:rsidR="008068DD">
        <w:rPr>
          <w:rFonts w:eastAsia="Times New Roman"/>
          <w:color w:val="000000"/>
          <w:lang w:eastAsia="en-CA"/>
        </w:rPr>
        <w:t>7</w:t>
      </w:r>
      <w:r w:rsidRPr="009867C1">
        <w:rPr>
          <w:rFonts w:eastAsia="Times New Roman"/>
          <w:color w:val="000000"/>
          <w:lang w:eastAsia="en-CA"/>
        </w:rPr>
        <w:t xml:space="preserve">%), </w:t>
      </w:r>
      <w:r w:rsidRPr="001043A7">
        <w:rPr>
          <w:rFonts w:eastAsia="Times New Roman"/>
          <w:i/>
          <w:iCs/>
          <w:color w:val="000000"/>
          <w:lang w:eastAsia="en-CA"/>
        </w:rPr>
        <w:t>Cortinarius</w:t>
      </w:r>
      <w:r w:rsidRPr="009867C1">
        <w:rPr>
          <w:rFonts w:eastAsia="Times New Roman"/>
          <w:color w:val="000000"/>
          <w:lang w:eastAsia="en-CA"/>
        </w:rPr>
        <w:t xml:space="preserve"> (2.0%), and </w:t>
      </w:r>
      <w:r w:rsidRPr="001043A7">
        <w:rPr>
          <w:rFonts w:eastAsia="Times New Roman"/>
          <w:i/>
          <w:iCs/>
          <w:color w:val="000000"/>
          <w:lang w:eastAsia="en-CA"/>
        </w:rPr>
        <w:t>Meliniomyces</w:t>
      </w:r>
      <w:r w:rsidRPr="009867C1">
        <w:rPr>
          <w:rFonts w:eastAsia="Times New Roman"/>
          <w:color w:val="000000"/>
          <w:lang w:eastAsia="en-CA"/>
        </w:rPr>
        <w:t xml:space="preserve"> (</w:t>
      </w:r>
      <w:r w:rsidR="008068DD">
        <w:rPr>
          <w:rFonts w:eastAsia="Times New Roman"/>
          <w:color w:val="000000"/>
          <w:lang w:eastAsia="en-CA"/>
        </w:rPr>
        <w:t>1</w:t>
      </w:r>
      <w:r w:rsidRPr="009867C1">
        <w:rPr>
          <w:rFonts w:eastAsia="Times New Roman"/>
          <w:color w:val="000000"/>
          <w:lang w:eastAsia="en-CA"/>
        </w:rPr>
        <w:t>.</w:t>
      </w:r>
      <w:r w:rsidR="008068DD">
        <w:rPr>
          <w:rFonts w:eastAsia="Times New Roman"/>
          <w:color w:val="000000"/>
          <w:lang w:eastAsia="en-CA"/>
        </w:rPr>
        <w:t>9</w:t>
      </w:r>
      <w:r w:rsidRPr="009867C1">
        <w:rPr>
          <w:rFonts w:eastAsia="Times New Roman"/>
          <w:color w:val="000000"/>
          <w:lang w:eastAsia="en-CA"/>
        </w:rPr>
        <w:t xml:space="preserve">%). </w:t>
      </w:r>
      <w:r w:rsidRPr="009867C1">
        <w:t xml:space="preserve">The phylogenetic distribution of </w:t>
      </w:r>
      <w:r w:rsidR="001F71AD">
        <w:t>relative</w:t>
      </w:r>
      <w:r w:rsidRPr="009867C1">
        <w:t xml:space="preserve"> abundance is summarized in </w:t>
      </w:r>
      <w:r w:rsidRPr="009867C1">
        <w:fldChar w:fldCharType="begin"/>
      </w:r>
      <w:r w:rsidRPr="009867C1">
        <w:instrText xml:space="preserve"> REF _Ref61874294 \h </w:instrText>
      </w:r>
      <w:r w:rsidR="009867C1">
        <w:instrText xml:space="preserve"> \* MERGEFORMAT </w:instrText>
      </w:r>
      <w:r w:rsidRPr="009867C1">
        <w:fldChar w:fldCharType="separate"/>
      </w:r>
      <w:r w:rsidR="000667DB" w:rsidRPr="009867C1">
        <w:t xml:space="preserve">Figure </w:t>
      </w:r>
      <w:r w:rsidR="000667DB">
        <w:rPr>
          <w:noProof/>
        </w:rPr>
        <w:t>4</w:t>
      </w:r>
      <w:r w:rsidR="000667DB">
        <w:rPr>
          <w:noProof/>
        </w:rPr>
        <w:noBreakHyphen/>
        <w:t>1</w:t>
      </w:r>
      <w:r w:rsidRPr="009867C1">
        <w:fldChar w:fldCharType="end"/>
      </w:r>
      <w:r w:rsidRPr="009867C1">
        <w:t>.</w:t>
      </w:r>
    </w:p>
    <w:p w14:paraId="19ED9EB7" w14:textId="0FB3304B" w:rsidR="00086155" w:rsidRPr="009867C1" w:rsidRDefault="00086155" w:rsidP="00086155">
      <w:pPr>
        <w:rPr>
          <w:rFonts w:eastAsia="Times New Roman"/>
          <w:color w:val="000000"/>
          <w:lang w:eastAsia="en-CA"/>
        </w:rPr>
      </w:pPr>
      <w:r w:rsidRPr="009867C1">
        <w:rPr>
          <w:rFonts w:eastAsia="Times New Roman"/>
          <w:b/>
          <w:color w:val="000000"/>
          <w:lang w:eastAsia="en-CA"/>
        </w:rPr>
        <w:t>SSU reads</w:t>
      </w:r>
      <w:r w:rsidRPr="009867C1">
        <w:rPr>
          <w:rFonts w:eastAsia="Times New Roman"/>
          <w:color w:val="000000"/>
          <w:lang w:eastAsia="en-CA"/>
        </w:rPr>
        <w:t xml:space="preserve">: </w:t>
      </w:r>
      <w:r w:rsidRPr="009867C1">
        <w:t xml:space="preserve">160 thousand double-stranded Illumina reads were obtained after demultiplexing; after dada2 filtering this resulted in 76,332 reads representing 461 </w:t>
      </w:r>
      <w:r w:rsidRPr="009867C1">
        <w:rPr>
          <w:rFonts w:eastAsia="Times New Roman"/>
          <w:color w:val="000000"/>
          <w:lang w:eastAsia="en-CA"/>
        </w:rPr>
        <w:t xml:space="preserve">ASVs. A total of 300 (65%) of taxa were identified at the class level; 143 (31%) at the genus level and 119 (25.8%) to the species level. FunGuild annotations were successfully applied to 302 taxa (65.5% of the total), and 134 (44.4% of the annotated samples) included the word ‘symbiotroph’ in the Funguild “Trophic Mode” designation; and 95 (31.5%) the word ‘saprotroph’. The top fungal classes by </w:t>
      </w:r>
      <w:r w:rsidR="00AC14F9">
        <w:rPr>
          <w:rFonts w:eastAsia="Times New Roman"/>
          <w:color w:val="000000"/>
          <w:lang w:eastAsia="en-CA"/>
        </w:rPr>
        <w:t>mean relative abundance w</w:t>
      </w:r>
      <w:r w:rsidRPr="009867C1">
        <w:rPr>
          <w:rFonts w:eastAsia="Times New Roman"/>
          <w:color w:val="000000"/>
          <w:lang w:eastAsia="en-CA"/>
        </w:rPr>
        <w:t>ere Agaricomycetes (6</w:t>
      </w:r>
      <w:r w:rsidR="00AC14F9">
        <w:rPr>
          <w:rFonts w:eastAsia="Times New Roman"/>
          <w:color w:val="000000"/>
          <w:lang w:eastAsia="en-CA"/>
        </w:rPr>
        <w:t>6</w:t>
      </w:r>
      <w:r w:rsidRPr="009867C1">
        <w:rPr>
          <w:rFonts w:eastAsia="Times New Roman"/>
          <w:color w:val="000000"/>
          <w:lang w:eastAsia="en-CA"/>
        </w:rPr>
        <w:t>.</w:t>
      </w:r>
      <w:r w:rsidR="00AC14F9">
        <w:rPr>
          <w:rFonts w:eastAsia="Times New Roman"/>
          <w:color w:val="000000"/>
          <w:lang w:eastAsia="en-CA"/>
        </w:rPr>
        <w:t>8</w:t>
      </w:r>
      <w:r w:rsidRPr="009867C1">
        <w:rPr>
          <w:rFonts w:eastAsia="Times New Roman"/>
          <w:color w:val="000000"/>
          <w:lang w:eastAsia="en-CA"/>
        </w:rPr>
        <w:t>%), Eurotiomycetes (1</w:t>
      </w:r>
      <w:r w:rsidR="00AC14F9">
        <w:rPr>
          <w:rFonts w:eastAsia="Times New Roman"/>
          <w:color w:val="000000"/>
          <w:lang w:eastAsia="en-CA"/>
        </w:rPr>
        <w:t>7</w:t>
      </w:r>
      <w:r w:rsidRPr="009867C1">
        <w:rPr>
          <w:rFonts w:eastAsia="Times New Roman"/>
          <w:color w:val="000000"/>
          <w:lang w:eastAsia="en-CA"/>
        </w:rPr>
        <w:t>.</w:t>
      </w:r>
      <w:r w:rsidR="00AC14F9">
        <w:rPr>
          <w:rFonts w:eastAsia="Times New Roman"/>
          <w:color w:val="000000"/>
          <w:lang w:eastAsia="en-CA"/>
        </w:rPr>
        <w:t>6</w:t>
      </w:r>
      <w:r w:rsidRPr="009867C1">
        <w:rPr>
          <w:rFonts w:eastAsia="Times New Roman"/>
          <w:color w:val="000000"/>
          <w:lang w:eastAsia="en-CA"/>
        </w:rPr>
        <w:t>%), Sordariomycetes (</w:t>
      </w:r>
      <w:r w:rsidR="00AC14F9">
        <w:rPr>
          <w:rFonts w:eastAsia="Times New Roman"/>
          <w:color w:val="000000"/>
          <w:lang w:eastAsia="en-CA"/>
        </w:rPr>
        <w:t>7</w:t>
      </w:r>
      <w:r w:rsidRPr="009867C1">
        <w:rPr>
          <w:rFonts w:eastAsia="Times New Roman"/>
          <w:color w:val="000000"/>
          <w:lang w:eastAsia="en-CA"/>
        </w:rPr>
        <w:t>.</w:t>
      </w:r>
      <w:r w:rsidR="00AC14F9">
        <w:rPr>
          <w:rFonts w:eastAsia="Times New Roman"/>
          <w:color w:val="000000"/>
          <w:lang w:eastAsia="en-CA"/>
        </w:rPr>
        <w:t>2</w:t>
      </w:r>
      <w:r w:rsidRPr="009867C1">
        <w:rPr>
          <w:rFonts w:eastAsia="Times New Roman"/>
          <w:color w:val="000000"/>
          <w:lang w:eastAsia="en-CA"/>
        </w:rPr>
        <w:t xml:space="preserve">%), </w:t>
      </w:r>
      <w:r w:rsidR="00AC14F9" w:rsidRPr="009867C1">
        <w:rPr>
          <w:rFonts w:eastAsia="Times New Roman"/>
          <w:color w:val="000000"/>
          <w:lang w:eastAsia="en-CA"/>
        </w:rPr>
        <w:t>Glomeromycetes (</w:t>
      </w:r>
      <w:r w:rsidR="00AC14F9">
        <w:rPr>
          <w:rFonts w:eastAsia="Times New Roman"/>
          <w:color w:val="000000"/>
          <w:lang w:eastAsia="en-CA"/>
        </w:rPr>
        <w:t>4.0</w:t>
      </w:r>
      <w:r w:rsidR="00AC14F9" w:rsidRPr="009867C1">
        <w:rPr>
          <w:rFonts w:eastAsia="Times New Roman"/>
          <w:color w:val="000000"/>
          <w:lang w:eastAsia="en-CA"/>
        </w:rPr>
        <w:t>%)</w:t>
      </w:r>
      <w:r w:rsidR="00AC14F9">
        <w:rPr>
          <w:rFonts w:eastAsia="Times New Roman"/>
          <w:color w:val="000000"/>
          <w:lang w:eastAsia="en-CA"/>
        </w:rPr>
        <w:t xml:space="preserve">, and </w:t>
      </w:r>
      <w:r w:rsidRPr="009867C1">
        <w:rPr>
          <w:rFonts w:eastAsia="Times New Roman"/>
          <w:color w:val="000000"/>
          <w:lang w:eastAsia="en-CA"/>
        </w:rPr>
        <w:t>Leotiomycetes (</w:t>
      </w:r>
      <w:r w:rsidR="00AC14F9">
        <w:rPr>
          <w:rFonts w:eastAsia="Times New Roman"/>
          <w:color w:val="000000"/>
          <w:lang w:eastAsia="en-CA"/>
        </w:rPr>
        <w:t>2</w:t>
      </w:r>
      <w:r w:rsidRPr="009867C1">
        <w:rPr>
          <w:rFonts w:eastAsia="Times New Roman"/>
          <w:color w:val="000000"/>
          <w:lang w:eastAsia="en-CA"/>
        </w:rPr>
        <w:t>%)</w:t>
      </w:r>
      <w:r w:rsidR="00AC14F9">
        <w:rPr>
          <w:rFonts w:eastAsia="Times New Roman"/>
          <w:color w:val="000000"/>
          <w:lang w:eastAsia="en-CA"/>
        </w:rPr>
        <w:t>.</w:t>
      </w:r>
      <w:r w:rsidRPr="009867C1">
        <w:rPr>
          <w:rFonts w:eastAsia="Times New Roman"/>
          <w:color w:val="000000"/>
          <w:lang w:eastAsia="en-CA"/>
        </w:rPr>
        <w:t xml:space="preserve"> The ten most abundant genera were </w:t>
      </w:r>
      <w:r w:rsidRPr="001043A7">
        <w:rPr>
          <w:rFonts w:eastAsia="Times New Roman"/>
          <w:i/>
          <w:iCs/>
          <w:color w:val="000000"/>
          <w:lang w:eastAsia="en-CA"/>
        </w:rPr>
        <w:t>Russula</w:t>
      </w:r>
      <w:r w:rsidRPr="009867C1">
        <w:rPr>
          <w:rFonts w:eastAsia="Times New Roman"/>
          <w:color w:val="000000"/>
          <w:lang w:eastAsia="en-CA"/>
        </w:rPr>
        <w:t xml:space="preserve"> (</w:t>
      </w:r>
      <w:r w:rsidR="00AC14F9">
        <w:rPr>
          <w:rFonts w:eastAsia="Times New Roman"/>
          <w:color w:val="000000"/>
          <w:lang w:eastAsia="en-CA"/>
        </w:rPr>
        <w:t>41.5</w:t>
      </w:r>
      <w:r w:rsidRPr="009867C1">
        <w:rPr>
          <w:rFonts w:eastAsia="Times New Roman"/>
          <w:color w:val="000000"/>
          <w:lang w:eastAsia="en-CA"/>
        </w:rPr>
        <w:t xml:space="preserve">%), </w:t>
      </w:r>
      <w:r w:rsidRPr="001043A7">
        <w:rPr>
          <w:rFonts w:eastAsia="Times New Roman"/>
          <w:i/>
          <w:iCs/>
          <w:color w:val="000000"/>
          <w:lang w:eastAsia="en-CA"/>
        </w:rPr>
        <w:t xml:space="preserve">Piloderma </w:t>
      </w:r>
      <w:r w:rsidRPr="009867C1">
        <w:rPr>
          <w:rFonts w:eastAsia="Times New Roman"/>
          <w:color w:val="000000"/>
          <w:lang w:eastAsia="en-CA"/>
        </w:rPr>
        <w:t>(</w:t>
      </w:r>
      <w:r w:rsidR="00AC14F9">
        <w:rPr>
          <w:rFonts w:eastAsia="Times New Roman"/>
          <w:color w:val="000000"/>
          <w:lang w:eastAsia="en-CA"/>
        </w:rPr>
        <w:t>27.3</w:t>
      </w:r>
      <w:r w:rsidRPr="009867C1">
        <w:rPr>
          <w:rFonts w:eastAsia="Times New Roman"/>
          <w:color w:val="000000"/>
          <w:lang w:eastAsia="en-CA"/>
        </w:rPr>
        <w:t xml:space="preserve">%), </w:t>
      </w:r>
      <w:r w:rsidR="00AC14F9" w:rsidRPr="001043A7">
        <w:rPr>
          <w:rFonts w:eastAsia="Times New Roman"/>
          <w:i/>
          <w:iCs/>
          <w:color w:val="000000"/>
          <w:lang w:eastAsia="en-CA"/>
        </w:rPr>
        <w:t>Camarophyllopsis</w:t>
      </w:r>
      <w:r w:rsidR="00AC14F9" w:rsidRPr="009867C1">
        <w:rPr>
          <w:rFonts w:eastAsia="Times New Roman"/>
          <w:color w:val="000000"/>
          <w:lang w:eastAsia="en-CA"/>
        </w:rPr>
        <w:t xml:space="preserve"> (</w:t>
      </w:r>
      <w:r w:rsidR="00AC14F9">
        <w:rPr>
          <w:rFonts w:eastAsia="Times New Roman"/>
          <w:color w:val="000000"/>
          <w:lang w:eastAsia="en-CA"/>
        </w:rPr>
        <w:t>4.7</w:t>
      </w:r>
      <w:r w:rsidR="00AC14F9" w:rsidRPr="009867C1">
        <w:rPr>
          <w:rFonts w:eastAsia="Times New Roman"/>
          <w:color w:val="000000"/>
          <w:lang w:eastAsia="en-CA"/>
        </w:rPr>
        <w:t xml:space="preserve">%), </w:t>
      </w:r>
      <w:r w:rsidRPr="001043A7">
        <w:rPr>
          <w:rFonts w:eastAsia="Times New Roman"/>
          <w:i/>
          <w:iCs/>
          <w:color w:val="000000"/>
          <w:lang w:eastAsia="en-CA"/>
        </w:rPr>
        <w:t>Lactarius</w:t>
      </w:r>
      <w:r w:rsidRPr="009867C1">
        <w:rPr>
          <w:rFonts w:eastAsia="Times New Roman"/>
          <w:color w:val="000000"/>
          <w:lang w:eastAsia="en-CA"/>
        </w:rPr>
        <w:t xml:space="preserve"> (</w:t>
      </w:r>
      <w:r w:rsidR="00AC14F9">
        <w:rPr>
          <w:rFonts w:eastAsia="Times New Roman"/>
          <w:color w:val="000000"/>
          <w:lang w:eastAsia="en-CA"/>
        </w:rPr>
        <w:t>4</w:t>
      </w:r>
      <w:r w:rsidRPr="009867C1">
        <w:rPr>
          <w:rFonts w:eastAsia="Times New Roman"/>
          <w:color w:val="000000"/>
          <w:lang w:eastAsia="en-CA"/>
        </w:rPr>
        <w:t>.</w:t>
      </w:r>
      <w:r w:rsidR="00AC14F9">
        <w:rPr>
          <w:rFonts w:eastAsia="Times New Roman"/>
          <w:color w:val="000000"/>
          <w:lang w:eastAsia="en-CA"/>
        </w:rPr>
        <w:t>5</w:t>
      </w:r>
      <w:r w:rsidRPr="009867C1">
        <w:rPr>
          <w:rFonts w:eastAsia="Times New Roman"/>
          <w:color w:val="000000"/>
          <w:lang w:eastAsia="en-CA"/>
        </w:rPr>
        <w:t xml:space="preserve">%), </w:t>
      </w:r>
      <w:r w:rsidRPr="001043A7">
        <w:rPr>
          <w:rFonts w:eastAsia="Times New Roman"/>
          <w:i/>
          <w:iCs/>
          <w:color w:val="000000"/>
          <w:lang w:eastAsia="en-CA"/>
        </w:rPr>
        <w:t>Trichoderma</w:t>
      </w:r>
      <w:r w:rsidRPr="009867C1">
        <w:rPr>
          <w:rFonts w:eastAsia="Times New Roman"/>
          <w:color w:val="000000"/>
          <w:lang w:eastAsia="en-CA"/>
        </w:rPr>
        <w:t xml:space="preserve"> (3.9%), </w:t>
      </w:r>
      <w:r w:rsidRPr="001043A7">
        <w:rPr>
          <w:rFonts w:eastAsia="Times New Roman"/>
          <w:i/>
          <w:iCs/>
          <w:color w:val="000000"/>
          <w:lang w:eastAsia="en-CA"/>
        </w:rPr>
        <w:t>Gliophorus</w:t>
      </w:r>
      <w:r w:rsidRPr="009867C1">
        <w:rPr>
          <w:rFonts w:eastAsia="Times New Roman"/>
          <w:color w:val="000000"/>
          <w:lang w:eastAsia="en-CA"/>
        </w:rPr>
        <w:t xml:space="preserve"> (</w:t>
      </w:r>
      <w:r w:rsidR="00AC14F9">
        <w:rPr>
          <w:rFonts w:eastAsia="Times New Roman"/>
          <w:color w:val="000000"/>
          <w:lang w:eastAsia="en-CA"/>
        </w:rPr>
        <w:t>2.5</w:t>
      </w:r>
      <w:r w:rsidRPr="009867C1">
        <w:rPr>
          <w:rFonts w:eastAsia="Times New Roman"/>
          <w:color w:val="000000"/>
          <w:lang w:eastAsia="en-CA"/>
        </w:rPr>
        <w:t xml:space="preserve">%), </w:t>
      </w:r>
      <w:r w:rsidR="00BC35FE" w:rsidRPr="00BC35FE">
        <w:rPr>
          <w:rFonts w:eastAsia="Times New Roman"/>
          <w:i/>
          <w:iCs/>
          <w:color w:val="000000"/>
          <w:lang w:eastAsia="en-CA"/>
        </w:rPr>
        <w:t>Glomus</w:t>
      </w:r>
      <w:r w:rsidRPr="009867C1">
        <w:rPr>
          <w:rFonts w:eastAsia="Times New Roman"/>
          <w:color w:val="000000"/>
          <w:lang w:eastAsia="en-CA"/>
        </w:rPr>
        <w:t xml:space="preserve"> (</w:t>
      </w:r>
      <w:r w:rsidR="00AC14F9">
        <w:rPr>
          <w:rFonts w:eastAsia="Times New Roman"/>
          <w:color w:val="000000"/>
          <w:lang w:eastAsia="en-CA"/>
        </w:rPr>
        <w:t>1</w:t>
      </w:r>
      <w:r w:rsidRPr="009867C1">
        <w:rPr>
          <w:rFonts w:eastAsia="Times New Roman"/>
          <w:color w:val="000000"/>
          <w:lang w:eastAsia="en-CA"/>
        </w:rPr>
        <w:t>.4%), an unidentified Agaricales (</w:t>
      </w:r>
      <w:r w:rsidR="00AC14F9">
        <w:rPr>
          <w:rFonts w:eastAsia="Times New Roman"/>
          <w:color w:val="000000"/>
          <w:lang w:eastAsia="en-CA"/>
        </w:rPr>
        <w:t>2</w:t>
      </w:r>
      <w:r w:rsidRPr="009867C1">
        <w:rPr>
          <w:rFonts w:eastAsia="Times New Roman"/>
          <w:color w:val="000000"/>
          <w:lang w:eastAsia="en-CA"/>
        </w:rPr>
        <w:t>.</w:t>
      </w:r>
      <w:r w:rsidR="00AC14F9">
        <w:rPr>
          <w:rFonts w:eastAsia="Times New Roman"/>
          <w:color w:val="000000"/>
          <w:lang w:eastAsia="en-CA"/>
        </w:rPr>
        <w:t>4</w:t>
      </w:r>
      <w:r w:rsidRPr="009867C1">
        <w:rPr>
          <w:rFonts w:eastAsia="Times New Roman"/>
          <w:color w:val="000000"/>
          <w:lang w:eastAsia="en-CA"/>
        </w:rPr>
        <w:t xml:space="preserve">%), and </w:t>
      </w:r>
      <w:r w:rsidR="00BC35FE">
        <w:rPr>
          <w:rFonts w:eastAsia="Times New Roman"/>
          <w:color w:val="000000"/>
          <w:lang w:eastAsia="en-CA"/>
        </w:rPr>
        <w:t xml:space="preserve">an uncultured </w:t>
      </w:r>
      <w:r w:rsidRPr="001043A7">
        <w:rPr>
          <w:rFonts w:eastAsia="Times New Roman"/>
          <w:i/>
          <w:iCs/>
          <w:color w:val="000000"/>
          <w:lang w:eastAsia="en-CA"/>
        </w:rPr>
        <w:t xml:space="preserve">Glomus </w:t>
      </w:r>
      <w:r w:rsidRPr="009867C1">
        <w:rPr>
          <w:rFonts w:eastAsia="Times New Roman"/>
          <w:color w:val="000000"/>
          <w:lang w:eastAsia="en-CA"/>
        </w:rPr>
        <w:t>(</w:t>
      </w:r>
      <w:r w:rsidR="00BC35FE">
        <w:rPr>
          <w:rFonts w:eastAsia="Times New Roman"/>
          <w:color w:val="000000"/>
          <w:lang w:eastAsia="en-CA"/>
        </w:rPr>
        <w:t>1</w:t>
      </w:r>
      <w:r w:rsidRPr="009867C1">
        <w:rPr>
          <w:rFonts w:eastAsia="Times New Roman"/>
          <w:color w:val="000000"/>
          <w:lang w:eastAsia="en-CA"/>
        </w:rPr>
        <w:t>.</w:t>
      </w:r>
      <w:r w:rsidR="00BC35FE">
        <w:rPr>
          <w:rFonts w:eastAsia="Times New Roman"/>
          <w:color w:val="000000"/>
          <w:lang w:eastAsia="en-CA"/>
        </w:rPr>
        <w:t>5</w:t>
      </w:r>
      <w:r w:rsidRPr="009867C1">
        <w:rPr>
          <w:rFonts w:eastAsia="Times New Roman"/>
          <w:color w:val="000000"/>
          <w:lang w:eastAsia="en-CA"/>
        </w:rPr>
        <w:t>%).</w:t>
      </w:r>
      <w:r w:rsidRPr="009867C1">
        <w:t xml:space="preserve"> The phylogenetic distribution of </w:t>
      </w:r>
      <w:r w:rsidR="001F71AD">
        <w:t>relative</w:t>
      </w:r>
      <w:r w:rsidRPr="009867C1">
        <w:t xml:space="preserve"> abundance is summarized in </w:t>
      </w:r>
      <w:r w:rsidRPr="009867C1">
        <w:fldChar w:fldCharType="begin"/>
      </w:r>
      <w:r w:rsidRPr="009867C1">
        <w:instrText xml:space="preserve"> REF _Ref61874299 \h </w:instrText>
      </w:r>
      <w:r w:rsidR="009867C1">
        <w:instrText xml:space="preserve"> \* MERGEFORMAT </w:instrText>
      </w:r>
      <w:r w:rsidRPr="009867C1">
        <w:fldChar w:fldCharType="separate"/>
      </w:r>
      <w:r w:rsidR="000667DB" w:rsidRPr="009867C1">
        <w:t xml:space="preserve">Figure </w:t>
      </w:r>
      <w:r w:rsidR="000667DB">
        <w:rPr>
          <w:noProof/>
        </w:rPr>
        <w:noBreakHyphen/>
        <w:t>2</w:t>
      </w:r>
      <w:r w:rsidRPr="009867C1">
        <w:fldChar w:fldCharType="end"/>
      </w:r>
      <w:r w:rsidRPr="009867C1">
        <w:t>.</w:t>
      </w:r>
    </w:p>
    <w:p w14:paraId="4BEE9098" w14:textId="77777777" w:rsidR="00086155" w:rsidRPr="009867C1" w:rsidRDefault="00086155" w:rsidP="00086155">
      <w:pPr>
        <w:pStyle w:val="Heading4"/>
        <w:rPr>
          <w:lang w:eastAsia="en-CA"/>
        </w:rPr>
      </w:pPr>
      <w:bookmarkStart w:id="151" w:name="_Toc99385454"/>
      <w:r w:rsidRPr="009867C1">
        <w:rPr>
          <w:lang w:eastAsia="en-CA"/>
        </w:rPr>
        <w:t>Community metrics</w:t>
      </w:r>
      <w:bookmarkEnd w:id="151"/>
    </w:p>
    <w:p w14:paraId="1A2E0750" w14:textId="61FC19FF" w:rsidR="00086155" w:rsidRPr="009867C1" w:rsidRDefault="00B415C7" w:rsidP="00086155">
      <w:pPr>
        <w:pStyle w:val="Heading5"/>
        <w:rPr>
          <w:lang w:eastAsia="en-CA"/>
        </w:rPr>
      </w:pPr>
      <w:bookmarkStart w:id="152" w:name="_Toc99385455"/>
      <w:r>
        <w:rPr>
          <w:lang w:eastAsia="en-CA"/>
        </w:rPr>
        <w:t xml:space="preserve">Relative </w:t>
      </w:r>
      <w:r w:rsidR="00086155" w:rsidRPr="009867C1">
        <w:rPr>
          <w:lang w:eastAsia="en-CA"/>
        </w:rPr>
        <w:t>Abundance</w:t>
      </w:r>
      <w:bookmarkEnd w:id="152"/>
      <w:r w:rsidR="00086155" w:rsidRPr="009867C1">
        <w:rPr>
          <w:lang w:eastAsia="en-CA"/>
        </w:rPr>
        <w:t xml:space="preserve"> </w:t>
      </w:r>
    </w:p>
    <w:p w14:paraId="72DB57B5" w14:textId="6BA69121" w:rsidR="00086155" w:rsidRPr="009867C1" w:rsidRDefault="00086155" w:rsidP="00086155">
      <w:pPr>
        <w:ind w:firstLine="720"/>
      </w:pPr>
      <w:r w:rsidRPr="009867C1">
        <w:t xml:space="preserve"> </w:t>
      </w:r>
      <w:r w:rsidR="00866A14">
        <w:t>C</w:t>
      </w:r>
      <w:r w:rsidRPr="009867C1">
        <w:t>ommunities were dominated by symbiotrophs</w:t>
      </w:r>
      <w:r w:rsidR="00866A14">
        <w:t xml:space="preserve"> </w:t>
      </w:r>
      <w:r w:rsidR="00866A14" w:rsidRPr="009867C1">
        <w:t>(</w:t>
      </w:r>
      <w:r w:rsidR="00866A14" w:rsidRPr="009867C1">
        <w:fldChar w:fldCharType="begin"/>
      </w:r>
      <w:r w:rsidR="00866A14" w:rsidRPr="009867C1">
        <w:instrText xml:space="preserve"> REF _Ref61874940 \h </w:instrText>
      </w:r>
      <w:r w:rsidR="00866A14">
        <w:instrText xml:space="preserve"> \* MERGEFORMAT </w:instrText>
      </w:r>
      <w:r w:rsidR="00866A14" w:rsidRPr="009867C1">
        <w:fldChar w:fldCharType="separate"/>
      </w:r>
      <w:r w:rsidR="000667DB" w:rsidRPr="009867C1">
        <w:t xml:space="preserve">Figure </w:t>
      </w:r>
      <w:r w:rsidR="000667DB">
        <w:rPr>
          <w:noProof/>
        </w:rPr>
        <w:t>4</w:t>
      </w:r>
      <w:r w:rsidR="000667DB">
        <w:rPr>
          <w:noProof/>
        </w:rPr>
        <w:noBreakHyphen/>
        <w:t>3</w:t>
      </w:r>
      <w:r w:rsidR="00866A14" w:rsidRPr="009867C1">
        <w:fldChar w:fldCharType="end"/>
      </w:r>
      <w:r w:rsidR="00866A14" w:rsidRPr="009867C1">
        <w:t>)</w:t>
      </w:r>
      <w:r w:rsidRPr="009867C1">
        <w:t>. Symbiotrophs generally increased</w:t>
      </w:r>
      <w:r w:rsidR="00B415C7">
        <w:t xml:space="preserve"> along salmon gradients</w:t>
      </w:r>
      <w:r w:rsidRPr="009867C1">
        <w:t>, with the exception of SSU forest floor symbiotrophs which decreased,</w:t>
      </w:r>
      <w:r w:rsidR="00B415C7">
        <w:t xml:space="preserve"> although often these relationships were U-shaped</w:t>
      </w:r>
      <w:r w:rsidR="00866A14">
        <w:t xml:space="preserve"> </w:t>
      </w:r>
      <w:r w:rsidR="00866A14" w:rsidRPr="009867C1">
        <w:t>(</w:t>
      </w:r>
      <w:r w:rsidR="00866A14" w:rsidRPr="009867C1">
        <w:fldChar w:fldCharType="begin"/>
      </w:r>
      <w:r w:rsidR="00866A14" w:rsidRPr="009867C1">
        <w:instrText xml:space="preserve"> REF _Ref61874940 \h </w:instrText>
      </w:r>
      <w:r w:rsidR="00866A14">
        <w:instrText xml:space="preserve"> \* MERGEFORMAT </w:instrText>
      </w:r>
      <w:r w:rsidR="00866A14" w:rsidRPr="009867C1">
        <w:fldChar w:fldCharType="separate"/>
      </w:r>
      <w:r w:rsidR="000667DB" w:rsidRPr="009867C1">
        <w:t xml:space="preserve">Figure </w:t>
      </w:r>
      <w:r w:rsidR="000667DB">
        <w:rPr>
          <w:noProof/>
        </w:rPr>
        <w:t>4</w:t>
      </w:r>
      <w:r w:rsidR="000667DB">
        <w:rPr>
          <w:noProof/>
        </w:rPr>
        <w:noBreakHyphen/>
        <w:t>3</w:t>
      </w:r>
      <w:r w:rsidR="00866A14" w:rsidRPr="009867C1">
        <w:fldChar w:fldCharType="end"/>
      </w:r>
      <w:r w:rsidR="00866A14" w:rsidRPr="009867C1">
        <w:t>)</w:t>
      </w:r>
      <w:r w:rsidR="00B415C7">
        <w:t>.</w:t>
      </w:r>
      <w:r w:rsidRPr="009867C1">
        <w:t xml:space="preserve"> </w:t>
      </w:r>
      <w:r w:rsidR="00B415C7">
        <w:t>S</w:t>
      </w:r>
      <w:r w:rsidRPr="009867C1">
        <w:t>aprotrophs</w:t>
      </w:r>
      <w:r w:rsidR="00B415C7">
        <w:t>, meanwhile,</w:t>
      </w:r>
      <w:r w:rsidRPr="009867C1">
        <w:t xml:space="preserve"> stayed flat. Loess curves of the different fungal communities showed a maxima in abundance between 30 and 40 kg of salmon per meter per year.</w:t>
      </w:r>
    </w:p>
    <w:p w14:paraId="63C0BE2D" w14:textId="340D29A2" w:rsidR="00086155" w:rsidRPr="009867C1" w:rsidRDefault="00086155" w:rsidP="00086155">
      <w:pPr>
        <w:ind w:firstLine="720"/>
      </w:pPr>
      <w:r w:rsidRPr="009867C1">
        <w:t xml:space="preserve">  GLM results showed no effect of salmon on ITS </w:t>
      </w:r>
      <w:r w:rsidR="00866A14">
        <w:t>relative abundances between the trophic modes</w:t>
      </w:r>
      <w:r w:rsidRPr="009867C1">
        <w:t xml:space="preserve">, but </w:t>
      </w:r>
      <w:r w:rsidR="00866A14">
        <w:t xml:space="preserve">saprotrophs were higher in forest floors than organic soil </w:t>
      </w:r>
      <w:r w:rsidRPr="009867C1">
        <w:t xml:space="preserve">and the species of the nearest focal tree and the local </w:t>
      </w:r>
      <w:r w:rsidR="00866A14">
        <w:t>plant</w:t>
      </w:r>
      <w:r w:rsidRPr="009867C1">
        <w:t xml:space="preserve"> community were important for both symbiotrophs and saprotrophs (</w:t>
      </w:r>
      <w:r w:rsidRPr="009867C1">
        <w:fldChar w:fldCharType="begin"/>
      </w:r>
      <w:r w:rsidRPr="009867C1">
        <w:instrText xml:space="preserve"> REF _Ref64652655 \h </w:instrText>
      </w:r>
      <w:r w:rsidR="009867C1">
        <w:instrText xml:space="preserve"> \* MERGEFORMAT </w:instrText>
      </w:r>
      <w:r w:rsidRPr="009867C1">
        <w:fldChar w:fldCharType="separate"/>
      </w:r>
      <w:r w:rsidR="000667DB" w:rsidRPr="009867C1">
        <w:t xml:space="preserve">Figure </w:t>
      </w:r>
      <w:r w:rsidR="000667DB">
        <w:rPr>
          <w:noProof/>
        </w:rPr>
        <w:t>4</w:t>
      </w:r>
      <w:r w:rsidR="000667DB">
        <w:rPr>
          <w:noProof/>
        </w:rPr>
        <w:noBreakHyphen/>
        <w:t>7</w:t>
      </w:r>
      <w:r w:rsidRPr="009867C1">
        <w:fldChar w:fldCharType="end"/>
      </w:r>
      <w:r w:rsidRPr="009867C1">
        <w:t xml:space="preserve">). SSU reads showed </w:t>
      </w:r>
      <w:r w:rsidR="00866A14">
        <w:t xml:space="preserve">a </w:t>
      </w:r>
      <w:r w:rsidRPr="009867C1">
        <w:t xml:space="preserve">significant </w:t>
      </w:r>
      <w:r w:rsidR="00866A14">
        <w:t xml:space="preserve">increase in response to salmon inputs in symbiotrophs but no response in saprotrophs </w:t>
      </w:r>
      <w:r w:rsidR="00866A14" w:rsidRPr="009867C1">
        <w:t>(</w:t>
      </w:r>
      <w:r w:rsidR="00866A14" w:rsidRPr="009867C1">
        <w:fldChar w:fldCharType="begin"/>
      </w:r>
      <w:r w:rsidR="00866A14" w:rsidRPr="009867C1">
        <w:instrText xml:space="preserve"> REF _Ref64652656 \h </w:instrText>
      </w:r>
      <w:r w:rsidR="00866A14">
        <w:instrText xml:space="preserve"> \* MERGEFORMAT </w:instrText>
      </w:r>
      <w:r w:rsidR="00866A14" w:rsidRPr="009867C1">
        <w:fldChar w:fldCharType="separate"/>
      </w:r>
      <w:r w:rsidR="000667DB" w:rsidRPr="009867C1">
        <w:t xml:space="preserve">Figure </w:t>
      </w:r>
      <w:r w:rsidR="000667DB">
        <w:rPr>
          <w:noProof/>
        </w:rPr>
        <w:t>4</w:t>
      </w:r>
      <w:r w:rsidR="000667DB">
        <w:rPr>
          <w:noProof/>
        </w:rPr>
        <w:noBreakHyphen/>
        <w:t>8</w:t>
      </w:r>
      <w:r w:rsidR="00866A14" w:rsidRPr="009867C1">
        <w:fldChar w:fldCharType="end"/>
      </w:r>
      <w:r w:rsidR="00866A14" w:rsidRPr="009867C1">
        <w:t>)</w:t>
      </w:r>
      <w:r w:rsidR="00866A14">
        <w:t>.</w:t>
      </w:r>
      <w:r w:rsidR="00D0207E">
        <w:t xml:space="preserve"> Moss PCA1 was negatively correlated with symbiotroph relative abundance, and no effect was found from the other factors.</w:t>
      </w:r>
      <w:r w:rsidRPr="009867C1">
        <w:t xml:space="preserve">   </w:t>
      </w:r>
    </w:p>
    <w:p w14:paraId="744CB543" w14:textId="33AD4BA8" w:rsidR="00086155" w:rsidRPr="009867C1" w:rsidRDefault="00086155" w:rsidP="00086155">
      <w:pPr>
        <w:ind w:firstLine="720"/>
      </w:pPr>
      <w:r w:rsidRPr="009867C1">
        <w:t xml:space="preserve">Amongst ‘all taxa’ ITS reads, random forest models apportioned maximum importance to </w:t>
      </w:r>
      <w:r w:rsidR="00D0207E">
        <w:t>ammonium</w:t>
      </w:r>
      <w:r w:rsidRPr="009867C1">
        <w:t>,</w:t>
      </w:r>
      <w:r w:rsidR="00D0207E">
        <w:t xml:space="preserve"> red-cedar as the nearest tree, and</w:t>
      </w:r>
      <w:r w:rsidRPr="009867C1">
        <w:t xml:space="preserve"> the </w:t>
      </w:r>
      <w:r w:rsidR="00D0207E">
        <w:t>herb</w:t>
      </w:r>
      <w:r w:rsidRPr="009867C1">
        <w:t xml:space="preserve"> community</w:t>
      </w:r>
      <w:r w:rsidR="00D0207E">
        <w:t xml:space="preserve"> for symbiotroph relative abundance </w:t>
      </w:r>
      <w:r w:rsidRPr="009867C1">
        <w:t>(</w:t>
      </w:r>
      <w:r w:rsidR="00D0207E">
        <w:t xml:space="preserve">first column facet </w:t>
      </w:r>
      <w:r w:rsidRPr="009867C1">
        <w:t>in Figure 1-9)</w:t>
      </w:r>
      <w:r w:rsidR="00D0207E">
        <w:t>, and magnesium was important for saprotrophs</w:t>
      </w:r>
      <w:r w:rsidRPr="009867C1">
        <w:t xml:space="preserve">. For ‘all taxa’ SSU sequences, iron, </w:t>
      </w:r>
      <w:r w:rsidR="00983B95">
        <w:t xml:space="preserve">aluminum, magnesium, phosphorus, and the plant community was important for symbiotroph relative abundance; </w:t>
      </w:r>
      <w:r w:rsidRPr="009867C1">
        <w:t xml:space="preserve">for symbiotroph </w:t>
      </w:r>
      <w:r w:rsidR="00983B95">
        <w:t>relative abundance nitrogen, ammonium, sulfur, watershed size, and the moss community were important</w:t>
      </w:r>
      <w:r w:rsidR="005C6712">
        <w:t xml:space="preserve"> </w:t>
      </w:r>
      <w:r w:rsidRPr="009867C1">
        <w:t>(</w:t>
      </w:r>
      <w:r w:rsidRPr="009867C1">
        <w:fldChar w:fldCharType="begin"/>
      </w:r>
      <w:r w:rsidRPr="009867C1">
        <w:instrText xml:space="preserve"> REF _Ref63271440 \h </w:instrText>
      </w:r>
      <w:r w:rsidR="009867C1">
        <w:instrText xml:space="preserve"> \* MERGEFORMAT </w:instrText>
      </w:r>
      <w:r w:rsidRPr="009867C1">
        <w:fldChar w:fldCharType="separate"/>
      </w:r>
      <w:r w:rsidR="000667DB" w:rsidRPr="009867C1">
        <w:t xml:space="preserve">Figure </w:t>
      </w:r>
      <w:r w:rsidR="000667DB">
        <w:rPr>
          <w:noProof/>
        </w:rPr>
        <w:t>4</w:t>
      </w:r>
      <w:r w:rsidR="000667DB">
        <w:rPr>
          <w:noProof/>
        </w:rPr>
        <w:noBreakHyphen/>
        <w:t>10</w:t>
      </w:r>
      <w:r w:rsidRPr="009867C1">
        <w:fldChar w:fldCharType="end"/>
      </w:r>
      <w:r w:rsidRPr="009867C1">
        <w:t xml:space="preserve">). </w:t>
      </w:r>
    </w:p>
    <w:p w14:paraId="3DD2C147" w14:textId="77777777" w:rsidR="00086155" w:rsidRPr="009867C1" w:rsidRDefault="00086155" w:rsidP="00086155">
      <w:pPr>
        <w:pStyle w:val="Heading5"/>
      </w:pPr>
      <w:bookmarkStart w:id="153" w:name="_Toc99385456"/>
      <w:r w:rsidRPr="009867C1">
        <w:t>Species richness</w:t>
      </w:r>
      <w:bookmarkEnd w:id="153"/>
    </w:p>
    <w:p w14:paraId="594D9709" w14:textId="0284BC78" w:rsidR="00086155" w:rsidRPr="009867C1" w:rsidRDefault="00086155" w:rsidP="00086155">
      <w:pPr>
        <w:ind w:firstLine="720"/>
      </w:pPr>
      <w:r w:rsidRPr="009867C1">
        <w:t>ITS communities were more species-rich than SSU communities, and richness was</w:t>
      </w:r>
      <w:r w:rsidR="005C6712">
        <w:t xml:space="preserve"> </w:t>
      </w:r>
      <w:r w:rsidRPr="009867C1">
        <w:t>approximately equal between symbiotrophs and saprotrophs (</w:t>
      </w:r>
      <w:r w:rsidRPr="009867C1">
        <w:fldChar w:fldCharType="begin"/>
      </w:r>
      <w:r w:rsidRPr="009867C1">
        <w:instrText xml:space="preserve"> REF _Ref64656729 \h </w:instrText>
      </w:r>
      <w:r w:rsidR="009867C1">
        <w:instrText xml:space="preserve"> \* MERGEFORMAT </w:instrText>
      </w:r>
      <w:r w:rsidRPr="009867C1">
        <w:fldChar w:fldCharType="separate"/>
      </w:r>
      <w:r w:rsidR="000667DB" w:rsidRPr="009867C1">
        <w:t xml:space="preserve">Figure </w:t>
      </w:r>
      <w:r w:rsidR="000667DB">
        <w:rPr>
          <w:noProof/>
        </w:rPr>
        <w:t>4</w:t>
      </w:r>
      <w:r w:rsidR="000667DB">
        <w:rPr>
          <w:noProof/>
        </w:rPr>
        <w:noBreakHyphen/>
        <w:t>4</w:t>
      </w:r>
      <w:r w:rsidRPr="009867C1">
        <w:fldChar w:fldCharType="end"/>
      </w:r>
      <w:r w:rsidRPr="009867C1">
        <w:t>). Richness generally stayed flat</w:t>
      </w:r>
      <w:r w:rsidR="005C6712">
        <w:t xml:space="preserve"> as a function of salmon density</w:t>
      </w:r>
      <w:r w:rsidRPr="009867C1">
        <w:t>, with the exception of SSU forest floors, where it increased with salmon density to a local maximum at 30 kg salmon m</w:t>
      </w:r>
      <w:r w:rsidRPr="009867C1">
        <w:rPr>
          <w:vertAlign w:val="superscript"/>
        </w:rPr>
        <w:t>-1</w:t>
      </w:r>
      <w:r w:rsidRPr="009867C1">
        <w:t xml:space="preserve"> yr</w:t>
      </w:r>
      <w:r w:rsidRPr="009867C1">
        <w:rPr>
          <w:vertAlign w:val="superscript"/>
        </w:rPr>
        <w:t>-1</w:t>
      </w:r>
      <w:r w:rsidRPr="009867C1">
        <w:t xml:space="preserve">. </w:t>
      </w:r>
    </w:p>
    <w:p w14:paraId="10A810BC" w14:textId="22A6B713" w:rsidR="00086155" w:rsidRPr="009867C1" w:rsidRDefault="00086155" w:rsidP="00086155">
      <w:pPr>
        <w:ind w:firstLine="720"/>
      </w:pPr>
      <w:r w:rsidRPr="009867C1">
        <w:t>GLM results however showed an increase in species richness with increasing salmon density among ITS reads (</w:t>
      </w:r>
      <w:r w:rsidRPr="009867C1">
        <w:fldChar w:fldCharType="begin"/>
      </w:r>
      <w:r w:rsidRPr="009867C1">
        <w:instrText xml:space="preserve"> REF _Ref64652655 \h </w:instrText>
      </w:r>
      <w:r w:rsidR="009867C1">
        <w:instrText xml:space="preserve"> \* MERGEFORMAT </w:instrText>
      </w:r>
      <w:r w:rsidRPr="009867C1">
        <w:fldChar w:fldCharType="separate"/>
      </w:r>
      <w:r w:rsidR="000667DB" w:rsidRPr="009867C1">
        <w:t xml:space="preserve">Figure </w:t>
      </w:r>
      <w:r w:rsidR="000667DB">
        <w:rPr>
          <w:noProof/>
        </w:rPr>
        <w:t>4</w:t>
      </w:r>
      <w:r w:rsidR="000667DB">
        <w:rPr>
          <w:noProof/>
        </w:rPr>
        <w:noBreakHyphen/>
        <w:t>7</w:t>
      </w:r>
      <w:r w:rsidRPr="009867C1">
        <w:fldChar w:fldCharType="end"/>
      </w:r>
      <w:r w:rsidRPr="009867C1">
        <w:t xml:space="preserve">). In addition, richness was </w:t>
      </w:r>
      <w:r w:rsidR="005C6712">
        <w:t xml:space="preserve">higher </w:t>
      </w:r>
      <w:r w:rsidRPr="009867C1">
        <w:t>in forest floors</w:t>
      </w:r>
      <w:r w:rsidR="005C6712">
        <w:t xml:space="preserve"> relative to organic soil, </w:t>
      </w:r>
      <w:r w:rsidRPr="009867C1">
        <w:t xml:space="preserve">and was also affected by the tree </w:t>
      </w:r>
      <w:r w:rsidR="005C6712">
        <w:t xml:space="preserve">and herb </w:t>
      </w:r>
      <w:r w:rsidRPr="009867C1">
        <w:t xml:space="preserve">community. SSU sequences showed no change in richness with salmon density, and </w:t>
      </w:r>
      <w:r w:rsidR="005C6712">
        <w:t xml:space="preserve">higher </w:t>
      </w:r>
      <w:r w:rsidRPr="009867C1">
        <w:t>richness in</w:t>
      </w:r>
      <w:r w:rsidR="005C6712">
        <w:t xml:space="preserve"> saprotrophs in forest floors than </w:t>
      </w:r>
      <w:r w:rsidRPr="009867C1">
        <w:t xml:space="preserve">organic soils. </w:t>
      </w:r>
    </w:p>
    <w:p w14:paraId="1A96B552" w14:textId="4FDD8492" w:rsidR="00086155" w:rsidRPr="009867C1" w:rsidRDefault="00086155" w:rsidP="00086155">
      <w:pPr>
        <w:ind w:firstLine="720"/>
      </w:pPr>
      <w:r w:rsidRPr="009867C1">
        <w:t>For ‘all taxa’ ITS amplicons, the most important explanatory variables w</w:t>
      </w:r>
      <w:r w:rsidR="005F53E2">
        <w:t>ere</w:t>
      </w:r>
      <w:r w:rsidRPr="009867C1">
        <w:t xml:space="preserve"> manganese,</w:t>
      </w:r>
      <w:r w:rsidR="00D35F9F">
        <w:t xml:space="preserve"> copper, zinc, and pH (</w:t>
      </w:r>
      <w:r w:rsidR="00D35F9F" w:rsidRPr="009867C1">
        <w:t>Figure 1-9</w:t>
      </w:r>
      <w:r w:rsidR="00D35F9F">
        <w:t>). Sym</w:t>
      </w:r>
      <w:r w:rsidRPr="009867C1">
        <w:t>biotrophs also attributed high importance to phosphorus, ammonium, and herbs PCA2. Sapro</w:t>
      </w:r>
      <w:r w:rsidR="00C849F5">
        <w:t>trophs</w:t>
      </w:r>
      <w:r w:rsidRPr="009867C1">
        <w:t xml:space="preserve"> were associated with manganese, copper, </w:t>
      </w:r>
      <w:r w:rsidR="00D35F9F">
        <w:t xml:space="preserve">and </w:t>
      </w:r>
      <w:r w:rsidRPr="009867C1">
        <w:t>ergosterol</w:t>
      </w:r>
      <w:r w:rsidR="00D35F9F">
        <w:t xml:space="preserve"> concentrations</w:t>
      </w:r>
      <w:r w:rsidRPr="009867C1">
        <w:t>. Similar results were found for the SSU sequences (</w:t>
      </w:r>
      <w:r w:rsidRPr="009867C1">
        <w:fldChar w:fldCharType="begin"/>
      </w:r>
      <w:r w:rsidRPr="009867C1">
        <w:instrText xml:space="preserve"> REF _Ref63271440 \h </w:instrText>
      </w:r>
      <w:r w:rsidR="009867C1">
        <w:instrText xml:space="preserve"> \* MERGEFORMAT </w:instrText>
      </w:r>
      <w:r w:rsidRPr="009867C1">
        <w:fldChar w:fldCharType="separate"/>
      </w:r>
      <w:r w:rsidR="000667DB" w:rsidRPr="009867C1">
        <w:t xml:space="preserve">Figure </w:t>
      </w:r>
      <w:r w:rsidR="000667DB">
        <w:rPr>
          <w:noProof/>
        </w:rPr>
        <w:t>4</w:t>
      </w:r>
      <w:r w:rsidR="000667DB">
        <w:rPr>
          <w:noProof/>
        </w:rPr>
        <w:noBreakHyphen/>
        <w:t>10</w:t>
      </w:r>
      <w:r w:rsidRPr="009867C1">
        <w:fldChar w:fldCharType="end"/>
      </w:r>
      <w:r w:rsidRPr="009867C1">
        <w:t xml:space="preserve">), where phosphorus, </w:t>
      </w:r>
      <w:r w:rsidR="00C849F5">
        <w:t xml:space="preserve">pH, magnesium, and the moss and shrub communities were </w:t>
      </w:r>
      <w:r w:rsidRPr="009867C1">
        <w:t xml:space="preserve">important for ‘all taxa’. </w:t>
      </w:r>
      <w:r w:rsidR="00C849F5">
        <w:t>S</w:t>
      </w:r>
      <w:r w:rsidRPr="009867C1">
        <w:t>ymbiotrophs were affected by</w:t>
      </w:r>
      <w:r w:rsidR="00C849F5">
        <w:t xml:space="preserve"> watershed size and</w:t>
      </w:r>
      <w:r w:rsidRPr="009867C1">
        <w:t xml:space="preserve"> distance to the stream</w:t>
      </w:r>
      <w:r w:rsidR="00C849F5">
        <w:t>, while saprobes were strongly affected by ammonium, total N, iron, and the moss community</w:t>
      </w:r>
      <w:r w:rsidRPr="009867C1">
        <w:t xml:space="preserve">. </w:t>
      </w:r>
    </w:p>
    <w:p w14:paraId="22B6C709" w14:textId="77777777" w:rsidR="00086155" w:rsidRPr="009867C1" w:rsidRDefault="00086155" w:rsidP="00086155">
      <w:pPr>
        <w:pStyle w:val="Heading5"/>
      </w:pPr>
      <w:bookmarkStart w:id="154" w:name="_Toc99385457"/>
      <w:r w:rsidRPr="009867C1">
        <w:t>Shannon diversity</w:t>
      </w:r>
      <w:bookmarkEnd w:id="154"/>
    </w:p>
    <w:p w14:paraId="58FE593E" w14:textId="3AE016B5" w:rsidR="00086155" w:rsidRPr="009867C1" w:rsidRDefault="00086155" w:rsidP="00086155">
      <w:pPr>
        <w:ind w:firstLine="720"/>
      </w:pPr>
      <w:r w:rsidRPr="009867C1">
        <w:t>Bivariate plots for Shannon diversity showed complex relationships with salmon density, where they either decreased, did not change, or increased with salmon depending on amplicon or taxa subset (</w:t>
      </w:r>
      <w:r w:rsidRPr="009867C1">
        <w:fldChar w:fldCharType="begin"/>
      </w:r>
      <w:r w:rsidRPr="009867C1">
        <w:instrText xml:space="preserve"> REF _Ref61877862 \h </w:instrText>
      </w:r>
      <w:r w:rsidR="009867C1">
        <w:instrText xml:space="preserve"> \* MERGEFORMAT </w:instrText>
      </w:r>
      <w:r w:rsidRPr="009867C1">
        <w:fldChar w:fldCharType="separate"/>
      </w:r>
      <w:r w:rsidR="000667DB" w:rsidRPr="009867C1">
        <w:t xml:space="preserve">Figure </w:t>
      </w:r>
      <w:r w:rsidR="000667DB">
        <w:rPr>
          <w:noProof/>
        </w:rPr>
        <w:t>4</w:t>
      </w:r>
      <w:r w:rsidR="000667DB">
        <w:rPr>
          <w:noProof/>
        </w:rPr>
        <w:noBreakHyphen/>
        <w:t>5</w:t>
      </w:r>
      <w:r w:rsidRPr="009867C1">
        <w:fldChar w:fldCharType="end"/>
      </w:r>
      <w:r w:rsidRPr="009867C1">
        <w:t>).</w:t>
      </w:r>
      <w:r w:rsidR="00BC1CA3">
        <w:t xml:space="preserve"> Symbiotrophs were significantly less diverse below falls than above falls. </w:t>
      </w:r>
    </w:p>
    <w:p w14:paraId="30B28979" w14:textId="5EDE0576" w:rsidR="00086155" w:rsidRPr="009867C1" w:rsidRDefault="00086155" w:rsidP="00086155">
      <w:pPr>
        <w:ind w:firstLine="720"/>
      </w:pPr>
      <w:r w:rsidRPr="009867C1">
        <w:t xml:space="preserve">GLM results for Shannon’s diversity index followed those for species richness, with ITS diversity increasing with salmon density and being </w:t>
      </w:r>
      <w:r w:rsidR="00BC1CA3">
        <w:t>higher</w:t>
      </w:r>
      <w:r w:rsidRPr="009867C1">
        <w:t xml:space="preserve"> in </w:t>
      </w:r>
      <w:r w:rsidR="00BC1CA3">
        <w:t xml:space="preserve">forest floors than </w:t>
      </w:r>
      <w:r w:rsidRPr="009867C1">
        <w:t>organic soils</w:t>
      </w:r>
      <w:r w:rsidR="00BC1CA3">
        <w:t xml:space="preserve"> </w:t>
      </w:r>
      <w:r w:rsidR="00BC1CA3" w:rsidRPr="009867C1">
        <w:t>(</w:t>
      </w:r>
      <w:r w:rsidR="00BC1CA3" w:rsidRPr="009867C1">
        <w:fldChar w:fldCharType="begin"/>
      </w:r>
      <w:r w:rsidR="00BC1CA3" w:rsidRPr="009867C1">
        <w:instrText xml:space="preserve"> REF _Ref64652655 \h </w:instrText>
      </w:r>
      <w:r w:rsidR="00BC1CA3">
        <w:instrText xml:space="preserve"> \* MERGEFORMAT </w:instrText>
      </w:r>
      <w:r w:rsidR="00BC1CA3" w:rsidRPr="009867C1">
        <w:fldChar w:fldCharType="separate"/>
      </w:r>
      <w:r w:rsidR="000667DB" w:rsidRPr="009867C1">
        <w:t xml:space="preserve">Figure </w:t>
      </w:r>
      <w:r w:rsidR="000667DB">
        <w:rPr>
          <w:noProof/>
        </w:rPr>
        <w:t>4</w:t>
      </w:r>
      <w:r w:rsidR="000667DB">
        <w:rPr>
          <w:noProof/>
        </w:rPr>
        <w:noBreakHyphen/>
        <w:t>7</w:t>
      </w:r>
      <w:r w:rsidR="00BC1CA3" w:rsidRPr="009867C1">
        <w:fldChar w:fldCharType="end"/>
      </w:r>
      <w:r w:rsidR="00BC1CA3" w:rsidRPr="009867C1">
        <w:t>).</w:t>
      </w:r>
      <w:r w:rsidR="00BC1CA3">
        <w:t xml:space="preserve"> </w:t>
      </w:r>
      <w:r w:rsidRPr="009867C1">
        <w:t xml:space="preserve">SSU diversity, however, did not </w:t>
      </w:r>
      <w:r w:rsidR="00BC1CA3">
        <w:t xml:space="preserve">significantly </w:t>
      </w:r>
      <w:r w:rsidRPr="009867C1">
        <w:t xml:space="preserve">respond to salmon density. </w:t>
      </w:r>
      <w:r w:rsidR="00BC1CA3">
        <w:t>Amongst the tree community, the presence of cedar was again the most relevant.</w:t>
      </w:r>
    </w:p>
    <w:p w14:paraId="4C50BAA7" w14:textId="2B216DA3" w:rsidR="00086155" w:rsidRPr="009867C1" w:rsidRDefault="00086155" w:rsidP="00086155">
      <w:pPr>
        <w:ind w:firstLine="720"/>
      </w:pPr>
      <w:r w:rsidRPr="009867C1">
        <w:t>Random forest models proportioned high importance to</w:t>
      </w:r>
      <w:r w:rsidR="00F820AF">
        <w:t xml:space="preserve"> pH, ammonium,</w:t>
      </w:r>
      <w:r w:rsidRPr="009867C1">
        <w:t xml:space="preserve"> ergosterol</w:t>
      </w:r>
      <w:r w:rsidR="00F820AF">
        <w:t xml:space="preserve"> and the herb and tree community</w:t>
      </w:r>
      <w:r w:rsidRPr="009867C1">
        <w:t xml:space="preserve"> for </w:t>
      </w:r>
      <w:r w:rsidR="00F820AF">
        <w:t>‘</w:t>
      </w:r>
      <w:r w:rsidRPr="009867C1">
        <w:t>all taxa</w:t>
      </w:r>
      <w:r w:rsidR="00F820AF">
        <w:t>’</w:t>
      </w:r>
      <w:r w:rsidRPr="009867C1">
        <w:t xml:space="preserve">; phosphorus, </w:t>
      </w:r>
      <w:r w:rsidR="005F53E2">
        <w:t xml:space="preserve">and </w:t>
      </w:r>
      <w:r w:rsidRPr="009867C1">
        <w:t>pH for symbiotrophs</w:t>
      </w:r>
      <w:r w:rsidR="005F53E2">
        <w:t>;</w:t>
      </w:r>
      <w:r w:rsidRPr="009867C1">
        <w:t xml:space="preserve"> and </w:t>
      </w:r>
      <w:r w:rsidR="00F820AF">
        <w:t xml:space="preserve">sulfur and phosphorus </w:t>
      </w:r>
      <w:r w:rsidRPr="009867C1">
        <w:t>for saprobes (</w:t>
      </w:r>
      <w:r w:rsidRPr="009867C1">
        <w:fldChar w:fldCharType="begin"/>
      </w:r>
      <w:r w:rsidRPr="009867C1">
        <w:instrText xml:space="preserve"> REF _Ref63271437 \h </w:instrText>
      </w:r>
      <w:r w:rsidR="009867C1">
        <w:instrText xml:space="preserve"> \* MERGEFORMAT </w:instrText>
      </w:r>
      <w:r w:rsidRPr="009867C1">
        <w:fldChar w:fldCharType="separate"/>
      </w:r>
      <w:r w:rsidR="000667DB" w:rsidRPr="009867C1">
        <w:t xml:space="preserve">Figure </w:t>
      </w:r>
      <w:r w:rsidR="000667DB">
        <w:rPr>
          <w:noProof/>
        </w:rPr>
        <w:t>4</w:t>
      </w:r>
      <w:r w:rsidR="000667DB">
        <w:rPr>
          <w:noProof/>
        </w:rPr>
        <w:noBreakHyphen/>
        <w:t>9</w:t>
      </w:r>
      <w:r w:rsidRPr="009867C1">
        <w:fldChar w:fldCharType="end"/>
      </w:r>
      <w:r w:rsidRPr="009867C1">
        <w:t>). SSU reads were more responsive, with ‘all taxa’ being driven by ammonium</w:t>
      </w:r>
      <w:r w:rsidR="00F820AF">
        <w:t>, the shrub and tree community, and the presence of class-4 coarse woody debris</w:t>
      </w:r>
      <w:r w:rsidRPr="009867C1">
        <w:t xml:space="preserve">; symbiotrophs </w:t>
      </w:r>
      <w:r w:rsidR="00F820AF">
        <w:t xml:space="preserve">were affected </w:t>
      </w:r>
      <w:r w:rsidRPr="009867C1">
        <w:t>by tree PCA2; and saprobes by</w:t>
      </w:r>
      <w:r w:rsidR="00F820AF">
        <w:t xml:space="preserve"> ammonium, total nitrogen, phosphorus, total iron, and the herb community </w:t>
      </w:r>
      <w:r w:rsidRPr="009867C1">
        <w:t>(</w:t>
      </w:r>
      <w:r w:rsidRPr="009867C1">
        <w:fldChar w:fldCharType="begin"/>
      </w:r>
      <w:r w:rsidRPr="009867C1">
        <w:instrText xml:space="preserve"> REF _Ref63271440 \h </w:instrText>
      </w:r>
      <w:r w:rsidR="009867C1">
        <w:instrText xml:space="preserve"> \* MERGEFORMAT </w:instrText>
      </w:r>
      <w:r w:rsidRPr="009867C1">
        <w:fldChar w:fldCharType="separate"/>
      </w:r>
      <w:r w:rsidR="000667DB" w:rsidRPr="009867C1">
        <w:t xml:space="preserve">Figure </w:t>
      </w:r>
      <w:r w:rsidR="000667DB">
        <w:rPr>
          <w:noProof/>
        </w:rPr>
        <w:t>4</w:t>
      </w:r>
      <w:r w:rsidR="000667DB">
        <w:rPr>
          <w:noProof/>
        </w:rPr>
        <w:noBreakHyphen/>
        <w:t>10</w:t>
      </w:r>
      <w:r w:rsidRPr="009867C1">
        <w:fldChar w:fldCharType="end"/>
      </w:r>
      <w:r w:rsidRPr="009867C1">
        <w:t xml:space="preserve">).    </w:t>
      </w:r>
    </w:p>
    <w:p w14:paraId="50156E63" w14:textId="77777777" w:rsidR="00086155" w:rsidRPr="009867C1" w:rsidRDefault="00086155" w:rsidP="00086155">
      <w:pPr>
        <w:pStyle w:val="Heading5"/>
      </w:pPr>
      <w:bookmarkStart w:id="155" w:name="_Toc99385458"/>
      <w:r w:rsidRPr="009867C1">
        <w:t>Phylogenetic Dispersion</w:t>
      </w:r>
      <w:bookmarkEnd w:id="155"/>
    </w:p>
    <w:p w14:paraId="61389E02" w14:textId="02F614E9" w:rsidR="00086155" w:rsidRPr="009867C1" w:rsidRDefault="00086155" w:rsidP="00086155">
      <w:pPr>
        <w:ind w:firstLine="720"/>
      </w:pPr>
      <w:r w:rsidRPr="009867C1">
        <w:t xml:space="preserve">Communities were generally underdispersed relative to random assortment (negative PDIs; </w:t>
      </w:r>
      <w:r w:rsidRPr="009867C1">
        <w:fldChar w:fldCharType="begin"/>
      </w:r>
      <w:r w:rsidRPr="009867C1">
        <w:instrText xml:space="preserve"> REF _Ref62472323 \h </w:instrText>
      </w:r>
      <w:r w:rsidR="009867C1">
        <w:instrText xml:space="preserve"> \* MERGEFORMAT </w:instrText>
      </w:r>
      <w:r w:rsidRPr="009867C1">
        <w:fldChar w:fldCharType="separate"/>
      </w:r>
      <w:r w:rsidR="000667DB" w:rsidRPr="009867C1">
        <w:t xml:space="preserve">Figure </w:t>
      </w:r>
      <w:r w:rsidR="000667DB">
        <w:rPr>
          <w:noProof/>
        </w:rPr>
        <w:t>4</w:t>
      </w:r>
      <w:r w:rsidR="000667DB">
        <w:rPr>
          <w:noProof/>
        </w:rPr>
        <w:noBreakHyphen/>
        <w:t>6</w:t>
      </w:r>
      <w:r w:rsidRPr="009867C1">
        <w:fldChar w:fldCharType="end"/>
      </w:r>
      <w:r w:rsidRPr="009867C1">
        <w:t xml:space="preserve">).  Bivariate plots for the phylogenetic dispersion index (PDI) showed mixed relationships between fungal communities with salmon density, with forest floor communities generally </w:t>
      </w:r>
      <w:r w:rsidR="0080328D">
        <w:t>de</w:t>
      </w:r>
      <w:r w:rsidRPr="009867C1">
        <w:t>creasing or not responding to salmon density, and organic soil communities decreasing, with similarly mixed results in the comparison between above and below falls (</w:t>
      </w:r>
      <w:r w:rsidRPr="009867C1">
        <w:fldChar w:fldCharType="begin"/>
      </w:r>
      <w:r w:rsidRPr="009867C1">
        <w:instrText xml:space="preserve"> REF _Ref62472323 \h </w:instrText>
      </w:r>
      <w:r w:rsidR="009867C1">
        <w:instrText xml:space="preserve"> \* MERGEFORMAT </w:instrText>
      </w:r>
      <w:r w:rsidRPr="009867C1">
        <w:fldChar w:fldCharType="separate"/>
      </w:r>
      <w:r w:rsidR="000667DB" w:rsidRPr="009867C1">
        <w:t xml:space="preserve">Figure </w:t>
      </w:r>
      <w:r w:rsidR="000667DB">
        <w:rPr>
          <w:noProof/>
        </w:rPr>
        <w:t>4</w:t>
      </w:r>
      <w:r w:rsidR="000667DB">
        <w:rPr>
          <w:noProof/>
        </w:rPr>
        <w:noBreakHyphen/>
        <w:t>6</w:t>
      </w:r>
      <w:r w:rsidRPr="009867C1">
        <w:fldChar w:fldCharType="end"/>
      </w:r>
      <w:r w:rsidRPr="009867C1">
        <w:t xml:space="preserve">).  </w:t>
      </w:r>
    </w:p>
    <w:p w14:paraId="5412AEF5" w14:textId="22E05874" w:rsidR="00086155" w:rsidRPr="009867C1" w:rsidRDefault="00086155" w:rsidP="00086155">
      <w:pPr>
        <w:ind w:firstLine="720"/>
      </w:pPr>
      <w:r w:rsidRPr="009867C1">
        <w:t>These mixed results were borne out in the GLM analysis; however ITS ‘all taxa’ tended to increase with salmon density (</w:t>
      </w:r>
      <w:r w:rsidRPr="009867C1">
        <w:fldChar w:fldCharType="begin"/>
      </w:r>
      <w:r w:rsidRPr="009867C1">
        <w:instrText xml:space="preserve"> REF _Ref64652655 \h </w:instrText>
      </w:r>
      <w:r w:rsidR="009867C1">
        <w:instrText xml:space="preserve"> \* MERGEFORMAT </w:instrText>
      </w:r>
      <w:r w:rsidRPr="009867C1">
        <w:fldChar w:fldCharType="separate"/>
      </w:r>
      <w:r w:rsidR="000667DB" w:rsidRPr="009867C1">
        <w:t xml:space="preserve">Figure </w:t>
      </w:r>
      <w:r w:rsidR="000667DB">
        <w:rPr>
          <w:noProof/>
        </w:rPr>
        <w:t>4</w:t>
      </w:r>
      <w:r w:rsidR="000667DB">
        <w:rPr>
          <w:noProof/>
        </w:rPr>
        <w:noBreakHyphen/>
        <w:t>7</w:t>
      </w:r>
      <w:r w:rsidRPr="009867C1">
        <w:fldChar w:fldCharType="end"/>
      </w:r>
      <w:r w:rsidRPr="009867C1">
        <w:t xml:space="preserve">), although this was not seen in either symbiotrophs or saprobes indicating that this is driven either by unidentified taxa or taxa with different trophic modes. ITS PDI was also </w:t>
      </w:r>
      <w:r w:rsidR="0080328D">
        <w:t xml:space="preserve">lower for symbiotrophs in forest floors and was affected by the </w:t>
      </w:r>
      <w:r w:rsidRPr="009867C1">
        <w:t>nearest tree and the moss community</w:t>
      </w:r>
      <w:r w:rsidR="0080328D">
        <w:t>.</w:t>
      </w:r>
      <w:r w:rsidRPr="009867C1">
        <w:t xml:space="preserve"> SSU PDI was similarly sensitive to soil type, nearest tree, and the moss and shrub communities.</w:t>
      </w:r>
    </w:p>
    <w:p w14:paraId="779AD388" w14:textId="07A7BC5F" w:rsidR="00086155" w:rsidRPr="009867C1" w:rsidRDefault="00086155" w:rsidP="00086155">
      <w:pPr>
        <w:ind w:firstLine="720"/>
      </w:pPr>
      <w:r w:rsidRPr="009867C1">
        <w:t xml:space="preserve">Finally, for ITS sequences of ‘all taxa’, the variable of highest importance </w:t>
      </w:r>
      <w:r w:rsidR="0080328D">
        <w:t>was nitrate concentrations, and magnesium, sodium, and CEC w</w:t>
      </w:r>
      <w:r w:rsidR="005F53E2">
        <w:t>ere</w:t>
      </w:r>
      <w:r w:rsidR="0080328D">
        <w:t xml:space="preserve"> important for saprotrophs </w:t>
      </w:r>
      <w:r w:rsidRPr="009867C1">
        <w:t>(</w:t>
      </w:r>
      <w:r w:rsidR="0080328D" w:rsidRPr="009867C1">
        <w:fldChar w:fldCharType="begin"/>
      </w:r>
      <w:r w:rsidR="0080328D" w:rsidRPr="009867C1">
        <w:instrText xml:space="preserve"> REF _Ref63271437 \h </w:instrText>
      </w:r>
      <w:r w:rsidR="0080328D">
        <w:instrText xml:space="preserve"> \* MERGEFORMAT </w:instrText>
      </w:r>
      <w:r w:rsidR="0080328D" w:rsidRPr="009867C1">
        <w:fldChar w:fldCharType="separate"/>
      </w:r>
      <w:r w:rsidR="000667DB" w:rsidRPr="009867C1">
        <w:t xml:space="preserve">Figure </w:t>
      </w:r>
      <w:r w:rsidR="000667DB">
        <w:rPr>
          <w:noProof/>
        </w:rPr>
        <w:t>4</w:t>
      </w:r>
      <w:r w:rsidR="000667DB">
        <w:rPr>
          <w:noProof/>
        </w:rPr>
        <w:noBreakHyphen/>
        <w:t>9</w:t>
      </w:r>
      <w:r w:rsidR="0080328D" w:rsidRPr="009867C1">
        <w:fldChar w:fldCharType="end"/>
      </w:r>
      <w:r w:rsidRPr="009867C1">
        <w:t>).</w:t>
      </w:r>
      <w:r w:rsidR="0080328D">
        <w:t xml:space="preserve"> </w:t>
      </w:r>
      <w:r w:rsidRPr="009867C1">
        <w:t>SSU sequences showed sensitivity to</w:t>
      </w:r>
      <w:r w:rsidR="0080328D">
        <w:t xml:space="preserve"> ammonium, particularly amongst saprotrophs; ergosterol </w:t>
      </w:r>
      <w:r w:rsidR="00E75230">
        <w:t>and exchangeable su</w:t>
      </w:r>
      <w:r w:rsidR="005F53E2">
        <w:t>l</w:t>
      </w:r>
      <w:r w:rsidR="00E75230">
        <w:t>fur were also of high importance (</w:t>
      </w:r>
      <w:r w:rsidR="00E75230" w:rsidRPr="009867C1">
        <w:fldChar w:fldCharType="begin"/>
      </w:r>
      <w:r w:rsidR="00E75230" w:rsidRPr="009867C1">
        <w:instrText xml:space="preserve"> REF _Ref63271440 \h </w:instrText>
      </w:r>
      <w:r w:rsidR="00E75230">
        <w:instrText xml:space="preserve"> \* MERGEFORMAT </w:instrText>
      </w:r>
      <w:r w:rsidR="00E75230" w:rsidRPr="009867C1">
        <w:fldChar w:fldCharType="separate"/>
      </w:r>
      <w:r w:rsidR="000667DB" w:rsidRPr="009867C1">
        <w:t xml:space="preserve">Figure </w:t>
      </w:r>
      <w:r w:rsidR="000667DB">
        <w:rPr>
          <w:noProof/>
        </w:rPr>
        <w:t>4</w:t>
      </w:r>
      <w:r w:rsidR="000667DB">
        <w:rPr>
          <w:noProof/>
        </w:rPr>
        <w:noBreakHyphen/>
        <w:t>10</w:t>
      </w:r>
      <w:r w:rsidR="00E75230" w:rsidRPr="009867C1">
        <w:fldChar w:fldCharType="end"/>
      </w:r>
      <w:r w:rsidR="00E75230">
        <w:t>).</w:t>
      </w:r>
      <w:r w:rsidRPr="009867C1">
        <w:t xml:space="preserve">  </w:t>
      </w:r>
    </w:p>
    <w:p w14:paraId="09B20F81" w14:textId="77777777" w:rsidR="00086155" w:rsidRPr="009867C1" w:rsidRDefault="00086155" w:rsidP="00086155">
      <w:pPr>
        <w:pStyle w:val="Heading4"/>
      </w:pPr>
      <w:bookmarkStart w:id="156" w:name="_Toc99385459"/>
      <w:r w:rsidRPr="009867C1">
        <w:t>Beta diversity</w:t>
      </w:r>
      <w:bookmarkEnd w:id="156"/>
    </w:p>
    <w:p w14:paraId="0F098E86" w14:textId="1A452FB0" w:rsidR="00086155" w:rsidRPr="009867C1" w:rsidRDefault="00086155" w:rsidP="00086155">
      <w:pPr>
        <w:ind w:firstLine="720"/>
      </w:pPr>
      <w:r w:rsidRPr="009867C1">
        <w:t>For ITS sequences in the gradient data, salmon density, watershed size, soil type, and nearest dominant tree were all significant (P&lt;0.05) in ADONIS tests across all data subsets (“all”, “symbiotrophs” and “saprotrophs”) (</w:t>
      </w:r>
      <w:r w:rsidRPr="009867C1">
        <w:fldChar w:fldCharType="begin"/>
      </w:r>
      <w:r w:rsidRPr="009867C1">
        <w:instrText xml:space="preserve"> REF _Ref63271324 \h </w:instrText>
      </w:r>
      <w:r w:rsidR="009867C1">
        <w:instrText xml:space="preserve"> \* MERGEFORMAT </w:instrText>
      </w:r>
      <w:r w:rsidRPr="009867C1">
        <w:fldChar w:fldCharType="separate"/>
      </w:r>
      <w:r w:rsidR="000667DB" w:rsidRPr="009867C1">
        <w:t xml:space="preserve">Figure </w:t>
      </w:r>
      <w:r w:rsidR="000667DB">
        <w:rPr>
          <w:noProof/>
        </w:rPr>
        <w:t>4</w:t>
      </w:r>
      <w:r w:rsidR="000667DB">
        <w:rPr>
          <w:noProof/>
        </w:rPr>
        <w:noBreakHyphen/>
        <w:t>11</w:t>
      </w:r>
      <w:r w:rsidRPr="009867C1">
        <w:fldChar w:fldCharType="end"/>
      </w:r>
      <w:r w:rsidRPr="009867C1">
        <w:t>, top row). Significance of salmon density was robust to variable order in model specification; only in “saprotrophs” did salmon density cease to be significant when placed last (p=0.12). Similarly, in ITS above/below data, being above or below the waterfall was significant in all ADONIS tests across all subsets, and this was robust to explanatory variable order (</w:t>
      </w:r>
      <w:r w:rsidRPr="009867C1">
        <w:fldChar w:fldCharType="begin"/>
      </w:r>
      <w:r w:rsidRPr="009867C1">
        <w:instrText xml:space="preserve"> REF _Ref63271324 \h </w:instrText>
      </w:r>
      <w:r w:rsidR="009867C1">
        <w:instrText xml:space="preserve"> \* MERGEFORMAT </w:instrText>
      </w:r>
      <w:r w:rsidRPr="009867C1">
        <w:fldChar w:fldCharType="separate"/>
      </w:r>
      <w:r w:rsidR="000667DB" w:rsidRPr="009867C1">
        <w:t xml:space="preserve">Figure </w:t>
      </w:r>
      <w:r w:rsidR="000667DB">
        <w:rPr>
          <w:noProof/>
        </w:rPr>
        <w:t>4</w:t>
      </w:r>
      <w:r w:rsidR="000667DB">
        <w:rPr>
          <w:noProof/>
        </w:rPr>
        <w:noBreakHyphen/>
        <w:t>11</w:t>
      </w:r>
      <w:r w:rsidRPr="009867C1">
        <w:fldChar w:fldCharType="end"/>
      </w:r>
      <w:r w:rsidRPr="009867C1">
        <w:t xml:space="preserve">, bottom row). Stress for these plots was low (maximum = 0.25). </w:t>
      </w:r>
    </w:p>
    <w:p w14:paraId="7CAD692B" w14:textId="419B1434" w:rsidR="00086155" w:rsidRPr="009867C1" w:rsidRDefault="00086155" w:rsidP="00086155">
      <w:pPr>
        <w:ind w:firstLine="720"/>
      </w:pPr>
      <w:r w:rsidRPr="009867C1">
        <w:t>SSU gradient sequences were less structured along salmon density gradients – “all reads” were significantly clustered in ADONIS tests by nearest tree and soil type, but not salmon density or watershed size (</w:t>
      </w:r>
      <w:r w:rsidRPr="009867C1">
        <w:fldChar w:fldCharType="begin"/>
      </w:r>
      <w:r w:rsidRPr="009867C1">
        <w:instrText xml:space="preserve"> REF _Ref63271326 \h </w:instrText>
      </w:r>
      <w:r w:rsidR="009867C1">
        <w:instrText xml:space="preserve"> \* MERGEFORMAT </w:instrText>
      </w:r>
      <w:r w:rsidRPr="009867C1">
        <w:fldChar w:fldCharType="separate"/>
      </w:r>
      <w:r w:rsidR="000667DB" w:rsidRPr="009867C1">
        <w:t xml:space="preserve">Figure </w:t>
      </w:r>
      <w:r w:rsidR="000667DB">
        <w:rPr>
          <w:noProof/>
        </w:rPr>
        <w:t>4</w:t>
      </w:r>
      <w:r w:rsidR="000667DB">
        <w:rPr>
          <w:noProof/>
        </w:rPr>
        <w:noBreakHyphen/>
        <w:t>12</w:t>
      </w:r>
      <w:r w:rsidRPr="009867C1">
        <w:fldChar w:fldCharType="end"/>
      </w:r>
      <w:r w:rsidRPr="009867C1">
        <w:t xml:space="preserve">, top row). For symbiotrophs, only watershed size was significant, and for saprotrophs salmon density and soils also tended to matter (p=0.08 and 0.09 respectively). These were robust to changes in variable order. The above/below data </w:t>
      </w:r>
      <w:r w:rsidR="007C548E">
        <w:t>showed significant differences in</w:t>
      </w:r>
      <w:r w:rsidRPr="009867C1">
        <w:t xml:space="preserve"> all tests, regardless of variable order (</w:t>
      </w:r>
      <w:r w:rsidRPr="009867C1">
        <w:fldChar w:fldCharType="begin"/>
      </w:r>
      <w:r w:rsidRPr="009867C1">
        <w:instrText xml:space="preserve"> REF _Ref63271326 \h </w:instrText>
      </w:r>
      <w:r w:rsidR="009867C1">
        <w:instrText xml:space="preserve"> \* MERGEFORMAT </w:instrText>
      </w:r>
      <w:r w:rsidRPr="009867C1">
        <w:fldChar w:fldCharType="separate"/>
      </w:r>
      <w:r w:rsidR="000667DB" w:rsidRPr="009867C1">
        <w:t xml:space="preserve">Figure </w:t>
      </w:r>
      <w:r w:rsidR="000667DB">
        <w:rPr>
          <w:noProof/>
        </w:rPr>
        <w:t>4</w:t>
      </w:r>
      <w:r w:rsidR="000667DB">
        <w:rPr>
          <w:noProof/>
        </w:rPr>
        <w:noBreakHyphen/>
        <w:t>12</w:t>
      </w:r>
      <w:r w:rsidRPr="009867C1">
        <w:fldChar w:fldCharType="end"/>
      </w:r>
      <w:r w:rsidRPr="009867C1">
        <w:t xml:space="preserve">, bottom row). In addition, nearest tree was significant for saprotrophs (p=0.029), and both nearest tree and soil were moderately significant for saprotrophs (p=0.065 and 0.07). Stress for these plots was low (maximum = 0.1).     </w:t>
      </w:r>
    </w:p>
    <w:p w14:paraId="23A88332" w14:textId="77777777" w:rsidR="00086155" w:rsidRPr="009867C1" w:rsidRDefault="00086155" w:rsidP="00086155">
      <w:pPr>
        <w:pStyle w:val="Heading4"/>
      </w:pPr>
      <w:bookmarkStart w:id="157" w:name="_Toc99385460"/>
      <w:r w:rsidRPr="009867C1">
        <w:t>Compositional changes along salmon gradient</w:t>
      </w:r>
      <w:bookmarkEnd w:id="157"/>
    </w:p>
    <w:p w14:paraId="12BDD049" w14:textId="2BB77E55" w:rsidR="00086155" w:rsidRPr="009867C1" w:rsidRDefault="006A3C5A" w:rsidP="00086155">
      <w:pPr>
        <w:ind w:firstLine="720"/>
      </w:pPr>
      <w:r>
        <w:rPr>
          <w:i/>
        </w:rPr>
        <w:t xml:space="preserve">MaAsLin2 </w:t>
      </w:r>
      <w:r>
        <w:t>models showed significant taxonomic responses to salmon inputs (</w:t>
      </w:r>
      <w:r>
        <w:fldChar w:fldCharType="begin"/>
      </w:r>
      <w:r>
        <w:instrText xml:space="preserve"> REF _Ref62043078 \h </w:instrText>
      </w:r>
      <w:r>
        <w:fldChar w:fldCharType="separate"/>
      </w:r>
      <w:r w:rsidR="000667DB" w:rsidRPr="009867C1">
        <w:t xml:space="preserve">Figure </w:t>
      </w:r>
      <w:r w:rsidR="000667DB">
        <w:rPr>
          <w:noProof/>
        </w:rPr>
        <w:t>4</w:t>
      </w:r>
      <w:r w:rsidR="000667DB">
        <w:noBreakHyphen/>
      </w:r>
      <w:r w:rsidR="000667DB">
        <w:rPr>
          <w:noProof/>
        </w:rPr>
        <w:t>13</w:t>
      </w:r>
      <w:r>
        <w:fldChar w:fldCharType="end"/>
      </w:r>
      <w:r>
        <w:t xml:space="preserve"> </w:t>
      </w:r>
      <w:r w:rsidRPr="009867C1">
        <w:t xml:space="preserve">&amp; </w:t>
      </w:r>
      <w:r w:rsidRPr="009867C1">
        <w:fldChar w:fldCharType="begin"/>
      </w:r>
      <w:r w:rsidRPr="009867C1">
        <w:instrText xml:space="preserve"> REF _Ref62043079 \h </w:instrText>
      </w:r>
      <w:r>
        <w:instrText xml:space="preserve"> \* MERGEFORMAT </w:instrText>
      </w:r>
      <w:r w:rsidRPr="009867C1">
        <w:fldChar w:fldCharType="separate"/>
      </w:r>
      <w:r w:rsidR="000667DB" w:rsidRPr="009867C1">
        <w:t xml:space="preserve">Figure </w:t>
      </w:r>
      <w:r w:rsidR="000667DB">
        <w:rPr>
          <w:noProof/>
        </w:rPr>
        <w:t>4</w:t>
      </w:r>
      <w:r w:rsidR="000667DB">
        <w:rPr>
          <w:noProof/>
        </w:rPr>
        <w:noBreakHyphen/>
        <w:t>14</w:t>
      </w:r>
      <w:r w:rsidRPr="009867C1">
        <w:fldChar w:fldCharType="end"/>
      </w:r>
      <w:r w:rsidRPr="009867C1">
        <w:t>)</w:t>
      </w:r>
      <w:r>
        <w:t xml:space="preserve">. </w:t>
      </w:r>
      <w:r w:rsidR="0058126B">
        <w:t xml:space="preserve">ITS sequences along the regional gradient, </w:t>
      </w:r>
      <w:r w:rsidR="001F6DA3" w:rsidRPr="001F6DA3">
        <w:rPr>
          <w:i/>
          <w:iCs/>
        </w:rPr>
        <w:t>Tylospora</w:t>
      </w:r>
      <w:r w:rsidR="001F6DA3">
        <w:t xml:space="preserve">, </w:t>
      </w:r>
      <w:r w:rsidR="001F6DA3" w:rsidRPr="001F6DA3">
        <w:rPr>
          <w:i/>
          <w:iCs/>
        </w:rPr>
        <w:t>Sebacina</w:t>
      </w:r>
      <w:r w:rsidR="001F6DA3">
        <w:t xml:space="preserve">, and an unidentified Strophariaceae and Thelephoraceae </w:t>
      </w:r>
      <w:r w:rsidR="0058126B">
        <w:t xml:space="preserve">increased in forest floors while </w:t>
      </w:r>
      <w:r w:rsidR="001F6DA3" w:rsidRPr="001F6DA3">
        <w:rPr>
          <w:i/>
          <w:iCs/>
        </w:rPr>
        <w:t>Mortierella</w:t>
      </w:r>
      <w:r w:rsidR="001F6DA3">
        <w:t xml:space="preserve"> and </w:t>
      </w:r>
      <w:r w:rsidR="001F6DA3" w:rsidRPr="001F6DA3">
        <w:rPr>
          <w:i/>
          <w:iCs/>
        </w:rPr>
        <w:t>Chaetosphaeria</w:t>
      </w:r>
      <w:r w:rsidR="001F6DA3">
        <w:t xml:space="preserve"> </w:t>
      </w:r>
      <w:r w:rsidR="0058126B">
        <w:t xml:space="preserve">decreased; and in organic soils </w:t>
      </w:r>
      <w:r w:rsidR="001F6DA3" w:rsidRPr="001F6DA3">
        <w:rPr>
          <w:i/>
          <w:iCs/>
        </w:rPr>
        <w:t>Sebacina</w:t>
      </w:r>
      <w:r w:rsidR="001F6DA3">
        <w:t xml:space="preserve">, two Hypocreales, and an unidentified Heliotales increased while </w:t>
      </w:r>
      <w:r w:rsidR="001F6DA3" w:rsidRPr="001F6DA3">
        <w:rPr>
          <w:i/>
          <w:iCs/>
        </w:rPr>
        <w:t>Mortierella</w:t>
      </w:r>
      <w:r w:rsidR="001F6DA3">
        <w:t xml:space="preserve"> decreased. In above/below waterfall comparisons, </w:t>
      </w:r>
      <w:r w:rsidR="001F6DA3" w:rsidRPr="0090113C">
        <w:rPr>
          <w:i/>
          <w:iCs/>
        </w:rPr>
        <w:t>Melniomyces</w:t>
      </w:r>
      <w:r w:rsidR="001F6DA3">
        <w:t xml:space="preserve"> and </w:t>
      </w:r>
      <w:r w:rsidR="001F6DA3" w:rsidRPr="0090113C">
        <w:rPr>
          <w:i/>
          <w:iCs/>
        </w:rPr>
        <w:t>Russula</w:t>
      </w:r>
      <w:r w:rsidR="001F6DA3">
        <w:t xml:space="preserve"> were higher in forest floors</w:t>
      </w:r>
      <w:r w:rsidR="0090113C">
        <w:t xml:space="preserve"> below falls</w:t>
      </w:r>
      <w:r w:rsidR="001F6DA3">
        <w:t xml:space="preserve"> and </w:t>
      </w:r>
      <w:r w:rsidR="001F6DA3" w:rsidRPr="0090113C">
        <w:rPr>
          <w:i/>
          <w:iCs/>
        </w:rPr>
        <w:t>Mortierella</w:t>
      </w:r>
      <w:r w:rsidR="0090113C">
        <w:t xml:space="preserve"> and</w:t>
      </w:r>
      <w:r w:rsidR="001F6DA3">
        <w:t xml:space="preserve"> </w:t>
      </w:r>
      <w:r w:rsidR="0090113C" w:rsidRPr="00EC48AF">
        <w:rPr>
          <w:i/>
          <w:iCs/>
        </w:rPr>
        <w:t>Solicoccozyma</w:t>
      </w:r>
      <w:r w:rsidR="0090113C">
        <w:t xml:space="preserve"> were lower. In organic soil, </w:t>
      </w:r>
      <w:r w:rsidR="0090113C" w:rsidRPr="0090113C">
        <w:rPr>
          <w:i/>
          <w:iCs/>
        </w:rPr>
        <w:t>Tylospora</w:t>
      </w:r>
      <w:r w:rsidR="0090113C">
        <w:t xml:space="preserve">, </w:t>
      </w:r>
      <w:r w:rsidR="0090113C" w:rsidRPr="0090113C">
        <w:rPr>
          <w:i/>
          <w:iCs/>
        </w:rPr>
        <w:t>Clavulina</w:t>
      </w:r>
      <w:r w:rsidR="0090113C">
        <w:t xml:space="preserve">, </w:t>
      </w:r>
      <w:r w:rsidR="0090113C" w:rsidRPr="0090113C">
        <w:rPr>
          <w:i/>
          <w:iCs/>
        </w:rPr>
        <w:t>Cenococcum</w:t>
      </w:r>
      <w:r w:rsidR="0090113C">
        <w:t xml:space="preserve">, and unidentified Agaricales and Chaetosphaeriales were higher below falls while </w:t>
      </w:r>
      <w:r w:rsidR="0090113C" w:rsidRPr="0090113C">
        <w:rPr>
          <w:i/>
          <w:iCs/>
        </w:rPr>
        <w:t>Solicoccozyma</w:t>
      </w:r>
      <w:r w:rsidR="0090113C">
        <w:t xml:space="preserve"> and </w:t>
      </w:r>
      <w:r w:rsidR="0090113C" w:rsidRPr="0090113C">
        <w:rPr>
          <w:i/>
          <w:iCs/>
        </w:rPr>
        <w:t>Mortierella</w:t>
      </w:r>
      <w:r w:rsidR="0090113C">
        <w:t xml:space="preserve"> were lower. </w:t>
      </w:r>
      <w:r w:rsidR="00AC0441">
        <w:t xml:space="preserve">SSU sequences </w:t>
      </w:r>
      <w:r w:rsidR="0090113C">
        <w:t>showed no change in forest floors either along the regional gradient or between waterfall sites</w:t>
      </w:r>
      <w:r w:rsidR="00AC0441">
        <w:t>,</w:t>
      </w:r>
      <w:r w:rsidR="0090113C">
        <w:t xml:space="preserve"> while in organic soils</w:t>
      </w:r>
      <w:r w:rsidR="00AC0441">
        <w:t xml:space="preserve"> </w:t>
      </w:r>
      <w:r w:rsidR="00AC0441" w:rsidRPr="00AC0441">
        <w:rPr>
          <w:i/>
          <w:iCs/>
        </w:rPr>
        <w:t>Russula</w:t>
      </w:r>
      <w:r w:rsidR="00AC0441">
        <w:t xml:space="preserve">, </w:t>
      </w:r>
      <w:r w:rsidR="00AC0441" w:rsidRPr="00AC0441">
        <w:rPr>
          <w:i/>
          <w:iCs/>
        </w:rPr>
        <w:t>Piloderma</w:t>
      </w:r>
      <w:r w:rsidR="00AC0441">
        <w:t xml:space="preserve">, and </w:t>
      </w:r>
      <w:r w:rsidR="0090113C" w:rsidRPr="0090113C">
        <w:rPr>
          <w:i/>
          <w:iCs/>
        </w:rPr>
        <w:t>Trichoderma</w:t>
      </w:r>
      <w:r w:rsidR="0090113C">
        <w:t xml:space="preserve"> increased along salmon gradients, and </w:t>
      </w:r>
      <w:r w:rsidR="0090113C" w:rsidRPr="0090113C">
        <w:rPr>
          <w:i/>
          <w:iCs/>
        </w:rPr>
        <w:t>Trichoderma</w:t>
      </w:r>
      <w:r w:rsidR="0090113C">
        <w:t xml:space="preserve"> was also higher below than above falls.</w:t>
      </w:r>
      <w:r w:rsidR="00AC0441">
        <w:t xml:space="preserve"> </w:t>
      </w:r>
      <w:r w:rsidR="0058126B">
        <w:t xml:space="preserve"> </w:t>
      </w:r>
      <w:r w:rsidR="00086155" w:rsidRPr="009867C1">
        <w:t xml:space="preserve"> </w:t>
      </w:r>
    </w:p>
    <w:p w14:paraId="16EC4010" w14:textId="77777777" w:rsidR="00086155" w:rsidRPr="009867C1" w:rsidRDefault="00086155" w:rsidP="00086155"/>
    <w:p w14:paraId="00625A7E" w14:textId="77777777" w:rsidR="00086155" w:rsidRPr="009867C1" w:rsidRDefault="00086155" w:rsidP="00086155">
      <w:pPr>
        <w:pStyle w:val="Heading3"/>
        <w:rPr>
          <w:lang w:val="en-CA"/>
        </w:rPr>
      </w:pPr>
      <w:bookmarkStart w:id="158" w:name="_Toc99385461"/>
      <w:r w:rsidRPr="009867C1">
        <w:rPr>
          <w:lang w:val="en-CA"/>
        </w:rPr>
        <w:t>Discussion</w:t>
      </w:r>
      <w:bookmarkEnd w:id="158"/>
    </w:p>
    <w:p w14:paraId="58363B7C" w14:textId="77777777" w:rsidR="00086155" w:rsidRPr="009867C1" w:rsidRDefault="00086155" w:rsidP="00086155">
      <w:pPr>
        <w:pStyle w:val="Heading4"/>
      </w:pPr>
      <w:bookmarkStart w:id="159" w:name="_Toc99385462"/>
      <w:r w:rsidRPr="009867C1">
        <w:t>Fungal communities of the central coast</w:t>
      </w:r>
      <w:bookmarkEnd w:id="159"/>
    </w:p>
    <w:p w14:paraId="3394E83B" w14:textId="41A9C09F" w:rsidR="00086155" w:rsidRPr="009867C1" w:rsidRDefault="00086155" w:rsidP="00086155">
      <w:pPr>
        <w:ind w:firstLine="720"/>
      </w:pPr>
      <w:r w:rsidRPr="009867C1">
        <w:t xml:space="preserve">The first objective of this study was to characterize riparian soil fungal communities on the central coast of BC. </w:t>
      </w:r>
      <w:r w:rsidR="002944AE">
        <w:t>I was</w:t>
      </w:r>
      <w:r w:rsidRPr="009867C1">
        <w:t xml:space="preserve"> able to identify to genus approximately 40% of ASVs</w:t>
      </w:r>
      <w:r w:rsidR="00000847">
        <w:t>, and</w:t>
      </w:r>
      <w:r w:rsidRPr="009867C1">
        <w:t xml:space="preserve"> this </w:t>
      </w:r>
      <w:r w:rsidR="00000847">
        <w:t>demonstrates</w:t>
      </w:r>
      <w:r w:rsidRPr="009867C1">
        <w:t xml:space="preserve"> that there is still significant uncharacterized fungal diversity in these soils. ITS and SSU sequencing was intended to characterize the ectomycorrhizal and arbuscular mycorrhizal fungal communities respectively; </w:t>
      </w:r>
      <w:r w:rsidR="002944AE">
        <w:t>the</w:t>
      </w:r>
      <w:r w:rsidRPr="009867C1">
        <w:t xml:space="preserve"> ten-fold higher read count for ITS sequences supports </w:t>
      </w:r>
      <w:r w:rsidR="002944AE">
        <w:t>the</w:t>
      </w:r>
      <w:r w:rsidRPr="009867C1">
        <w:t xml:space="preserve"> hypothesis that these sites are dominated by ectomycorrhizal fungi and their associated plant hosts (western hemlock, Sitka spruce, </w:t>
      </w:r>
      <w:r w:rsidR="00E37D42">
        <w:t>a</w:t>
      </w:r>
      <w:r w:rsidRPr="009867C1">
        <w:t>mabilis fir). This is despite the presence of relatively common arbuscular mycorrhizal plants, such as salmonberry, most herbs, and cedar. Ericoid fungi (the order Heliotales, among others) were also well represented, reflecting the acidic nature of the soils and the understory dominance by blueberry, huckleberry (</w:t>
      </w:r>
      <w:r w:rsidRPr="009867C1">
        <w:rPr>
          <w:i/>
        </w:rPr>
        <w:t xml:space="preserve">Vaccinium </w:t>
      </w:r>
      <w:r w:rsidRPr="001043A7">
        <w:rPr>
          <w:iCs/>
        </w:rPr>
        <w:t>sp</w:t>
      </w:r>
      <w:r w:rsidR="001043A7">
        <w:rPr>
          <w:iCs/>
        </w:rPr>
        <w:t>p</w:t>
      </w:r>
      <w:r w:rsidRPr="001043A7">
        <w:rPr>
          <w:iCs/>
        </w:rPr>
        <w:t>.</w:t>
      </w:r>
      <w:r w:rsidRPr="009867C1">
        <w:t>) and false azalea (</w:t>
      </w:r>
      <w:r w:rsidRPr="009867C1">
        <w:rPr>
          <w:i/>
        </w:rPr>
        <w:t>Rhododendron menziesii</w:t>
      </w:r>
      <w:r w:rsidRPr="009867C1">
        <w:t>).</w:t>
      </w:r>
      <w:r w:rsidR="008B5F29">
        <w:t xml:space="preserve"> </w:t>
      </w:r>
    </w:p>
    <w:p w14:paraId="729DDBAC" w14:textId="77777777" w:rsidR="00086155" w:rsidRPr="009867C1" w:rsidRDefault="00086155" w:rsidP="00086155">
      <w:pPr>
        <w:pStyle w:val="Heading4"/>
      </w:pPr>
      <w:bookmarkStart w:id="160" w:name="_Toc99385463"/>
      <w:r w:rsidRPr="009867C1">
        <w:t>Responses to MDN</w:t>
      </w:r>
      <w:bookmarkEnd w:id="160"/>
    </w:p>
    <w:p w14:paraId="2D015730" w14:textId="3262A71C" w:rsidR="00086155" w:rsidRPr="009867C1" w:rsidRDefault="008B5F29" w:rsidP="00086155">
      <w:pPr>
        <w:pStyle w:val="Heading5"/>
      </w:pPr>
      <w:bookmarkStart w:id="161" w:name="_Toc99385464"/>
      <w:r>
        <w:t>Relative abundance</w:t>
      </w:r>
      <w:bookmarkEnd w:id="161"/>
      <w:r>
        <w:t xml:space="preserve"> </w:t>
      </w:r>
    </w:p>
    <w:p w14:paraId="277A9019" w14:textId="6D40A0D4" w:rsidR="00086155" w:rsidRPr="009867C1" w:rsidRDefault="00DA44BB" w:rsidP="00086155">
      <w:pPr>
        <w:ind w:firstLine="720"/>
      </w:pPr>
      <w:r>
        <w:t xml:space="preserve">I </w:t>
      </w:r>
      <w:r w:rsidR="00086155" w:rsidRPr="009867C1">
        <w:t xml:space="preserve">found saprobic fungal community did not respond to the salmon density gradient, leading </w:t>
      </w:r>
      <w:r>
        <w:t>me</w:t>
      </w:r>
      <w:r w:rsidR="00086155" w:rsidRPr="009867C1">
        <w:t xml:space="preserve"> to reject </w:t>
      </w:r>
      <w:r>
        <w:t>the</w:t>
      </w:r>
      <w:r w:rsidR="00086155" w:rsidRPr="009867C1">
        <w:t xml:space="preserve"> second hypothesis that saprotrophs would respond negatively to MDN addition. Instead, the higher saprobe abundance in forest floors than organic soil and the importance of cedar reflects changes in nutrient cycling driven by tree species </w:t>
      </w:r>
      <w:r w:rsidR="00086155" w:rsidRPr="009867C1">
        <w:fldChar w:fldCharType="begin"/>
      </w:r>
      <w:r w:rsidR="00AC0205">
        <w:instrText xml:space="preserve"> ADDIN ZOTERO_ITEM CSL_CITATION {"citationID":"uRY7O3yf","properties":{"formattedCitation":"(Prescott &amp; Grayston, 2013)","plainCitation":"(Prescott &amp; Grayston, 2013)","noteIndex":0},"citationItems":[{"id":194,"uris":["http://zotero.org/users/2189142/items/JKMR8VK5"],"itemData":{"id":194,"type":"article-journal","abstract":"Microbial communities in litter and soil are the functional link through which the tree species occupying a site may alter rates of soil processes fundamental to nutrient cycling and carbon flux. Through differences in the nature of their litter, their mycorrhizal fungal associates and the exudates they release into the rhizo/mycorrhizosphere, different tree species may give rise to distinct microbial communities in litter and soil. We examine the evidence that tree species influence the composition of the microbial communities in decomposing litter, forest floors, soil and the rhizo/mycorrhizosphere. The microbial communities considered in this review include bacteria, archaea, fungi and both free-living and symbiotic organisms. There is evidence that distinct microbial communities develop on decomposing leaf litters of different tree species, however, given the well-documented succession of microbes on decomposing litter, comparisons amongst tree species of microbial communities in litters and forest floors at the same stage of decay are needed to definitively deduce the influence of tree species. Distinct microbial communities have been reported in forest floors under different tree species; differences are most pronounced in the F layer. Distinctions in microbial communities in mineral soil under different tree species have been determined in several common garden experiments. The main factors associated with differences in microbial communities in litter, forest floors and soil are the pH and base cation content of the litter and whether the trees are broadleaf or coniferous. Identified differences in microbial communities in the rhizospheres of different tree species are more likely to be differences in the mycorrhizospheres and hyphospheres, given the predominance of associations with mycorrhizal fungi. Distinct microbial communities have been identified in the mycorrhizosphere under different tree species; these are influenced both by the tree species and by the mycorrhizal fungi with which the tree associates. Heightened attention during sampling to ensure comparison of ‘like with like’ could improve our ability to distinguish influence of tree species in decomposing litter, forest floors and soil. A significant remaining challenge is characterizing exudates from different tree-mycorrhizal fungi associations and understanding interactions between mycorrhizal fungi and microbial communities in the hyphosphere. A complete tapestry of the linkages between tree species and soil microbial communities requires that we also weave in the effects of soil fauna.","collection-title":"Influence of tree species on forest soils: New evidence from field studies","container-title":"Forest Ecology and Management","DOI":"10.1016/j.foreco.2013.02.034","ISSN":"0378-1127","journalAbbreviation":"Forest Ecology and Management","page":"19-27","source":"ScienceDirect","title":"Tree species influence on microbial communities in litter and soil: Current knowledge and research needs","title-short":"Tree species influence on microbial communities in litter and soil","volume":"309","author":[{"family":"Prescott","given":"Cindy"},{"family":"Grayston","given":"Sue J."}],"issued":{"date-parts":[["2013",12,1]]},"citation-key":"prescott_2013a"}}],"schema":"https://github.com/citation-style-language/schema/raw/master/csl-citation.json"} </w:instrText>
      </w:r>
      <w:r w:rsidR="00086155" w:rsidRPr="009867C1">
        <w:fldChar w:fldCharType="separate"/>
      </w:r>
      <w:r w:rsidR="0042141C" w:rsidRPr="009867C1">
        <w:t>(Prescott &amp; Grayston, 2013)</w:t>
      </w:r>
      <w:r w:rsidR="00086155" w:rsidRPr="009867C1">
        <w:fldChar w:fldCharType="end"/>
      </w:r>
      <w:r w:rsidR="00086155" w:rsidRPr="009867C1">
        <w:t xml:space="preserve">. </w:t>
      </w:r>
      <w:r>
        <w:t>I</w:t>
      </w:r>
      <w:r w:rsidR="00086155" w:rsidRPr="009867C1">
        <w:t xml:space="preserve"> found some positive correlations between symbiotrophs and MDN</w:t>
      </w:r>
      <w:r w:rsidR="006A3839">
        <w:t xml:space="preserve"> among SSU sequences</w:t>
      </w:r>
      <w:r w:rsidR="00086155" w:rsidRPr="009867C1">
        <w:t xml:space="preserve">, agreeing with our hypothesis that symbiotrophs would respond to resource subsidies and their proximity. </w:t>
      </w:r>
      <w:r w:rsidR="006A3839">
        <w:t>Symbiotrophs showed</w:t>
      </w:r>
      <w:r w:rsidR="00086155" w:rsidRPr="009867C1">
        <w:t xml:space="preserve"> </w:t>
      </w:r>
      <w:r w:rsidR="006A3839">
        <w:t>a</w:t>
      </w:r>
      <w:r w:rsidR="00086155" w:rsidRPr="009867C1">
        <w:t xml:space="preserve"> maxima between 0 and 40 kg·salmon·m</w:t>
      </w:r>
      <w:r w:rsidR="00086155" w:rsidRPr="009867C1">
        <w:rPr>
          <w:vertAlign w:val="superscript"/>
        </w:rPr>
        <w:t>-1</w:t>
      </w:r>
      <w:r w:rsidR="00086155" w:rsidRPr="009867C1">
        <w:t>·yr</w:t>
      </w:r>
      <w:r w:rsidR="00086155" w:rsidRPr="009867C1">
        <w:rPr>
          <w:vertAlign w:val="superscript"/>
        </w:rPr>
        <w:t>-1</w:t>
      </w:r>
      <w:r w:rsidR="00086155" w:rsidRPr="009867C1">
        <w:t>, corresponding to nitrogen inputs in amounts approximately equal to that experimentally determined to be most beneficial to tree growth</w:t>
      </w:r>
      <w:r w:rsidR="00AC4652">
        <w:t xml:space="preserve"> </w:t>
      </w:r>
      <w:r w:rsidR="003D12C7">
        <w:t>(~200 kg</w:t>
      </w:r>
      <w:r w:rsidR="001043A7">
        <w:t xml:space="preserve"> </w:t>
      </w:r>
      <w:r w:rsidR="003D12C7">
        <w:t>ha</w:t>
      </w:r>
      <w:r w:rsidR="003D12C7" w:rsidRPr="003D12C7">
        <w:rPr>
          <w:vertAlign w:val="superscript"/>
        </w:rPr>
        <w:t>-1</w:t>
      </w:r>
      <w:r w:rsidR="003D12C7">
        <w:t>yr</w:t>
      </w:r>
      <w:r w:rsidR="003D12C7" w:rsidRPr="003D12C7">
        <w:rPr>
          <w:vertAlign w:val="superscript"/>
        </w:rPr>
        <w:t>-1</w:t>
      </w:r>
      <w:r w:rsidR="003D12C7">
        <w:t xml:space="preserve">) </w:t>
      </w:r>
      <w:r w:rsidR="003D12C7">
        <w:fldChar w:fldCharType="begin"/>
      </w:r>
      <w:r w:rsidR="00AC0205">
        <w:instrText xml:space="preserve"> ADDIN ZOTERO_ITEM CSL_CITATION {"citationID":"Qt8DzZft","properties":{"formattedCitation":"(Reid et al., 2017)","plainCitation":"(Reid et al., 2017)","noteIndex":0},"citationItems":[{"id":57,"uris":["http://zotero.org/users/2189142/items/RYFYW3ZF"],"itemData":{"id":57,"type":"article-journal","container-title":"Technical Report-Ministry of Forests, Lands and Natural Resource Operations, British Columbia","issue":"111","note":"publisher: BC Ministry of Forests, Lands and Natural Resource Operations","source":"Google Scholar","title":"A systematic review of forest fertilization research in interior British Columbia.","author":[{"family":"Reid","given":"Anya"},{"family":"Montigny","given":"L.","dropping-particle":"de"},{"family":"Prescott","given":"Cindy"},{"family":"Sajedi","given":"Toktam"}],"issued":{"date-parts":[["2017"]]},"citation-key":"reid_2017"}}],"schema":"https://github.com/citation-style-language/schema/raw/master/csl-citation.json"} </w:instrText>
      </w:r>
      <w:r w:rsidR="003D12C7">
        <w:fldChar w:fldCharType="separate"/>
      </w:r>
      <w:r w:rsidR="003D12C7" w:rsidRPr="003D12C7">
        <w:t>(Reid et al., 2017)</w:t>
      </w:r>
      <w:r w:rsidR="003D12C7">
        <w:fldChar w:fldCharType="end"/>
      </w:r>
      <w:r w:rsidR="00086155" w:rsidRPr="009867C1">
        <w:t xml:space="preserve">. Describing these associations was hampered by small within-site sample size, nonlinear relationships, and high leverage generated by the gap in data between high-salmon sites Neekas and Clatse and the rest of the data. SSU symbiotrophs also responded positively to MDN addition; to the degree that SSU sequences are representative of arbuscular mycorrhizal fungi, this may reflect changes along MDN gradients in plant community from nitrogen-poor (and ericoid/ectomycorrizal) to nitrogen-rich (and arbuscular mycorrhizal) fungal assemblages </w:t>
      </w:r>
      <w:r w:rsidR="00086155" w:rsidRPr="009867C1">
        <w:fldChar w:fldCharType="begin"/>
      </w:r>
      <w:r w:rsidR="00AC0205">
        <w:instrText xml:space="preserve"> ADDIN ZOTERO_ITEM CSL_CITATION {"citationID":"oVwLAnn9","properties":{"formattedCitation":"(Hocking &amp; Reynolds, 2011)","plainCitation":"(Hocking &amp; Reynolds, 2011)","noteIndex":0},"citationItems":[{"id":550,"uris":["http://zotero.org/users/2189142/items/JR362H46"],"itemData":{"id":550,"type":"article-journal","abstract":"The study of natural gradients in nutrient subsidies between ecosystems allows for predictions of how changes in one system can affect biodiversity in another. We performed a large-scale empirical test of the role of Pacific salmon (Oncorhynchus spp.) in structuring riparian plant communities. A comparison of 50 watersheds in the remote Great Bear Rainforest of British Columbia’s central coast in Canada shows that salmon influence nutrient loading to plants, shifting plant communities toward nutrient-rich species, which in turn decreases plant diversity. These effects are mediated by interactions between salmon density and the physical characteristics of watersheds. Predicting how salmon affect terrestrial ecosystems is central to conservation plans that aim to better integrate ecosystem values into resource management.","container-title":"Science","DOI":"10.1126/science.1201079","ISSN":"0036-8075, 1095-9203","issue":"6024","journalAbbreviation":"Science","language":"en","note":"PMID: 21442794","page":"1609-1612","source":"www.sciencemag.org.ezproxy.library.ubc.ca","title":"Impacts of Salmon on Riparian Plant Diversity","volume":"331","author":[{"family":"Hocking","given":"Morgan D."},{"family":"Reynolds","given":"John D."}],"issued":{"date-parts":[["2011",3,25]]},"citation-key":"hocking_2011"}}],"schema":"https://github.com/citation-style-language/schema/raw/master/csl-citation.json"} </w:instrText>
      </w:r>
      <w:r w:rsidR="00086155" w:rsidRPr="009867C1">
        <w:fldChar w:fldCharType="separate"/>
      </w:r>
      <w:r w:rsidR="0042141C" w:rsidRPr="009867C1">
        <w:t>(Hocking &amp; Reynolds, 2011)</w:t>
      </w:r>
      <w:r w:rsidR="00086155" w:rsidRPr="009867C1">
        <w:fldChar w:fldCharType="end"/>
      </w:r>
      <w:r w:rsidR="00086155" w:rsidRPr="009867C1">
        <w:t xml:space="preserve">. </w:t>
      </w:r>
    </w:p>
    <w:p w14:paraId="5108AC81" w14:textId="77777777" w:rsidR="00086155" w:rsidRPr="009867C1" w:rsidRDefault="00086155" w:rsidP="00086155">
      <w:pPr>
        <w:pStyle w:val="Heading5"/>
      </w:pPr>
      <w:bookmarkStart w:id="162" w:name="_Toc99385465"/>
      <w:r w:rsidRPr="009867C1">
        <w:t>α-diversity</w:t>
      </w:r>
      <w:bookmarkEnd w:id="162"/>
    </w:p>
    <w:p w14:paraId="54CEA754" w14:textId="5DE8280E" w:rsidR="00086155" w:rsidRPr="009867C1" w:rsidRDefault="00086155" w:rsidP="00086155">
      <w:pPr>
        <w:ind w:firstLine="720"/>
      </w:pPr>
      <w:r w:rsidRPr="009867C1">
        <w:t xml:space="preserve">The first part of </w:t>
      </w:r>
      <w:r w:rsidR="00396A20">
        <w:t>my</w:t>
      </w:r>
      <w:r w:rsidRPr="009867C1">
        <w:t xml:space="preserve"> third hypothesis was that MDN addition would be associated with a decrease in α-diversity (species richness and Shannon diversity). </w:t>
      </w:r>
      <w:r w:rsidR="00617AF0">
        <w:t>The</w:t>
      </w:r>
      <w:r w:rsidRPr="009867C1">
        <w:t xml:space="preserve"> GLM analysis supported the opposite: ITS sequence showed significantly positive effects of MDN on α-diversity for all taxonomic groups, while SSU sequences showed no effect (</w:t>
      </w:r>
      <w:r w:rsidR="0000792E">
        <w:t>or even some support for</w:t>
      </w:r>
      <w:r w:rsidRPr="009867C1">
        <w:t xml:space="preserve"> a decline among saprobes). This is the opposite of established understanding that EMF species richness declines in response to N fertilization and atmospheric N deposition, while shifts to more nutrient-rich plant regimes are associated with higher AMF diversity </w:t>
      </w:r>
      <w:r w:rsidRPr="009867C1">
        <w:fldChar w:fldCharType="begin"/>
      </w:r>
      <w:r w:rsidR="00AC0205">
        <w:instrText xml:space="preserve"> ADDIN ZOTERO_ITEM CSL_CITATION {"citationID":"dygrJ9mi","properties":{"formattedCitation":"(Jones et al., 2012; Lilleskov et al., 2001, 2002; Wallenda &amp; Kottke, 1998)","plainCitation":"(Jones et al., 2012; Lilleskov et al., 2001, 2002; Wallenda &amp; Kottke, 1998)","noteIndex":0},"citationItems":[{"id":857,"uris":["http://zotero.org/users/2189142/items/H8XICVFM"],"itemData":{"id":857,"type":"article-journal","abstract":"Repeated fertilization aimed at maintaining optimal tree nutrition can produce substantial increases in timber volumes and shorten rotation times in lodgepole pine (Pinus contorta Dougl. ex Loud. var. latifolia Engelm.) stands in British Columbia. Intensive N enrichment of soil can alter belowground microbial communities, especially ectomycorrhizal fungi, with reduced ability to access organic nutrients; however, it is not known whether long-term application of balanced fertilizers has the same effect. Between 1996 and 2007, three P. contorta stands in central British Columbia, Canada, were exposed to three fertilizer treatments. Three 0.164 ha plots per site received no (controls), periodic (200 kg ha−1 N, plus P, K, S, Mg, and B every 6 years), or annual (same nutrients adjusted to maintain foliar N concentration at 1.3% and other nutrients in balance) fertilization. Ectomycorrhizal fungal communities were characterized from seven samples per plot by morphotyping, followed by direct sequencing of fungal ribosomal DNA. Activities of eight hydrolytic or oxidative enzymes were quantified in the mycorrhizospheres of the four dominant types of ectomycorrhizae per plot. Increased frequency of fertilization reduced taxonomic richness of the ectomycorrhizal fungal community on roots, and reduced the relative abundance of mycorrhizae formed by Suillus spp. and Cortinarius spp. The proportions of ectomycorrhizae formed by Piloderma spp. and Cenococcum spp. were not affected, and others were too spatially heterogeneous or too rare to evaluate. The activities of cellobiohydrolase, β-glucosidase, xylosidase, leucine amino peptidase and laccase associated with Piloderma and Cenococcum mycorrhizae increased under annual fertilization for at least one site. Enzyme activities of Cenococcum mycorrhizae were positively correlated with total soil N (P &amp;lt; 0.05), whereas those of Piloderma mycorrhizae were negatively correlated with pH (P &amp;lt; 0.05). In spite of treatment and site effects, the dominant influence on the enzyme profile of an ectomycorrhizal root was the fungal symbiont. We conclude that the shifts in species composition with fertilization did not reduce the ability of the ectomycorrhizal fungal community to degrade soil organic matter; hence, we do not expect this ecosystem service to be compromised by long-term optimal nutrition fertilization, especially if applied on a periodic basis.","collection-title":"Selected Papers from the 2011 Soil Ecology Society Conference","container-title":"Applied Soil Ecology","DOI":"10.1016/j.apsoil.2012.01.010","ISSN":"0929-1393","journalAbbreviation":"Applied Soil Ecology","page":"29-40","source":"ScienceDirect","title":"Functional responses of ectomycorrhizal fungal communities to long-term fertilization of lodgepole pine (Pinus contorta Dougl. ex Loud. var. latifolia Engelm.) stands in central British Columbia","volume":"60","author":[{"family":"Jones","given":"Melanie D."},{"family":"Phillips","given":"Lori Ann"},{"family":"Treu","given":"Roland"},{"family":"Ward","given":"Valerie"},{"family":"Berch","given":"Shannon M."}],"issued":{"date-parts":[["2012",9]]},"citation-key":"jones_2012"}},{"id":2337,"uris":["http://zotero.org/users/2189142/items/YFGMTR8J"],"itemData":{"id":2337,"type":"article-journal","container-title":"Ecological Applications","issue":"2","note":"publisher: Wiley Online Library","page":"397–410","source":"Google Scholar","title":"Ectomycorrhizal fungal aboveground community change over an atmospheric nitrogen deposition gradient","volume":"11","author":[{"family":"Lilleskov","given":"E. A."},{"family":"Fahey","given":"T. J."},{"family":"Lovett","given":"G. M."}],"issued":{"date-parts":[["2001"]]},"citation-key":"lilleskov_2001"}},{"id":1862,"uris":["http://zotero.org/users/2189142/items/JNF6RT5M"],"itemData":{"id":1862,"type":"article-journal","abstract":"• Ectomycorrhizal fungal species vary in their response to nitrogen (N) availability and ability to use organic N. We hypothesized that taxa dominant at sites with high soil inorganic N would be less likely to use organic N than taxa dominant at low soil inorganic N. We also asked whether these taxa differed in natural abundance of N isotopes. • Pure culture N use for taxa from an N deposition gradient in Alaska was examined and N isotopes of sporocarps, soils and foliage collected over this gradient were quantified. • Taxa common in low inorganic N soils grew on protein, glutamine and serine, whereas dominant taxa in high inorganic N soils grew on glutamine, but poorly on protein and serine. Sporocarp δ15N was highest in protein users, and lowest in nonprotein users. With increasing soil inorganic N, sporocarps became more isotopically enriched relative to foliage. • The importance of organic N use might decline with increasing N availability, although field tests are required. The relationship between organic N use and N isotopes also merits further study. However, sporocarp isotopic enrichment may be a useful indicator of soil N availability.","container-title":"New Phytologist","DOI":"10.1046/j.1469-8137.2002.00367.x","ISSN":"1469-8137","issue":"1","language":"en","note":"_eprint: https://onlinelibrary.wiley.com/doi/pdf/10.1046/j.1469-8137.2002.00367.x","page":"219-231","source":"Wiley Online Library","title":"Ectomycorrhizal fungal taxa differing in response to nitrogen deposition also differ in pure culture organic nitrogen use and natural abundance of nitrogen isotopes","volume":"154","author":[{"family":"Lilleskov","given":"Erik A."},{"family":"Hobbie","given":"Erik A."},{"family":"Fahey","given":"Timothy J."}],"issued":{"date-parts":[["2002"]]},"citation-key":"lilleskov_2002a"}},{"id":2338,"uris":["http://zotero.org/users/2189142/items/NQ939QV4"],"itemData":{"id":2338,"type":"article-journal","abstract":"As a result of increasing anthropogenic nitrogen deposition, N\navailability in many forest ecosystems, which are\nnormally N-limited, has been enhanced. We discuss the impacts of this\nincreased N availability on the\nectomycorrhizal (ECM) symbiosis which is generally regarded as an\nadaptation to nutrient limited conditions.\nNitrogen deposition can influence fruit-body formation by ECM fungi, the\nproduction and distribution of the\nextraradical mycelium in the soil and the formation of ectomycorrhizas.Available data from long-term N deposition studies indicate that the\nmost prominent effects might be\ndiscernible above-ground (i.e. on the formation of fruit bodies).\n‘Generalist’ species, forming a symbiosis with a\nwide range of tree species, seem to be less affected by increased N availability\nthan ‘specialist’ species, especially\nthose living in symbiosis with conifers. However, the importance of\nbelow-ground investigations to determine the\nimpacts of N deposition on the ECM symbiosis must not be underestimated.\nCulture experiments show an\noptimum N concentration for the formation of extraradical mycelium\nand mycorrhizas. Often, negative effects\nonly become visible at comparatively high N concentrations, but the\nuse of a few easily cultivated species of ECM\nfungi, which are adapted to higher N concentrations, undermines our ability\nto generalize.So far, N deposition experiments in the field have only shown minor\nchanges in the below-ground mycorrhizal\npopulation, as estimated from the investigation of mycorrhizal root tips.\nHowever, effects on the ECM mycelium,\nwhich is the main fungal component in terms of nutrient uptake, cannot\nbe\nexcluded and need further consideration.Because the photoassimilate supply from the plant to the fungal partner\nis crucial for the maintenance of the\nECM symbiosis, we discuss the possible physiological implications of\nincreasing N inputs on the allocation of C\nto the fungus. Together with ultrastructural changes, physiological effects\nmight precede obvious visible changes\nand might therefore be useful early indicators of negative impacts of\nincreasing N inputs on the ECM symbiosis.","container-title":"The New Phytologist","DOI":"10.1046/j.1469-8137.1998.00176.x","ISSN":"1469-8137, 0028-646X","issue":"1","language":"en","note":"publisher: Cambridge University Press","page":"169-187","source":"Cambridge University Press","title":"Nitrogen deposition and ectomycorrhizas","volume":"139","author":[{"family":"Wallenda","given":"Thomas"},{"family":"Kottke","given":"Ingrid"}],"issued":{"date-parts":[["1998",5]]},"citation-key":"wallenda_1998"}}],"schema":"https://github.com/citation-style-language/schema/raw/master/csl-citation.json"} </w:instrText>
      </w:r>
      <w:r w:rsidRPr="009867C1">
        <w:fldChar w:fldCharType="separate"/>
      </w:r>
      <w:r w:rsidR="002D4368" w:rsidRPr="002D4368">
        <w:t>(Jones et al., 2012; Lilleskov et al., 2001, 2002; Wallenda &amp; Kottke, 1998)</w:t>
      </w:r>
      <w:r w:rsidRPr="009867C1">
        <w:fldChar w:fldCharType="end"/>
      </w:r>
      <w:r w:rsidRPr="009867C1">
        <w:t>. This increase in diversity may reflect increased spatial- and temporal- heterogeneity created by salmon inputs, as well as increased photosynthate flux to roots and symbionts allowing plants to access a diversity of nutrient sources</w:t>
      </w:r>
      <w:r w:rsidRPr="009867C1">
        <w:rPr>
          <w:rStyle w:val="CommentReference"/>
        </w:rPr>
        <w:t>.</w:t>
      </w:r>
    </w:p>
    <w:p w14:paraId="16F632E3" w14:textId="7FE94F42" w:rsidR="00086155" w:rsidRPr="009867C1" w:rsidRDefault="00086155" w:rsidP="00086155">
      <w:pPr>
        <w:ind w:firstLine="720"/>
      </w:pPr>
      <w:r w:rsidRPr="009867C1">
        <w:t xml:space="preserve">The driving factors behind ITS symbiotroph </w:t>
      </w:r>
      <w:r w:rsidR="002D4368">
        <w:t>richness</w:t>
      </w:r>
      <w:r w:rsidRPr="009867C1">
        <w:t xml:space="preserve"> </w:t>
      </w:r>
      <w:r w:rsidR="001043A7">
        <w:t>were</w:t>
      </w:r>
      <w:r w:rsidRPr="009867C1">
        <w:t xml:space="preserve"> phosphorus</w:t>
      </w:r>
      <w:r w:rsidR="002D4368">
        <w:t xml:space="preserve"> and ammonium </w:t>
      </w:r>
      <w:r w:rsidRPr="009867C1">
        <w:t>(</w:t>
      </w:r>
      <w:r w:rsidRPr="009867C1">
        <w:fldChar w:fldCharType="begin"/>
      </w:r>
      <w:r w:rsidRPr="009867C1">
        <w:instrText xml:space="preserve"> REF _Ref63271437 \h </w:instrText>
      </w:r>
      <w:r w:rsidR="009867C1">
        <w:instrText xml:space="preserve"> \* MERGEFORMAT </w:instrText>
      </w:r>
      <w:r w:rsidRPr="009867C1">
        <w:fldChar w:fldCharType="separate"/>
      </w:r>
      <w:r w:rsidR="000667DB" w:rsidRPr="009867C1">
        <w:t xml:space="preserve">Figure </w:t>
      </w:r>
      <w:r w:rsidR="000667DB">
        <w:rPr>
          <w:noProof/>
        </w:rPr>
        <w:t>4</w:t>
      </w:r>
      <w:r w:rsidR="000667DB">
        <w:rPr>
          <w:noProof/>
        </w:rPr>
        <w:noBreakHyphen/>
        <w:t>9</w:t>
      </w:r>
      <w:r w:rsidRPr="009867C1">
        <w:fldChar w:fldCharType="end"/>
      </w:r>
      <w:r w:rsidRPr="009867C1">
        <w:t xml:space="preserve">). P is known to interact with N to impact microbial diversity, as shifting stochiometries of these two macronutrients select for or against different fungi based on their nutritional requirements </w:t>
      </w:r>
      <w:r w:rsidRPr="009867C1">
        <w:fldChar w:fldCharType="begin"/>
      </w:r>
      <w:r w:rsidR="00AC0205">
        <w:instrText xml:space="preserve"> ADDIN ZOTERO_ITEM CSL_CITATION {"citationID":"n93Ne2pg","properties":{"formattedCitation":"(Delgado\\uc0\\u8208{}Baquerizo et al., 2017)","plainCitation":"(Delgado‐Baquerizo et al., 2017)","noteIndex":0},"citationItems":[{"id":2632,"uris":["http://zotero.org/users/2189142/items/6H8EM62J"],"itemData":{"id":2632,"type":"article-journal","abstract":"It is well established that resource quantity and elemental stoichiometry play major roles in shaping below and aboveground plant biodiversity, but their importance for shaping microbial diversity in soil remains unclear. Here, we used statistical modeling on a regional database covering 179 locations and six ecosystem types across Scotland to evaluate the roles of total carbon (C), nitrogen (N) and phosphorus (P) availabilities and ratios, together with land use, climate and biotic and abiotic factors, in determining regional scale patterns of soil bacterial diversity. We found that bacterial diversity and composition were primarily driven by variation in soil resource stoichiometry (total C:N:P ratios), itself linked to different land uses, and secondarily driven by other important biodiversity drivers such as climate, soil spatial heterogeneity, soil pH, root influence (plant-soil microbe interactions) and microbial biomass (soil microbe-microbe interactions). In aggregate, these findings provide evidence that nutrient stoichiometry is a strong predictor of bacterial diversity and composition at a regional scale.","container-title":"Environmental Microbiology","DOI":"https://doi.org/10.1111/1462-2920.13642","ISSN":"1462-2920","issue":"3","language":"en","note":"_eprint: https://onlinelibrary.wiley.com/doi/pdf/10.1111/1462-2920.13642","page":"1176-1188","source":"Wiley Online Library","title":"It is elemental: soil nutrient stoichiometry drives bacterial diversity","title-short":"It is elemental","volume":"19","author":[{"family":"Delgado‐Baquerizo","given":"Manuel"},{"family":"Reich","given":"Peter B."},{"family":"Khachane","given":"Amit N."},{"family":"Campbell","given":"Colin D."},{"family":"Thomas","given":"Nadine"},{"family":"Freitag","given":"Thomas E."},{"family":"Al‐Soud","given":"Waleed Abu"},{"family":"Sørensen","given":"Søren"},{"family":"Bardgett","given":"Richard D."},{"family":"Singh","given":"Brajesh K."}],"issued":{"date-parts":[["2017"]]},"citation-key":"delgado-baquerizo_2017"}}],"schema":"https://github.com/citation-style-language/schema/raw/master/csl-citation.json"} </w:instrText>
      </w:r>
      <w:r w:rsidRPr="009867C1">
        <w:fldChar w:fldCharType="separate"/>
      </w:r>
      <w:r w:rsidR="0042141C" w:rsidRPr="009867C1">
        <w:t>(Delgado‐Baquerizo et al., 2017)</w:t>
      </w:r>
      <w:r w:rsidRPr="009867C1">
        <w:fldChar w:fldCharType="end"/>
      </w:r>
      <w:r w:rsidR="002D4368">
        <w:t xml:space="preserve">. </w:t>
      </w:r>
      <w:r w:rsidRPr="009867C1">
        <w:t xml:space="preserve">Of highest importance to ITS saprotroph </w:t>
      </w:r>
      <w:r w:rsidR="002D4368">
        <w:t>richness</w:t>
      </w:r>
      <w:r w:rsidRPr="009867C1">
        <w:t xml:space="preserve"> was manganese; manganese plays a role as a cofactor in lignin-decay enzymes of fungal origin and manganese limitation has been shown both to reduce decomposition rates in N-rich soils </w:t>
      </w:r>
      <w:r w:rsidRPr="009867C1">
        <w:fldChar w:fldCharType="begin"/>
      </w:r>
      <w:r w:rsidR="00AC0205">
        <w:instrText xml:space="preserve"> ADDIN ZOTERO_ITEM CSL_CITATION {"citationID":"T3EVRt7i","properties":{"formattedCitation":"(Berg et al., 2010; Whalen et al., 2018)","plainCitation":"(Berg et al., 2010; Whalen et al., 2018)","noteIndex":0},"citationItems":[{"id":80,"uris":["http://zotero.org/users/2189142/items/28BTINE6"],"itemData":{"id":80,"type":"article-journal","abstract":"We synthesized available data for decomposition of pine (Pinus) needle litter in pine forests to determine the litter chemical characteristics and climate factors that explained variation in the limit value, i.e. the level of accumulated mass loss at which the decomposition process either continues at a very low rate or possibly stops. Our data base included 56 separate studies on decomposition of pine needle litter, spanning Scots pine, lodgepole pine, Aleppo pine, stone pine and white pine, mainly incubated at the site of collection. Studies had 5 to 19 samplings, on average 10, and the decomposition was followed to a mass loss ranging from 47 to 83%, on average 67%. The periods from 3.0 to 5.4 years, on average 3.9 years, were of sufficient duration to allow estimates of limit values of decomposition. We used a linear mixed model with regression effects to relate limit values to potential explanatory variables, namely the sites’ long-term mean annual temperature (MAT) and mean annual precipitation (MAP) and to substrate-chemistry factors. Regarding the latter, we explored two models; one that included initial concentrations of water solubles, lignin, N, P, K, Ca, Mg, and Mn and one that included only lignin, N, Ca, and Mn to focus on those nutrients known to influence lignin degradation. Using backward elimination significant explanatory variables were determined. For litter decomposed in its site of origin we found the limit value to depend mainly on the initial concentration of Mn, with higher Mn concentrations resulting in higher accumulated mass loss. Thus, litter with higher Mn reached a higher limit value and left a smaller stable fraction. This is likely due to the fact that Mn is an essential component of ligninolytic enzymes important for degrading litter in the later stages of decomposition. Manganese has received little attention in decomposition studies to date. Given its significance in this synthesis, the role of Mn in influencing variation in the late stages of decomposition among ecosystems and among litters of other genera besides Pinus deserves further attention.","container-title":"Biogeochemistry","DOI":"10.1007/s10533-009-9404-y","ISSN":"1573-515X","issue":"1","journalAbbreviation":"Biogeochemistry","language":"en","page":"57-73","source":"Springer Link","title":"Factors influencing limit values for pine needle litter decomposition: a synthesis for boreal and temperate pine forest systems","title-short":"Factors influencing limit values for pine needle litter decomposition","volume":"100","author":[{"family":"Berg","given":"B."},{"family":"Davey","given":"M. P."},{"family":"De Marco","given":"A."},{"family":"Emmett","given":"B."},{"family":"Faituri","given":"M."},{"family":"Hobbie","given":"S. E."},{"family":"Johansson","given":"M.-B."},{"family":"Liu","given":"C."},{"family":"McClaugherty","given":"C."},{"family":"Norell","given":"L."},{"family":"Rutigliano","given":"F. A."},{"family":"Vesterdal","given":"L."},{"family":"Virzo De Santo","given":"A."}],"issued":{"date-parts":[["2010",9,1]]},"citation-key":"berg_2010"}},{"id":2297,"uris":["http://zotero.org/users/2189142/items/RU9895NL"],"itemData":{"id":2297,"type":"article-journal","abstract":"Long-term atmospheric nitrogen (N) deposition has been shown to reduce leaf litter and lignin decomposition in temperate forest soils, leading to an accumulation of soil carbon (C). Reduced decomposition has been accompanied by altered structure and function of fungal communities, the primary decomposers in forest ecosystems; however, a mechanistic understanding of fungal responses to chronic N enrichment is lacking. A reduction in soil and litter manganese (Mn) concentrations under N enrichment (i.e., Mn limitation) may help explain these observations, because Mn is a cofactor and regulator of lignin-decay enzymes produced by fungi. We conducted a laboratory study to evaluate the effect of Mn availability on decomposition dynamics in chronically N-enriched soils. We measured litter mass loss, lignin relative abundance, and lignin-decay enzyme activities, and characterized the litter fungal community by ITS2 metabarcoding. We observed a significant positive correlation between Mn availability and lignin-decay enzyme activities. In addition, long-term (28 years) N enrichment increased the relative abundance of ‘weak’ decomposers (e.g., yeasts), but this response was reversed with Mn amendment, suggesting that higher Mn availability may promote fungal communities better adapted to decompose lignin. We conclude that Mn limitation may represent a mechanism to explain shifts in fungal communities, reduced litter decomposition, and increased soil C accumulation under long-term atmospheric N deposition.","container-title":"Soil Biology and Biochemistry","DOI":"10.1016/j.soilbio.2018.09.025","ISSN":"00380717","journalAbbreviation":"Soil Biology and Biochemistry","language":"en","page":"252-263","source":"DOI.org (Crossref)","title":"Manganese limitation as a mechanism for reduced decomposition in soils under atmospheric nitrogen deposition","volume":"127","author":[{"family":"Whalen","given":"Emily D."},{"family":"Smith","given":"Richard G."},{"family":"Grandy","given":"A. Stuart"},{"family":"Frey","given":"Serita D."}],"issued":{"date-parts":[["2018",12]]},"citation-key":"whalen_2018"}}],"schema":"https://github.com/citation-style-language/schema/raw/master/csl-citation.json"} </w:instrText>
      </w:r>
      <w:r w:rsidRPr="009867C1">
        <w:fldChar w:fldCharType="separate"/>
      </w:r>
      <w:r w:rsidR="0042141C" w:rsidRPr="009867C1">
        <w:t>(Berg et al., 2010; Whalen et al., 2018)</w:t>
      </w:r>
      <w:r w:rsidRPr="009867C1">
        <w:fldChar w:fldCharType="end"/>
      </w:r>
      <w:r w:rsidRPr="009867C1">
        <w:t xml:space="preserve"> and increase soil organic matter </w:t>
      </w:r>
      <w:r w:rsidRPr="009867C1">
        <w:fldChar w:fldCharType="begin"/>
      </w:r>
      <w:r w:rsidR="00AC0205">
        <w:instrText xml:space="preserve"> ADDIN ZOTERO_ITEM CSL_CITATION {"citationID":"Flylrhex","properties":{"formattedCitation":"(Kranabetter, 2019; Stendahl et al., 2017)","plainCitation":"(Kranabetter, 2019; Stendahl et al., 2017)","noteIndex":0},"citationItems":[{"id":1577,"uris":["http://zotero.org/users/2189142/items/YWFNN8JM"],"itemData":{"id":1577,"type":"article-journal","abstract":"Forest floor carbon (C) sequestration has been negatively correlated with manganese (Mn) availability, possibly due to reduced efficacy of Mn-peridoxase enzymes produced by Agaricomycete fungi. I examined a soil C and Mn dataset from a podzolization gradient, along with fungal sporocarp Mn concentrations, to potentially corroborate this finding. An inverse power relationship between soil C and soil Mn content across temperate rainforests was confirmed, which provides further evidence of a Mn bottleneck in C turnover. Average Mn concentrations of saprotrophic sporocarps were greater than those of ectomycorrhizal fungi, and displayed a similar inverse correlation with increasing soil C. The absence or limited effectiveness of select saprotrophic fungi across Mn-depleted forest soils may be one mechanism behind impeded turnover of recalcitrant organic matter.","container-title":"Soil Biology and Biochemistry","DOI":"10.1016/j.soilbio.2018.11.001","ISSN":"0038-0717","journalAbbreviation":"Soil Biology and Biochemistry","language":"en","page":"179-181","source":"ScienceDirect","title":"Increasing soil carbon content with declining soil manganese in temperate rainforests: is there a link to fungal Mn?","title-short":"Increasing soil carbon content with declining soil manganese in temperate rainforests","volume":"128","author":[{"family":"Kranabetter","given":"J. M."}],"issued":{"date-parts":[["2019",1,1]]},"citation-key":"kranabetter_2019a"}},{"id":2298,"uris":["http://zotero.org/users/2189142/items/NN8PURNY"],"itemData":{"id":2298,"type":"article-journal","abstract":"Carbon sequestration below ground depends on organic matter input and decomposition, but regulatory bottlenecks remain unclear. The relative importance of plant production, climate and edaphic factors has to be elucidated to better predict carbon storage in forests. In Swedish forest soil inventory data from across the entire boreal latitudinal range (n = 2378), the concentration of exchangeable manganese was singled out as the strongest predictor (R2 = 0.26) of carbon storage in the extensive organic horizon (mor layer), which accounts for one third of the total below ground carbon. In comparison, established ecosystem models applied on the same data have failed to predict carbon stocks (R2 &lt; 0.05), and in our study manganese availability overshadowed both litter production and climatic factors. We also identified exchangeable potassium as an additional strong predictor, however strongly correlated with manganese. The negative correlation between manganese and carbon highlights the importance of Mn-peroxidases in oxidative decomposition of recalcitrant organic matter. The results support the idea that the fungus-driven decomposition could be a critical factor regulating humus carbon accumulation in boreal forests, as Mn-peroxidases are specifically produced by basidiomycetes.","container-title":"Scientific Reports","DOI":"10.1038/s41598-017-15801-y","ISSN":"2045-2322","issue":"1","language":"en","note":"number: 1\npublisher: Nature Publishing Group","page":"15487","source":"www-nature-com.ezproxy.library.ubc.ca","title":"Manganese availability is negatively associated with carbon storage in northern coniferous forest humus layers","volume":"7","author":[{"family":"Stendahl","given":"Johan"},{"family":"Berg","given":"Björn"},{"family":"Lindahl","given":"Björn D."}],"issued":{"date-parts":[["2017",11,14]]},"citation-key":"stendahl_2017"}}],"schema":"https://github.com/citation-style-language/schema/raw/master/csl-citation.json"} </w:instrText>
      </w:r>
      <w:r w:rsidRPr="009867C1">
        <w:fldChar w:fldCharType="separate"/>
      </w:r>
      <w:r w:rsidR="0042141C" w:rsidRPr="009867C1">
        <w:t>(Kranabetter, 2019; Stendahl et al., 2017)</w:t>
      </w:r>
      <w:r w:rsidRPr="009867C1">
        <w:fldChar w:fldCharType="end"/>
      </w:r>
      <w:r w:rsidRPr="009867C1">
        <w:t xml:space="preserve">.  </w:t>
      </w:r>
    </w:p>
    <w:p w14:paraId="7E0ADB1E" w14:textId="77777777" w:rsidR="00086155" w:rsidRPr="009867C1" w:rsidRDefault="00086155" w:rsidP="00086155">
      <w:pPr>
        <w:pStyle w:val="Heading5"/>
      </w:pPr>
      <w:bookmarkStart w:id="163" w:name="_Toc99385466"/>
      <w:r w:rsidRPr="009867C1">
        <w:t>Phylogenetic dispersion</w:t>
      </w:r>
      <w:bookmarkEnd w:id="163"/>
    </w:p>
    <w:p w14:paraId="018517FF" w14:textId="7D496718" w:rsidR="00086155" w:rsidRPr="009867C1" w:rsidRDefault="00086155" w:rsidP="00086155">
      <w:pPr>
        <w:tabs>
          <w:tab w:val="left" w:pos="826"/>
        </w:tabs>
      </w:pPr>
      <w:r w:rsidRPr="009867C1">
        <w:tab/>
        <w:t xml:space="preserve">The second half of </w:t>
      </w:r>
      <w:r w:rsidR="004345FC">
        <w:t>my</w:t>
      </w:r>
      <w:r w:rsidRPr="009867C1">
        <w:t xml:space="preserve"> third hypothesis was that phylogenetic dispersion would increase along MDN gradients. </w:t>
      </w:r>
      <w:r w:rsidR="00F776BC" w:rsidRPr="009867C1">
        <w:t xml:space="preserve">In general, </w:t>
      </w:r>
      <w:r w:rsidR="00617AF0">
        <w:t>the</w:t>
      </w:r>
      <w:r w:rsidR="00F776BC" w:rsidRPr="009867C1">
        <w:t xml:space="preserve"> sites were underdispersed relative to random assortment, indicating dispersal limitation and/or spatial structuring of these communities </w:t>
      </w:r>
      <w:r w:rsidR="00F776BC" w:rsidRPr="009867C1">
        <w:fldChar w:fldCharType="begin"/>
      </w:r>
      <w:r w:rsidR="00AC0205">
        <w:instrText xml:space="preserve"> ADDIN ZOTERO_ITEM CSL_CITATION {"citationID":"jJKytUiP","properties":{"formattedCitation":"(Golan &amp; Pringle, 2017; Horton, 2017)","plainCitation":"(Golan &amp; Pringle, 2017; Horton, 2017)","noteIndex":0},"citationItems":[{"id":10069,"uris":["http://zotero.org/users/2189142/items/IUER4LXR"],"itemData":{"id":10069,"type":"chapter","abstract":"The relative degree to which organisms move is a process operating at multiple temporal and physical scales (1). In recent years dispersal has received a great deal of attention in fields ranging from mathematics and physics to ecology and molecular biology, but only a patchy framework exists to explain dispersal over very large distances. Modeling patterns of long-distance dispersal (LDD) among macroorganisms, ranging from vertebrates and flying insects to seed plants, appears tractable, but documenting the geographic distributions and dispersal dynamics of microscopic propagules and microbes presents multiple theoretical and methodological challenges (2 – 4). The majority of empirical research directly measuring the dispersal of microbes or microscopic propagules is restricted to relatively short distances, and tracking dispersal at greater spatial scales involves mathematical or genetic models, e.g., in studies of moss (5 – 9), ferns (10 – 13), bacteria (14 – 19), and fungi (19 – 23). However, fitting dispersal data (e.g., from the tracking of spore movement) to mathematical functions often over- or underestimates LDD and imprecisely describes the trajectory of spore movement across large distances (24 – 28). Inferences based on population genetics data capture rare instances of successful LDD but incompletely describe underlying demographic processes and typically cannot speak to mechanisms of LDD (1). Besides the limitations of mathematical and genetic methods, important details about the natural history of species are often ignored or remain unknown, leaving many questions unanswered, including, e.g., how ephemeral propagules remain viable while exposed to harsh environments over extended periods of time.","container-title":"The Fungal Kingdom","ISBN":"978-1-68367-082-7","language":"en","note":"section: 14\n_eprint: https://onlinelibrary.wiley.com/doi/pdf/10.1128/9781555819583.ch14\nDOI: 10.1128/9781555819583.ch14","page":"309-333","publisher":"John Wiley &amp; Sons, Ltd","source":"Wiley Online Library","title":"Long-Distance Dispersal of Fungi","URL":"https://onlinelibrary.wiley.com/doi/abs/10.1128/9781555819583.ch14","author":[{"family":"Golan","given":"Jacob J."},{"family":"Pringle","given":"Anne"}],"accessed":{"date-parts":[["2021",6,8]]},"issued":{"date-parts":[["2017"]]},"citation-key":"golan_2017"}},{"id":10068,"uris":["http://zotero.org/users/2189142/items/MLM26QHX"],"itemData":{"id":10068,"type":"chapter","abstract":"The influence of life history traits on the dispersal of ectomycorrhizal (EcM) fungi is reviewed. Spores are liberated from aboveground (epigeous) sporocarps through either ballistosporic discharge down to the ground (Basidiomycota) or bursting of asci up into the air (Ascomycota). Recent studies have shown that many spores fall close to the source sporocarp, increasing the probability of germinants coming into contact with compatible host roots and mating types but also potential competitors. Spores of both Ascomycota and Basidiomycota are also transported via wind, becoming increasingly diffuse with distance. Ascospores can establish new individuals from single spores as homokaryons, but a diffuse spore rain can reduce the chance for establishing dikaryons in new locations for Basidiomycota. Spores dispersed via mycophagist animals (hypogeous fungi, but also epigeous fungi such as Suillus) are transported to new locations in fecal material that can contain millions of spores and abundant compatible mating types. A few species in Suillus and Laccaria/Hydnagium are known to produce dikaryotic spores that can establish new individuals from single spores. Some species produce dormant sexual spores (Rhizopogon) or asexual chlamydospores (Wilcoxina) and sclerotia (Cenococcum). These propagules can build up over time as a resistant propagule bank in soils. Fungi that produce dormant propagules contribute to EcM success in early successional settings and help these fungi coinvade new locations with their hosts.","collection-title":"Ecological Studies","container-title":"Biogeography of Mycorrhizal Symbiosis","event-place":"Cham","ISBN":"978-3-319-56363-3","language":"en","note":"DOI: 10.1007/978-3-319-56363-3_3","page":"61-78","publisher":"Springer International Publishing","publisher-place":"Cham","source":"Springer Link","title":"Spore Dispersal in Ectomycorrhizal Fungi at Fine and Regional Scales","URL":"https://doi.org/10.1007/978-3-319-56363-3_3","author":[{"family":"Horton","given":"Thomas R."}],"editor":[{"family":"Tedersoo","given":"Leho"}],"accessed":{"date-parts":[["2021",6,8]]},"issued":{"date-parts":[["2017"]]},"citation-key":"horton_2017"}}],"schema":"https://github.com/citation-style-language/schema/raw/master/csl-citation.json"} </w:instrText>
      </w:r>
      <w:r w:rsidR="00F776BC" w:rsidRPr="009867C1">
        <w:fldChar w:fldCharType="separate"/>
      </w:r>
      <w:r w:rsidR="00F776BC" w:rsidRPr="009867C1">
        <w:t>(Golan &amp; Pringle, 2017; Horton, 2017)</w:t>
      </w:r>
      <w:r w:rsidR="00F776BC" w:rsidRPr="009867C1">
        <w:fldChar w:fldCharType="end"/>
      </w:r>
      <w:r w:rsidR="00F776BC" w:rsidRPr="009867C1">
        <w:t xml:space="preserve">. </w:t>
      </w:r>
      <w:r w:rsidR="00F776BC">
        <w:t xml:space="preserve">I found that salmon inputs increased PDI </w:t>
      </w:r>
      <w:r w:rsidR="004345FC">
        <w:t xml:space="preserve">amongst ‘all taxa’, but not among either symbiotrophs or saprotrophs </w:t>
      </w:r>
      <w:r w:rsidR="00F776BC">
        <w:t xml:space="preserve">sequences </w:t>
      </w:r>
      <w:r w:rsidR="004345FC">
        <w:t>alone. This indicates that it is driven by</w:t>
      </w:r>
      <w:r w:rsidR="00F776BC">
        <w:t xml:space="preserve"> fungi of unidentified trophic modes. </w:t>
      </w:r>
      <w:r w:rsidR="0023594E">
        <w:t>In another study at these sites, i</w:t>
      </w:r>
      <w:r w:rsidRPr="009867C1">
        <w:t xml:space="preserve">ncreased dispersion with MDN subsidy was found in a dataset of 60 plant species collected at these sites, where salmon density was associated with greater phylogenetic dispersion and reduced plant species richness </w:t>
      </w:r>
      <w:r w:rsidRPr="009867C1">
        <w:fldChar w:fldCharType="begin"/>
      </w:r>
      <w:r w:rsidR="00AC0205">
        <w:instrText xml:space="preserve"> ADDIN ZOTERO_ITEM CSL_CITATION {"citationID":"9ymRD1oc","properties":{"formattedCitation":"(Hurteau et al., 2016)","plainCitation":"(Hurteau et al., 2016)","noteIndex":0},"citationItems":[{"id":798,"uris":["http://zotero.org/users/2189142/items/PERQ85X5"],"itemData":{"id":798,"type":"article-journal","abstract":"A signature of nonrandom phylogenetic community structure has been interpreted as indicating community assembly processes. Significant clustering within the phylogenetic structure of a community can be caused by habitat filtering due to low nutrient availability. Nutrient limitation in temperate Pacific coastal rainforests can be alleviated to some extent by marine nutrient subsidies introduced by migrating salmon, which leave a quantitative signature on the makeup of plant communities near spawning streams. Thus, nutrient-mediated habitat filtering could be reduced by salmon nutrients. Here, we ask how salmon abundance affects the phylogenetic structure of riparian flowering plant assemblages across 50 watersheds in the Great Bear Rainforest of British Columbia, Canada. Based on a regional pool of 60 plant species, we found that assemblages become more phylogenetically dispersed and species poor adjacent to streams with higher salmon spawning density. In contrast, increased phylogenetic clumping and species richness was seen in sites with low salmon density, with steeper slopes, further from the stream edge, and within smaller watersheds. These observations are all consistent with abiotic habitat filtering and biotic competitive exclusion acting together across local and landscape-scale gradients in nutrient availability to structure assembly of riparian flowering plants. In this case, rich salmon nutrients appear to release riparian flowering-plant assemblages from the confines of a low-nutrient habitat filter that drives phylogenetic clustering.","container-title":"Ecology","DOI":"10.1890/15-0379.1","ISSN":"1939-9170","issue":"2","journalAbbreviation":"Ecology","language":"en","page":"450-460","source":"Wiley Online Library","title":"Salmon nutrients are associated with the phylogenetic dispersion of riparian flowering-plant assemblages","volume":"97","author":[{"family":"Hurteau","given":"Leslie A."},{"family":"Mooers","given":"Arne Ø."},{"family":"Reynolds","given":"John D."},{"family":"Hocking","given":"Morgan D."}],"issued":{"date-parts":[["2016",2,1]]},"citation-key":"hurteau_2016"}}],"schema":"https://github.com/citation-style-language/schema/raw/master/csl-citation.json"} </w:instrText>
      </w:r>
      <w:r w:rsidRPr="009867C1">
        <w:fldChar w:fldCharType="separate"/>
      </w:r>
      <w:r w:rsidR="0042141C" w:rsidRPr="009867C1">
        <w:t>(Hurteau et al., 2016)</w:t>
      </w:r>
      <w:r w:rsidRPr="009867C1">
        <w:fldChar w:fldCharType="end"/>
      </w:r>
      <w:r w:rsidRPr="009867C1">
        <w:t>.  High nutrient availability tends to reduce phylogenetic clumping as habitat filtering and competition alter species composition</w:t>
      </w:r>
      <w:r w:rsidR="0023594E">
        <w:t>, which is reflected in higher phylogenetic dispersion indices.</w:t>
      </w:r>
      <w:r w:rsidRPr="009867C1">
        <w:t xml:space="preserve"> While previous work has shown this to be driven by plant traits </w:t>
      </w:r>
      <w:r w:rsidRPr="009867C1">
        <w:fldChar w:fldCharType="begin"/>
      </w:r>
      <w:r w:rsidR="00AC0205">
        <w:instrText xml:space="preserve"> ADDIN ZOTERO_ITEM CSL_CITATION {"citationID":"KHUG4GhI","properties":{"formattedCitation":"(L\\uc0\\u243{}pez\\uc0\\u8208{}Garc\\uc0\\u237{}a et al., 2017)","plainCitation":"(López‐García et al., 2017)","noteIndex":0},"citationItems":[{"id":2203,"uris":["http://zotero.org/users/2189142/items/J4AIXMD2"],"itemData":{"id":2203,"type":"article-journal","abstract":"Functional diversity in ecosystems has traditionally been studied using aboveground plant traits. Despite the known effect of plant traits on the microbial community composition, their effects on the microbial functional diversity are only starting to be assessed. In this study, the phylogenetic structure of arbuscular mycorrhizal (AM) fungal communities associated with plant species differing in life cycle and growth form, that is, plant life forms, was determined to unravel the effect of plant traits on the functional diversity of this fungal group. The results of the 454 pyrosequencing showed that the AM fungal community composition differed across plant life forms and this effect was dependent on the soil collection date. Plants with ruderal characteristics tended to associate with phylogenetically clustered AM fungal communities. By contrast, plants with resource-conservative traits associated with phylogenetically overdispersed AM fungal communities. Additionally, the soil collected in different seasons yielded AM fungal communities with different phylogenetic dispersion. In summary, we found that the phylogenetic structure, and hence the functional diversity, of AM fungal communities is dependent on plant traits. This finding adds value to the use of plant traits for the evaluation of belowground ecosystem diversity, functions and processes.","container-title":"Molecular Ecology","DOI":"https://doi.org/10.1111/mec.14403","ISSN":"1365-294X","issue":"24","language":"en","note":"_eprint: https://onlinelibrary.wiley.com/doi/pdf/10.1111/mec.14403","page":"6948-6959","source":"Wiley Online Library","title":"Plant traits determine the phylogenetic structure of arbuscular mycorrhizal fungal communities","volume":"26","author":[{"family":"López‐García","given":"Álvaro"},{"family":"Varela‐Cervero","given":"Sara"},{"family":"Vasar","given":"Martti"},{"family":"Öpik","given":"Maarja"},{"family":"Barea","given":"José M."},{"family":"Azcón‐Aguilar","given":"Concepción"}],"issued":{"date-parts":[["2017"]]},"citation-key":"lopez-garcia_2017"}}],"schema":"https://github.com/citation-style-language/schema/raw/master/csl-citation.json"} </w:instrText>
      </w:r>
      <w:r w:rsidRPr="009867C1">
        <w:fldChar w:fldCharType="separate"/>
      </w:r>
      <w:r w:rsidR="0042141C" w:rsidRPr="009867C1">
        <w:t>(López‐García et al., 2017)</w:t>
      </w:r>
      <w:r w:rsidRPr="009867C1">
        <w:fldChar w:fldCharType="end"/>
      </w:r>
      <w:r w:rsidRPr="009867C1">
        <w:t xml:space="preserve">, here the factor of prime importance </w:t>
      </w:r>
      <w:r w:rsidR="001043A7">
        <w:t xml:space="preserve">was </w:t>
      </w:r>
      <w:r w:rsidR="0023594E">
        <w:t>nitrate</w:t>
      </w:r>
      <w:r w:rsidR="001043A7">
        <w:t xml:space="preserve"> concentrations</w:t>
      </w:r>
      <w:r w:rsidR="0023594E">
        <w:t xml:space="preserve">. </w:t>
      </w:r>
      <w:r w:rsidRPr="009867C1">
        <w:t xml:space="preserve">Hence, </w:t>
      </w:r>
      <w:r w:rsidR="0023594E">
        <w:t>I</w:t>
      </w:r>
      <w:r w:rsidRPr="009867C1">
        <w:t xml:space="preserve"> interpret this as </w:t>
      </w:r>
      <w:r w:rsidR="00F776BC">
        <w:t xml:space="preserve">mirroring previous studies on the plant community, and as likely </w:t>
      </w:r>
      <w:r w:rsidRPr="009867C1">
        <w:t>being driven by a combination of changes in competition and habitat filtering due to increased nutrient inputs</w:t>
      </w:r>
      <w:r w:rsidR="00F776BC">
        <w:t xml:space="preserve"> from salmon carcasses</w:t>
      </w:r>
      <w:r w:rsidR="0023594E">
        <w:t xml:space="preserve">. </w:t>
      </w:r>
    </w:p>
    <w:p w14:paraId="69F63C1E" w14:textId="77777777" w:rsidR="00086155" w:rsidRPr="009867C1" w:rsidRDefault="00086155" w:rsidP="00086155">
      <w:pPr>
        <w:pStyle w:val="Heading5"/>
      </w:pPr>
      <w:bookmarkStart w:id="164" w:name="_Toc99385467"/>
      <w:r w:rsidRPr="009867C1">
        <w:t>Β diversity</w:t>
      </w:r>
      <w:bookmarkEnd w:id="164"/>
    </w:p>
    <w:p w14:paraId="266D4ABB" w14:textId="307BCD2C" w:rsidR="00086155" w:rsidRPr="009867C1" w:rsidRDefault="00086155" w:rsidP="00086155">
      <w:pPr>
        <w:tabs>
          <w:tab w:val="left" w:pos="826"/>
        </w:tabs>
      </w:pPr>
      <w:r w:rsidRPr="009867C1">
        <w:tab/>
        <w:t xml:space="preserve">Turning to </w:t>
      </w:r>
      <w:r w:rsidR="00894F5C">
        <w:t>my</w:t>
      </w:r>
      <w:r w:rsidRPr="009867C1">
        <w:t xml:space="preserve"> fourth hypothesis, beta diversity ordinations on ITS sequences supported the hypothesis that salmon density both along regional gradients and above/below waterfalls had a role in structuring fungal communities. This effect was slightly less strong for saprotrophs than for symbiotrophs, perhaps reflecting their differing ecology, and consistent with the less responsive abundance observations noted above. The MDN gradient did not affect SSU fungal community structure for ‘all taxa’ or symbiotrophs, but did in saprotrophs, which may indicate feedbacks between MDN and plant communities at these sites </w:t>
      </w:r>
      <w:r w:rsidRPr="009867C1">
        <w:fldChar w:fldCharType="begin"/>
      </w:r>
      <w:r w:rsidR="00AC0205">
        <w:instrText xml:space="preserve"> ADDIN ZOTERO_ITEM CSL_CITATION {"citationID":"mf7g1USJ","properties":{"formattedCitation":"(Hocking &amp; Reynolds, 2011)","plainCitation":"(Hocking &amp; Reynolds, 2011)","noteIndex":0},"citationItems":[{"id":550,"uris":["http://zotero.org/users/2189142/items/JR362H46"],"itemData":{"id":550,"type":"article-journal","abstract":"The study of natural gradients in nutrient subsidies between ecosystems allows for predictions of how changes in one system can affect biodiversity in another. We performed a large-scale empirical test of the role of Pacific salmon (Oncorhynchus spp.) in structuring riparian plant communities. A comparison of 50 watersheds in the remote Great Bear Rainforest of British Columbia’s central coast in Canada shows that salmon influence nutrient loading to plants, shifting plant communities toward nutrient-rich species, which in turn decreases plant diversity. These effects are mediated by interactions between salmon density and the physical characteristics of watersheds. Predicting how salmon affect terrestrial ecosystems is central to conservation plans that aim to better integrate ecosystem values into resource management.","container-title":"Science","DOI":"10.1126/science.1201079","ISSN":"0036-8075, 1095-9203","issue":"6024","journalAbbreviation":"Science","language":"en","note":"PMID: 21442794","page":"1609-1612","source":"www.sciencemag.org.ezproxy.library.ubc.ca","title":"Impacts of Salmon on Riparian Plant Diversity","volume":"331","author":[{"family":"Hocking","given":"Morgan D."},{"family":"Reynolds","given":"John D."}],"issued":{"date-parts":[["2011",3,25]]},"citation-key":"hocking_2011"}}],"schema":"https://github.com/citation-style-language/schema/raw/master/csl-citation.json"} </w:instrText>
      </w:r>
      <w:r w:rsidRPr="009867C1">
        <w:fldChar w:fldCharType="separate"/>
      </w:r>
      <w:r w:rsidR="0042141C" w:rsidRPr="009867C1">
        <w:t>(Hocking &amp; Reynolds, 2011)</w:t>
      </w:r>
      <w:r w:rsidRPr="009867C1">
        <w:fldChar w:fldCharType="end"/>
      </w:r>
      <w:r w:rsidRPr="009867C1">
        <w:t xml:space="preserve">; however, this should be taken as tenuous given the low sequence numbers of saprotrophs in the SSU reads. Taken together, this supports the idea of an overall effect of salmon density on regional-scale community structuring, as well as reaffirms the importance of tree species in determining local soil microbiomes </w:t>
      </w:r>
      <w:r w:rsidRPr="009867C1">
        <w:fldChar w:fldCharType="begin"/>
      </w:r>
      <w:r w:rsidR="00AC0205">
        <w:instrText xml:space="preserve"> ADDIN ZOTERO_ITEM CSL_CITATION {"citationID":"A4AdgHZ3","properties":{"formattedCitation":"(Prescott &amp; Grayston, 2013)","plainCitation":"(Prescott &amp; Grayston, 2013)","noteIndex":0},"citationItems":[{"id":194,"uris":["http://zotero.org/users/2189142/items/JKMR8VK5"],"itemData":{"id":194,"type":"article-journal","abstract":"Microbial communities in litter and soil are the functional link through which the tree species occupying a site may alter rates of soil processes fundamental to nutrient cycling and carbon flux. Through differences in the nature of their litter, their mycorrhizal fungal associates and the exudates they release into the rhizo/mycorrhizosphere, different tree species may give rise to distinct microbial communities in litter and soil. We examine the evidence that tree species influence the composition of the microbial communities in decomposing litter, forest floors, soil and the rhizo/mycorrhizosphere. The microbial communities considered in this review include bacteria, archaea, fungi and both free-living and symbiotic organisms. There is evidence that distinct microbial communities develop on decomposing leaf litters of different tree species, however, given the well-documented succession of microbes on decomposing litter, comparisons amongst tree species of microbial communities in litters and forest floors at the same stage of decay are needed to definitively deduce the influence of tree species. Distinct microbial communities have been reported in forest floors under different tree species; differences are most pronounced in the F layer. Distinctions in microbial communities in mineral soil under different tree species have been determined in several common garden experiments. The main factors associated with differences in microbial communities in litter, forest floors and soil are the pH and base cation content of the litter and whether the trees are broadleaf or coniferous. Identified differences in microbial communities in the rhizospheres of different tree species are more likely to be differences in the mycorrhizospheres and hyphospheres, given the predominance of associations with mycorrhizal fungi. Distinct microbial communities have been identified in the mycorrhizosphere under different tree species; these are influenced both by the tree species and by the mycorrhizal fungi with which the tree associates. Heightened attention during sampling to ensure comparison of ‘like with like’ could improve our ability to distinguish influence of tree species in decomposing litter, forest floors and soil. A significant remaining challenge is characterizing exudates from different tree-mycorrhizal fungi associations and understanding interactions between mycorrhizal fungi and microbial communities in the hyphosphere. A complete tapestry of the linkages between tree species and soil microbial communities requires that we also weave in the effects of soil fauna.","collection-title":"Influence of tree species on forest soils: New evidence from field studies","container-title":"Forest Ecology and Management","DOI":"10.1016/j.foreco.2013.02.034","ISSN":"0378-1127","journalAbbreviation":"Forest Ecology and Management","page":"19-27","source":"ScienceDirect","title":"Tree species influence on microbial communities in litter and soil: Current knowledge and research needs","title-short":"Tree species influence on microbial communities in litter and soil","volume":"309","author":[{"family":"Prescott","given":"Cindy"},{"family":"Grayston","given":"Sue J."}],"issued":{"date-parts":[["2013",12,1]]},"citation-key":"prescott_2013a"}}],"schema":"https://github.com/citation-style-language/schema/raw/master/csl-citation.json"} </w:instrText>
      </w:r>
      <w:r w:rsidRPr="009867C1">
        <w:fldChar w:fldCharType="separate"/>
      </w:r>
      <w:r w:rsidR="0042141C" w:rsidRPr="009867C1">
        <w:t>(Prescott &amp; Grayston, 2013)</w:t>
      </w:r>
      <w:r w:rsidRPr="009867C1">
        <w:fldChar w:fldCharType="end"/>
      </w:r>
      <w:r w:rsidRPr="009867C1">
        <w:t>.</w:t>
      </w:r>
    </w:p>
    <w:p w14:paraId="49D8A23A" w14:textId="77777777" w:rsidR="00086155" w:rsidRPr="009867C1" w:rsidRDefault="00086155" w:rsidP="00086155">
      <w:pPr>
        <w:pStyle w:val="Heading5"/>
      </w:pPr>
      <w:bookmarkStart w:id="165" w:name="_Toc99385468"/>
      <w:r w:rsidRPr="009867C1">
        <w:t>Genus-level differential responses</w:t>
      </w:r>
      <w:bookmarkEnd w:id="165"/>
    </w:p>
    <w:p w14:paraId="70A5EDFA" w14:textId="32FA8755" w:rsidR="00CB30BC" w:rsidRDefault="001234E0" w:rsidP="00CB30BC">
      <w:pPr>
        <w:ind w:firstLine="720"/>
      </w:pPr>
      <w:r>
        <w:t>My</w:t>
      </w:r>
      <w:r w:rsidR="00086155" w:rsidRPr="009867C1">
        <w:t xml:space="preserve"> fifth hypothesis was that MDN would have differential effects on specific taxa, and this was addressed via differential abundance analysis.</w:t>
      </w:r>
      <w:r w:rsidR="007E184E">
        <w:t xml:space="preserve"> Among ITS sequences, </w:t>
      </w:r>
      <w:r w:rsidR="007E184E" w:rsidRPr="007E184E">
        <w:rPr>
          <w:i/>
          <w:iCs/>
        </w:rPr>
        <w:t>Tylospora</w:t>
      </w:r>
      <w:r w:rsidR="007E184E">
        <w:t xml:space="preserve"> increased</w:t>
      </w:r>
      <w:r w:rsidR="00CB30BC">
        <w:t xml:space="preserve"> along the salmon gradient</w:t>
      </w:r>
      <w:r w:rsidR="007E184E">
        <w:t xml:space="preserve"> in forest floors</w:t>
      </w:r>
      <w:r w:rsidR="00CB30BC">
        <w:t>, and was also higher below falls in organic soils</w:t>
      </w:r>
      <w:r w:rsidR="007E184E">
        <w:t>.</w:t>
      </w:r>
      <w:r w:rsidR="00CB30BC">
        <w:t xml:space="preserve"> </w:t>
      </w:r>
      <w:r w:rsidR="00CB30BC" w:rsidRPr="009867C1">
        <w:rPr>
          <w:i/>
          <w:iCs/>
        </w:rPr>
        <w:t>Tylospora</w:t>
      </w:r>
      <w:r w:rsidR="00CB30BC" w:rsidRPr="009867C1">
        <w:t xml:space="preserve"> are corticoid mycorrhizal fungi </w:t>
      </w:r>
      <w:r w:rsidR="00CB30BC" w:rsidRPr="009867C1">
        <w:fldChar w:fldCharType="begin"/>
      </w:r>
      <w:r w:rsidR="00AC0205">
        <w:instrText xml:space="preserve"> ADDIN ZOTERO_ITEM CSL_CITATION {"citationID":"hibggZew","properties":{"formattedCitation":"(A. F. S. Taylor &amp; Alexander, 1991)","plainCitation":"(A. F. S. Taylor &amp; Alexander, 1991)","noteIndex":0},"citationItems":[{"id":1680,"uris":["http://zotero.org/users/2189142/items/IE36HJLH"],"itemData":{"id":1680,"type":"article-journal","container-title":"Mycological Research","DOI":"10.1016/S0953-7562(09)81256-2","ISSN":"0953-7562","issue":"3","journalAbbreviation":"Mycological Research","language":"en","page":"381-384","source":"ScienceDirect","title":"Ectomycorrhizal synthesis with Tylospora fibrillosa, a member of the Corticiaceae","volume":"95","author":[{"family":"Taylor","given":"A. F. S."},{"family":"Alexander","given":"I. J."}],"issued":{"date-parts":[["1991",3,1]]},"citation-key":"taylor_1991a"}}],"schema":"https://github.com/citation-style-language/schema/raw/master/csl-citation.json"} </w:instrText>
      </w:r>
      <w:r w:rsidR="00CB30BC" w:rsidRPr="009867C1">
        <w:fldChar w:fldCharType="separate"/>
      </w:r>
      <w:r w:rsidR="00CB30BC" w:rsidRPr="009867C1">
        <w:t>(A. F. S. Taylor &amp; Alexander, 1991)</w:t>
      </w:r>
      <w:r w:rsidR="00CB30BC" w:rsidRPr="009867C1">
        <w:fldChar w:fldCharType="end"/>
      </w:r>
      <w:r w:rsidR="00CB30BC" w:rsidRPr="009867C1">
        <w:t xml:space="preserve"> and have been implicated as being active N metabolizers and high N</w:t>
      </w:r>
      <w:r w:rsidR="00CB30BC" w:rsidRPr="009867C1">
        <w:rPr>
          <w:vertAlign w:val="subscript"/>
        </w:rPr>
        <w:t>2</w:t>
      </w:r>
      <w:r w:rsidR="00CB30BC" w:rsidRPr="009867C1">
        <w:t>O</w:t>
      </w:r>
      <w:r w:rsidR="00CB30BC" w:rsidRPr="009867C1">
        <w:rPr>
          <w:vertAlign w:val="subscript"/>
        </w:rPr>
        <w:t xml:space="preserve"> </w:t>
      </w:r>
      <w:r w:rsidR="00CB30BC" w:rsidRPr="009867C1">
        <w:t xml:space="preserve">producers </w:t>
      </w:r>
      <w:r w:rsidR="00CB30BC" w:rsidRPr="009867C1">
        <w:fldChar w:fldCharType="begin"/>
      </w:r>
      <w:r w:rsidR="00AC0205">
        <w:instrText xml:space="preserve"> ADDIN ZOTERO_ITEM CSL_CITATION {"citationID":"FBjzAJm5","properties":{"formattedCitation":"(Prendergast-Miller et al., 2011)","plainCitation":"(Prendergast-Miller et al., 2011)","noteIndex":0},"citationItems":[{"id":149,"uris":["http://zotero.org/users/2189142/items/EL4LFIUM"],"itemData":{"id":149,"type":"article-journal","abstract":"Nitrous oxide (N(2)O) production by filamentous fungi has been demonstrated in pure culture and has been estimated indirectly in soils. However, it is unknown whether ectomycorrhizal fungi can also produce N(2)O. We demonstrate for the first time the ability of nitrogen (N)-tolerant ectomycorrhizal fungi (Paxillus involutus and Tylospora fibrillosa), found in forest soils under moderate to high rates of N deposition, to produce N(2)O from nitrate reduction. The N(2)O concentrations from the ectomycorrhizal fungal treatments after a 10-day pure culture experiment were 0.0117±0.00015 (P. involutus) and 0.0114±0.0003 (T. fibrillosa), and 0.0114±0.00043 μmol N(2)O L(-1) from a known fungal denitrifier (Fusarium lichenicola). No N(2)O was detected in the control treatment. Our results indicate the potential for these two N-tolerant ectomycorrhizal fungi to contribute to N(2)O production. Given that these species are abundant in many forest soils, the strength and regulation of fungal N(2)O production should now be verified in situ.","container-title":"FEMS microbiology letters","DOI":"10.1111/j.1574-6968.2010.02187.x","ISSN":"1574-6968","issue":"1","journalAbbreviation":"FEMS Microbiol. Lett.","language":"eng","note":"PMID: 21204923","page":"31-35","source":"PubMed","title":"Nitrous oxide production by the ectomycorrhizal fungi Paxillus involutus and Tylospora fibrillosa","volume":"316","author":[{"family":"Prendergast-Miller","given":"Miranda T."},{"family":"Baggs","given":"Elizabeth M."},{"family":"Johnson","given":"David"}],"issued":{"date-parts":[["2011",3]]},"citation-key":"prendergast-miller_2011"}}],"schema":"https://github.com/citation-style-language/schema/raw/master/csl-citation.json"} </w:instrText>
      </w:r>
      <w:r w:rsidR="00CB30BC" w:rsidRPr="009867C1">
        <w:fldChar w:fldCharType="separate"/>
      </w:r>
      <w:r w:rsidR="00CB30BC" w:rsidRPr="009867C1">
        <w:t>(Prendergast-Miller et al., 2011)</w:t>
      </w:r>
      <w:r w:rsidR="00CB30BC" w:rsidRPr="009867C1">
        <w:fldChar w:fldCharType="end"/>
      </w:r>
      <w:r w:rsidR="00CB30BC" w:rsidRPr="009867C1">
        <w:t xml:space="preserve">. They are common in N-rich soils and are competitive when inorganic-N concentrations are high </w:t>
      </w:r>
      <w:r w:rsidR="00CB30BC" w:rsidRPr="009867C1">
        <w:fldChar w:fldCharType="begin"/>
      </w:r>
      <w:r w:rsidR="00AC0205">
        <w:instrText xml:space="preserve"> ADDIN ZOTERO_ITEM CSL_CITATION {"citationID":"WYu9atGH","properties":{"formattedCitation":"(Prendergast-Miller et al., 2011)","plainCitation":"(Prendergast-Miller et al., 2011)","noteIndex":0},"citationItems":[{"id":149,"uris":["http://zotero.org/users/2189142/items/EL4LFIUM"],"itemData":{"id":149,"type":"article-journal","abstract":"Nitrous oxide (N(2)O) production by filamentous fungi has been demonstrated in pure culture and has been estimated indirectly in soils. However, it is unknown whether ectomycorrhizal fungi can also produce N(2)O. We demonstrate for the first time the ability of nitrogen (N)-tolerant ectomycorrhizal fungi (Paxillus involutus and Tylospora fibrillosa), found in forest soils under moderate to high rates of N deposition, to produce N(2)O from nitrate reduction. The N(2)O concentrations from the ectomycorrhizal fungal treatments after a 10-day pure culture experiment were 0.0117±0.00015 (P. involutus) and 0.0114±0.0003 (T. fibrillosa), and 0.0114±0.00043 μmol N(2)O L(-1) from a known fungal denitrifier (Fusarium lichenicola). No N(2)O was detected in the control treatment. Our results indicate the potential for these two N-tolerant ectomycorrhizal fungi to contribute to N(2)O production. Given that these species are abundant in many forest soils, the strength and regulation of fungal N(2)O production should now be verified in situ.","container-title":"FEMS microbiology letters","DOI":"10.1111/j.1574-6968.2010.02187.x","ISSN":"1574-6968","issue":"1","journalAbbreviation":"FEMS Microbiol. Lett.","language":"eng","note":"PMID: 21204923","page":"31-35","source":"PubMed","title":"Nitrous oxide production by the ectomycorrhizal fungi Paxillus involutus and Tylospora fibrillosa","volume":"316","author":[{"family":"Prendergast-Miller","given":"Miranda T."},{"family":"Baggs","given":"Elizabeth M."},{"family":"Johnson","given":"David"}],"issued":{"date-parts":[["2011",3]]},"citation-key":"prendergast-miller_2011"}}],"schema":"https://github.com/citation-style-language/schema/raw/master/csl-citation.json"} </w:instrText>
      </w:r>
      <w:r w:rsidR="00CB30BC" w:rsidRPr="009867C1">
        <w:fldChar w:fldCharType="separate"/>
      </w:r>
      <w:r w:rsidR="00CB30BC" w:rsidRPr="009867C1">
        <w:t>(Prendergast-Miller et al., 2011)</w:t>
      </w:r>
      <w:r w:rsidR="00CB30BC" w:rsidRPr="009867C1">
        <w:fldChar w:fldCharType="end"/>
      </w:r>
      <w:r w:rsidR="00CB30BC" w:rsidRPr="009867C1">
        <w:t xml:space="preserve">. Fungal denitrification frequently dominates bacterial denitrification in acidic soils </w:t>
      </w:r>
      <w:r w:rsidR="00CB30BC" w:rsidRPr="009867C1">
        <w:fldChar w:fldCharType="begin"/>
      </w:r>
      <w:r w:rsidR="00AC0205">
        <w:instrText xml:space="preserve"> ADDIN ZOTERO_ITEM CSL_CITATION {"citationID":"eiqOX8p8","properties":{"formattedCitation":"(H. Chen et al., 2015)","plainCitation":"(H. Chen et al., 2015)","noteIndex":0},"citationItems":[{"id":2221,"uris":["http://zotero.org/users/2189142/items/73FWLVX2"],"itemData":{"id":2221,"type":"article-journal","abstract":"Fungal N(2)O production has been progressively recognized, but its controlling factors remain unclear. This study examined the impacts of soil moisture and pH on fungal and bacterial N(2)O production in two ecosystems, conventional farming and plantation forestry. Four treatments, antibiotic-free soil and soil amended with streptomycin, cycloheximide, or both were used to determine N(2)O production of fungi versus bacteria. Soil moisture and pH effects were assessed under 65-90 % water-filled pore space (WFPS) and pH 4.0-9.0, respectively. Irrespective of antibiotic treatments, soil N(2)O fluxes peaked at 85-90 % WFPS and pH 7.0 or 8.0, indicating that both fungi and bacteria preferred more anoxic and neutral or slightly alkaline conditions in producing N(2)O. However, compared with bacteria, fungi contributed more to N(2)O production under sub-anoxic and acidic conditions. Real-time polymerase chain reaction of 16S, ITS rDNA, and denitrifying genes for quantifications of bacteria, fungi, and denitrifying bacteria, respectively, showed that fungi were more abundant at acidic pH, whereas total and denitrifying bacteria favored neutral conditions. Such variations in the abundance appeared to be related to the pH effects on the relative fungal and bacterial contribution to N(2)O production.","container-title":"Microbial Ecology","DOI":"10.1007/s00248-014-0488-0","ISSN":"1432-184X","issue":"1","journalAbbreviation":"Microb Ecol","language":"eng","note":"PMID: 25190581","page":"180-191","source":"PubMed","title":"Soil moisture and pH control relative contributions of fungi and bacteria to N2O production","volume":"69","author":[{"family":"Chen","given":"Huaihai"},{"family":"Mothapo","given":"Nape V."},{"family":"Shi","given":"Wei"}],"issued":{"date-parts":[["2015",1]]},"citation-key":"chen_2015"}}],"schema":"https://github.com/citation-style-language/schema/raw/master/csl-citation.json"} </w:instrText>
      </w:r>
      <w:r w:rsidR="00CB30BC" w:rsidRPr="009867C1">
        <w:fldChar w:fldCharType="separate"/>
      </w:r>
      <w:r w:rsidR="00CB30BC" w:rsidRPr="009867C1">
        <w:t>(H. Chen et al., 2015)</w:t>
      </w:r>
      <w:r w:rsidR="00CB30BC" w:rsidRPr="009867C1">
        <w:fldChar w:fldCharType="end"/>
      </w:r>
      <w:r w:rsidR="00CB30BC" w:rsidRPr="009867C1">
        <w:t xml:space="preserve">, and hence the high abundance of </w:t>
      </w:r>
      <w:r w:rsidR="00CB30BC" w:rsidRPr="009867C1">
        <w:rPr>
          <w:i/>
          <w:iCs/>
        </w:rPr>
        <w:t>Tylospora</w:t>
      </w:r>
      <w:r w:rsidR="00CB30BC" w:rsidRPr="009867C1">
        <w:t xml:space="preserve"> may have ecosystem-level implications for N metabolism and denitrification, which has previously been assumed to be bacterially driven with only minimal consideration of fungi </w:t>
      </w:r>
      <w:r w:rsidR="00CB30BC" w:rsidRPr="009867C1">
        <w:fldChar w:fldCharType="begin"/>
      </w:r>
      <w:r w:rsidR="00AC0205">
        <w:instrText xml:space="preserve"> ADDIN ZOTERO_ITEM CSL_CITATION {"citationID":"9zlCNUIg","properties":{"formattedCitation":"(Holtgrieve et al., 2009)","plainCitation":"(Holtgrieve et al., 2009)","noteIndex":0},"citationItems":[{"id":973,"uris":["http://zotero.org/users/2189142/items/RNMUUKA3"],"itemData":{"id":973,"type":"article-journal","abstract":"Two important themes in ecology include the understanding of how interactions among species control ecosystem processes, and how habitats can be connected through transfers of nutrients and energy by mobile organisms. An impressive example of both is the large influx of nutrients and organic matter that anadromous salmon supply to inland aquatic and terrestrial ecosystems and the role of predation by brown bears (Ursus arctos) in transferring these marine-derived nutrients (MDN) from freshwater to riparian habitats. In spite of the recognition that salmon-bear interactions likely play an important role in controlling the flux of MDN from aquatic to riparian habitats, few studies have linked bear predation on salmon to processes such as nitrogen (N) or carbon (C) cycling. We combine landscape-level survey data and a replicated bear-exclosure experiment to test how bear foraging on salmon affects nitrous oxide (N2O) flux, carbon dioxide (CO2) flux, and nutrient concentrations of riparian soils. Our results show that bears feeding on salmon increased soil ammonium (NH4 +) concentrations three-fold and N2O flux by 32-fold. Soil CO2 flux, nitrate (NO3 −), and N transformation differences were negligible in areas where bears fed on salmon. Reference areas without concentrated bear activity showed no detectable change in soil N cycling after the arrival of salmon to streams. Exclosure experiments showed that bear effects on soil nutrient cycles were transient, and soil N processing returned to background conditions within 1 year after bears were removed from the system. These results suggest that recipient ecosystems do not show uniform responses to MDN inputs and highlight the importance of large mobile consumers in generating landscape heterogeneity in nutrient cycles.","container-title":"Ecological Research","DOI":"10.1007/s11284-009-0591-8","ISSN":"0912-3814, 1440-1703","issue":"5","journalAbbreviation":"Ecol Res","language":"en","page":"1125-1135","source":"link.springer.com.ezproxy.library.ubc.ca","title":"Large predators and biogeochemical hotspots: brown bear (Ursus arctos) predation on salmon alters nitrogen cycling in riparian soils","title-short":"Large predators and biogeochemical hotspots","volume":"24","author":[{"family":"Holtgrieve","given":"Gordon W."},{"family":"Schindler","given":"Daniel E."},{"family":"Jewett","given":"Peter K."}],"issued":{"date-parts":[["2009",3,18]]},"citation-key":"holtgrieve_2009"}}],"schema":"https://github.com/citation-style-language/schema/raw/master/csl-citation.json"} </w:instrText>
      </w:r>
      <w:r w:rsidR="00CB30BC" w:rsidRPr="009867C1">
        <w:fldChar w:fldCharType="separate"/>
      </w:r>
      <w:r w:rsidR="00CB30BC" w:rsidRPr="009867C1">
        <w:t>(Holtgrieve et al., 2009)</w:t>
      </w:r>
      <w:r w:rsidR="00CB30BC" w:rsidRPr="009867C1">
        <w:fldChar w:fldCharType="end"/>
      </w:r>
      <w:r w:rsidR="00CB30BC" w:rsidRPr="009867C1">
        <w:t xml:space="preserve">. In these data, </w:t>
      </w:r>
      <w:r w:rsidR="00CB30BC" w:rsidRPr="009867C1">
        <w:rPr>
          <w:i/>
          <w:iCs/>
        </w:rPr>
        <w:t>Tylospora</w:t>
      </w:r>
      <w:r w:rsidR="00CB30BC" w:rsidRPr="009867C1">
        <w:t xml:space="preserve"> was categorized as a symbiotroph, hence likely accounts for a large proportion of the importance of ammonium and total-N assigned to these taxa.</w:t>
      </w:r>
    </w:p>
    <w:p w14:paraId="41A8692C" w14:textId="3BBAC819" w:rsidR="00536D9A" w:rsidRDefault="00CB30BC" w:rsidP="00CB30BC">
      <w:pPr>
        <w:ind w:firstLine="720"/>
      </w:pPr>
      <w:r w:rsidRPr="00CB30BC">
        <w:rPr>
          <w:i/>
          <w:iCs/>
        </w:rPr>
        <w:t>Sebacina</w:t>
      </w:r>
      <w:r>
        <w:t xml:space="preserve"> was also frequently found to increase with salmon addition. </w:t>
      </w:r>
      <w:r w:rsidR="002071B1">
        <w:rPr>
          <w:color w:val="333333"/>
          <w:sz w:val="23"/>
          <w:szCs w:val="23"/>
          <w:shd w:val="clear" w:color="auto" w:fill="FFFFFF"/>
        </w:rPr>
        <w:t xml:space="preserve">Sebacinales </w:t>
      </w:r>
      <w:r>
        <w:t xml:space="preserve">are a mycorrhizal </w:t>
      </w:r>
      <w:r w:rsidR="002071B1">
        <w:t>clade</w:t>
      </w:r>
      <w:r>
        <w:t xml:space="preserve"> able to colonize a wide range of hosts</w:t>
      </w:r>
      <w:r w:rsidR="002071B1">
        <w:t>, including mosses, ferns, and other plants; where they form ericoid, orchid, ecto- and endo-mycorrhiza, as well as act as root endophytes</w:t>
      </w:r>
      <w:r>
        <w:t xml:space="preserve"> </w:t>
      </w:r>
      <w:r w:rsidR="00DC56DD">
        <w:fldChar w:fldCharType="begin"/>
      </w:r>
      <w:r w:rsidR="00AC0205">
        <w:instrText xml:space="preserve"> ADDIN ZOTERO_ITEM CSL_CITATION {"citationID":"h5keODtz","properties":{"formattedCitation":"(Vohn\\uc0\\u237{}k et al., 2016)","plainCitation":"(Vohník et al., 2016)","noteIndex":0},"citationItems":[{"id":10637,"uris":["http://zotero.org/users/2189142/items/T25BSPCJ"],"itemData":{"id":10637,"type":"article-journal","abstract":"The Sebacinales are a monophyletic group of ubiquitous hymenomycetous mycobionts which form ericoid and orchid mycorrhizae, ecto- and ectendomycorrhizae, and nonspecific root endophytic associations with a wide spectrum of plants. However, due to the complete lack of fungal isolates derived from Ericaceae roots, the Sebacinales ericoid mycorrhizal (ErM) potential has not yet been tested experimentally. Here, we report for the first time isolation of a serendipitoid (formerly Sebacinales Group B) mycobiont from Ericaceae which survived in pure culture for several years. This allowed us to test its ability to form ericoid mycorrhizae with an Ericaceae host in vitro, to describe its development and colonization pattern in host roots over time, and to compare its performance with typical ErM fungi and other serendipitoids derived from non-Ericaceae hosts. Out of ten serendipitoid isolates tested, eight intracellularly colonized Vaccinium hair roots, but only the Ericaceae-derived isolate repeatedly formed typical ericoid mycorrhiza morphologically identical to ericoid mycorrhiza commonly found in naturally colonized Ericaceae, but yet different from ericoid mycorrhiza formed in vitro by the prominent ascomycetous ErM fungus Rhizoscyphus ericae. One Orchidaceae-derived isolate repeatedly formed abundant hyaline intracellular microsclerotia morphologically identical to those occasionally found in naturally colonized Ericaceae, and an isolate of Serendipita (= Piriformospora) indica produced abundant intracellular chlamydospores typical of this species. Our results confirm for the first time experimentally that some Sebacinales can form ericoid mycorrhiza, point to their broad endophytic potential in Ericaceae hosts, and suggest possible ericoid mycorrhizal specificity in Serendipitaceae.","container-title":"Mycorrhiza","DOI":"10.1007/s00572-016-0717-0","ISSN":"1432-1890","issue":"8","journalAbbreviation":"Mycorrhiza","language":"en","page":"831-846","source":"Springer Link","title":"Experimental evidence of ericoid mycorrhizal potential within Serendipitaceae (Sebacinales)","volume":"26","author":[{"family":"Vohník","given":"Martin"},{"family":"Pánek","given":"Matěj"},{"family":"Fehrer","given":"Judith"},{"family":"Selosse","given":"Marc-André"}],"issued":{"date-parts":[["2016",11,1]]},"citation-key":"vohnik_2016"}}],"schema":"https://github.com/citation-style-language/schema/raw/master/csl-citation.json"} </w:instrText>
      </w:r>
      <w:r w:rsidR="00DC56DD">
        <w:fldChar w:fldCharType="separate"/>
      </w:r>
      <w:r w:rsidR="00DC56DD" w:rsidRPr="00DC56DD">
        <w:t>(Vohník et al., 2016)</w:t>
      </w:r>
      <w:r w:rsidR="00DC56DD">
        <w:fldChar w:fldCharType="end"/>
      </w:r>
      <w:r w:rsidR="002071B1">
        <w:t xml:space="preserve">. They are capable scavengers of </w:t>
      </w:r>
      <w:r w:rsidR="001C66C5">
        <w:t>ammonium and phosphorus, and recently have been shown to be adept at scavenging n</w:t>
      </w:r>
      <w:r w:rsidR="002071B1">
        <w:t>itrogen</w:t>
      </w:r>
      <w:r w:rsidR="001C66C5">
        <w:t xml:space="preserve"> from organic amino acids as well </w:t>
      </w:r>
      <w:r w:rsidR="001C66C5">
        <w:fldChar w:fldCharType="begin"/>
      </w:r>
      <w:r w:rsidR="00AC0205">
        <w:instrText xml:space="preserve"> ADDIN ZOTERO_ITEM CSL_CITATION {"citationID":"GYBGgdvC","properties":{"formattedCitation":"(Ray et al., 2019)","plainCitation":"(Ray et al., 2019)","noteIndex":0},"citationItems":[{"id":10640,"uris":["http://zotero.org/users/2189142/items/ET9ALXMG"],"itemData":{"id":10640,"type":"article-journal","abstract":"Serendipitaceae represents a diverse fungal group in the Basidiomycota that includes endophytes and lineages that repeatedly evolved ericoid, orchid and ectomycorrhizal lifestyle. Plants rely upon both nitrogen and phosphorous, for essential growth processes, and are often provided by mycorrhizal fungi. In this study, we investigated the cellular proteome of Serendipita vermifera MAFF305830 and closely related Serendipita vermifera subsp. bescii NFPB0129 grown in vitro under (N) ammonium and (P) phosphate starvation conditions. Mycelial growth pattern was documented under these conditions to correlate growth‐specific responses to nutrient starvation. We found that N‐starvation accelerated hyphal radial growth, whereas P‐starvation accelerated hyphal branching. Additionally, P‐starvation triggers an integrated starvation response leading to remodelling of lipid metabolism. Higher abundance of an ammonium transporter known to serve as both an ammonium sensor and stimulator of hyphal growth was detected under N‐starvation. Additionally, N‐starvation led to strong up‐regulation of nitrate, amino acid, peptide, and urea transporters, along with several proteins predicted to have peptidase activity. Taken together, our finding suggests S. bescii and S. vermifera have the metabolic capacity for nitrogen assimilation from organic forms of N compounds. We hypothesize that the nitrogen metabolite repression is a key regulator of such organic N assimilation.","container-title":"Environmental Microbiology Reports","DOI":"10.1111/1758-2229.12757","ISSN":"1758-2229","issue":"4","journalAbbreviation":"Environ Microbiol Rep","note":"PMID: 30970176\nPMCID: PMC6850091","page":"548-557","source":"PubMed Central","title":"Scavenging organic nitrogen and remodelling lipid metabolism are key survival strategies adopted by the endophytic fungi, Serendipita vermifera and Serendipita bescii to alleviate nitrogen and phosphorous starvation in vitro","volume":"11","author":[{"family":"Ray","given":"Prasun"},{"family":"Abraham","given":"Paul E."},{"family":"Guo","given":"Yingqing"},{"family":"Giannone","given":"Richard J."},{"family":"Engle","given":"Nancy L."},{"family":"Yang","given":"Zamin K."},{"family":"Jacobson","given":"Daniel"},{"family":"Hettich","given":"Robert L."},{"family":"Tschaplinski","given":"Timothy J."},{"family":"Craven","given":"Kelly D."}],"issued":{"date-parts":[["2019",8]]},"citation-key":"ray_2019"}}],"schema":"https://github.com/citation-style-language/schema/raw/master/csl-citation.json"} </w:instrText>
      </w:r>
      <w:r w:rsidR="001C66C5">
        <w:fldChar w:fldCharType="separate"/>
      </w:r>
      <w:r w:rsidR="001C66C5" w:rsidRPr="001C66C5">
        <w:t>(Ray et al., 2019)</w:t>
      </w:r>
      <w:r w:rsidR="001C66C5">
        <w:fldChar w:fldCharType="end"/>
      </w:r>
      <w:r w:rsidR="001C66C5">
        <w:t xml:space="preserve">. </w:t>
      </w:r>
      <w:r w:rsidR="0004285C">
        <w:t>This same study demonstrated sophisticated flexibility in phosphorus metabolism, and they may play a role in adaptively buffering the changing levels of phosphorus availability characteristic of salmon forest</w:t>
      </w:r>
      <w:r w:rsidR="00536D9A">
        <w:t xml:space="preserve"> soils</w:t>
      </w:r>
      <w:r w:rsidR="0004285C">
        <w:t>.</w:t>
      </w:r>
    </w:p>
    <w:p w14:paraId="167A9C49" w14:textId="1E1C0945" w:rsidR="00536D9A" w:rsidRDefault="00CB30BC" w:rsidP="00CB30BC">
      <w:pPr>
        <w:ind w:firstLine="720"/>
      </w:pPr>
      <w:r w:rsidRPr="009867C1">
        <w:rPr>
          <w:i/>
          <w:iCs/>
        </w:rPr>
        <w:t>Mortierella</w:t>
      </w:r>
      <w:r w:rsidRPr="009867C1">
        <w:t xml:space="preserve"> </w:t>
      </w:r>
      <w:r w:rsidR="00536D9A">
        <w:t xml:space="preserve">were found to decrease in response to salmon inputs. </w:t>
      </w:r>
      <w:r w:rsidR="00536D9A" w:rsidRPr="009867C1">
        <w:rPr>
          <w:i/>
          <w:iCs/>
        </w:rPr>
        <w:t>Mortierella</w:t>
      </w:r>
      <w:r w:rsidR="00536D9A">
        <w:t xml:space="preserve"> </w:t>
      </w:r>
      <w:r w:rsidRPr="009867C1">
        <w:t xml:space="preserve">are a large genus of soil saprotrophs which grow in close association with plant roots </w:t>
      </w:r>
      <w:r w:rsidRPr="009867C1">
        <w:fldChar w:fldCharType="begin"/>
      </w:r>
      <w:r w:rsidR="00AC0205">
        <w:instrText xml:space="preserve"> ADDIN ZOTERO_ITEM CSL_CITATION {"citationID":"R43Uh5np","properties":{"formattedCitation":"(Werner et al., 2016)","plainCitation":"(Werner et al., 2016)","noteIndex":0},"citationItems":[{"id":94,"uris":["http://zotero.org/users/2189142/items/RGGGVVNN"],"itemData":{"id":94,"type":"article-journal","container-title":"Mycological Progress","issue":"12","note":"publisher: Springer","page":"1293–1301","source":"Google Scholar","title":"New aspects of the biology of Mortierella alliacea","volume":"15","author":[{"family":"Werner","given":"Sebastian"},{"family":"Peršoh","given":"Derek"},{"family":"Rambold","given":"Gerhard"}],"issued":{"date-parts":[["2016"]]},"citation-key":"werner_2016"}}],"schema":"https://github.com/citation-style-language/schema/raw/master/csl-citation.json"} </w:instrText>
      </w:r>
      <w:r w:rsidRPr="009867C1">
        <w:fldChar w:fldCharType="separate"/>
      </w:r>
      <w:r w:rsidRPr="009867C1">
        <w:t>(Werner et al., 2016)</w:t>
      </w:r>
      <w:r w:rsidRPr="009867C1">
        <w:fldChar w:fldCharType="end"/>
      </w:r>
      <w:r w:rsidRPr="009867C1">
        <w:t xml:space="preserve">. They include a number of </w:t>
      </w:r>
      <w:r>
        <w:t>species</w:t>
      </w:r>
      <w:r w:rsidRPr="009867C1">
        <w:t xml:space="preserve"> that promote plant growth in agricultural settings </w:t>
      </w:r>
      <w:r w:rsidRPr="009867C1">
        <w:fldChar w:fldCharType="begin"/>
      </w:r>
      <w:r w:rsidR="00AC0205">
        <w:instrText xml:space="preserve"> ADDIN ZOTERO_ITEM CSL_CITATION {"citationID":"Uf2tZnz4","properties":{"formattedCitation":"(Ozimek &amp; Hanaka, 2021)","plainCitation":"(Ozimek &amp; Hanaka, 2021)","noteIndex":0},"citationItems":[{"id":85,"uris":["http://zotero.org/users/2189142/items/MU56GGZW"],"itemData":{"id":85,"type":"article-journal","abstract":"In the most recent scientific reports based on the DNA or RNA-analyses a widespread presence of the filamentous fungi, Mortierella in various environments has been shown. Some strains of this genus belong to the plant growth-promoting fungi (PGPF) and are found in the bulk soil, rhizosphere and plants tissues. These microorganisms are also often found in the extremely hostile environments, responsible for improving access to the bioavailable forms of P and Fe in the soils, the synthesis of phytohormones and 1-aminocyclopropane-1-carboxylate (ACC) deaminase, and last but not least the protection of agricultural plants from pathogens. Furthermore, earlier reports classified Mortierella spp. as the saprotrophic microorganisms isolated from the forest litter, and nowadays their status as a very valuable decomposers in the agricultural soils was confirmed. The key features like the ability to survive under very unfavorable environmental conditions and the utilization of carbon sources contained in polymers like cellulose, hemicellulose, chitin make these fungi efficient as the agricultural inoculants. The growing interest in the application of Mortierella spp. is mainly due to the potential use of this genus in the increase of the nutrient uptake efficiency, positive effect in crop protection against adverse conditions, and reduction of chemical fertilizers and pesticides applied. Moreover, activities of Mortierella species selected from the wild or cultivated plants influence the soil microbiota and support the performance of the beneficial microorganisms enhancing significantly crop yield.","container-title":"Agriculture","DOI":"10.3390/agriculture11010007","issue":"1","language":"en","note":"number: 1\npublisher: Multidisciplinary Digital Publishing Institute","page":"7","source":"www.mdpi.com","title":"Mortierella Species as the Plant Growth-Promoting Fungi Present in the Agricultural Soils","volume":"11","author":[{"family":"Ozimek","given":"Ewa"},{"family":"Hanaka","given":"Agnieszka"}],"issued":{"date-parts":[["2021",1]]},"citation-key":"ozimek_2021"}}],"schema":"https://github.com/citation-style-language/schema/raw/master/csl-citation.json"} </w:instrText>
      </w:r>
      <w:r w:rsidRPr="009867C1">
        <w:fldChar w:fldCharType="separate"/>
      </w:r>
      <w:r w:rsidRPr="009867C1">
        <w:t>(Ozimek &amp; Hanaka, 2021)</w:t>
      </w:r>
      <w:r w:rsidRPr="009867C1">
        <w:fldChar w:fldCharType="end"/>
      </w:r>
      <w:r w:rsidRPr="009867C1">
        <w:t xml:space="preserve">; one mechanism proposed for this being the </w:t>
      </w:r>
      <w:r w:rsidR="00617AF0" w:rsidRPr="009867C1">
        <w:t>solubilization</w:t>
      </w:r>
      <w:r w:rsidRPr="009867C1">
        <w:t xml:space="preserve"> of phosphorus </w:t>
      </w:r>
      <w:r w:rsidRPr="009867C1">
        <w:fldChar w:fldCharType="begin"/>
      </w:r>
      <w:r w:rsidR="00AC0205">
        <w:instrText xml:space="preserve"> ADDIN ZOTERO_ITEM CSL_CITATION {"citationID":"4qkBRO5t","properties":{"formattedCitation":"(H. Zhang et al., 2011)","plainCitation":"(H. Zhang et al., 2011)","noteIndex":0},"citationItems":[{"id":84,"uris":["http://zotero.org/users/2189142/items/MAFDIJZD"],"itemData":{"id":84,"type":"article-journal","abstract":"This study investigated the interactions between two arbuscular mycorrhizal fungi (AMF) (Glomus aggregatum and Glomus mosseae) and a P-solubilizing fungus (Mortierella sp.), with respect to their effects on growth of Kostelelzkya virginica and urease, invertase, neutral phosphatase, alkaline phosphatase, and catalase activities of rhizosphere and bulk soils at different salinity levels (i.e., 0, 100, 200, and 300 mM NaCl). Percentage of AMF colonization, Mortierella sp. populations, pH, electrical conductivity, and available P concentration in soil were also determined. Combined inoculation of AMF and Mortierella sp. increased the percentage of AMF colonization and Mortierella sp. populations under salt stress (i.e., 100, 200, and 300 mM NaCl). The dual inoculation of Mortierella sp. with AMF (G. aggregatum or G. mosseae) had significant effects on shoot and root dry weights and available P concentrations, pH values, and electrical conductivities of rhizosphere and bulk soils under salt stress. The inoculation of Mortierella sp. significantly enhanced the positive effects of AMF on some enzyme activities (i.e., neutral phosphatase, alkaline phosphatase, and catalase in bulk soil; neutral phosphatase and urease in rhizosphere soil); on the contrary, it produced negative effects on urease activities in bulk soil and invertase activities in bulk and rhizosphere soils. The results indicated that the most effective co-inoculation was the dual inoculation with Mortierella sp. and G. mosseae, which may help in alleviating the deleterious effects of salt on plants growth and soil enzyme activities.","container-title":"Biology and Fertility of Soils","DOI":"10.1007/s00374-011-0563-3","ISSN":"1432-0789","issue":"5","journalAbbreviation":"Biol Fertil Soils","language":"en","page":"543","source":"Springer Link","title":"Interactions between arbuscular mycorrhizal fungi and phosphate-solubilizing fungus (Mortierella sp.) and their effects on Kostelelzkya virginica growth and enzyme activities of rhizosphere and bulk soils at different salinities","volume":"47","author":[{"family":"Zhang","given":"Huanshi"},{"family":"Wu","given":"Xianghua"},{"family":"Li","given":"Gang"},{"family":"Qin","given":"Pei"}],"issued":{"date-parts":[["2011",4,9]]},"citation-key":"zhang_2011"}}],"schema":"https://github.com/citation-style-language/schema/raw/master/csl-citation.json"} </w:instrText>
      </w:r>
      <w:r w:rsidRPr="009867C1">
        <w:fldChar w:fldCharType="separate"/>
      </w:r>
      <w:r w:rsidR="00742873" w:rsidRPr="00742873">
        <w:t>(H. Zhang et al., 2011)</w:t>
      </w:r>
      <w:r w:rsidRPr="009867C1">
        <w:fldChar w:fldCharType="end"/>
      </w:r>
      <w:r w:rsidRPr="009867C1">
        <w:t xml:space="preserve"> which is important in liberating phosphorus from aluminum complexes in acidic soils</w:t>
      </w:r>
      <w:r w:rsidR="00536D9A">
        <w:t xml:space="preserve">, a role which may be of less importance at higher phosphorus inputs. </w:t>
      </w:r>
    </w:p>
    <w:p w14:paraId="104D46AC" w14:textId="1FCCB098" w:rsidR="00054FFD" w:rsidRDefault="006E4F43" w:rsidP="00CB30BC">
      <w:pPr>
        <w:ind w:firstLine="720"/>
      </w:pPr>
      <w:r>
        <w:t xml:space="preserve">Among SSU sequences, </w:t>
      </w:r>
      <w:r w:rsidR="00CB30BC" w:rsidRPr="009867C1">
        <w:rPr>
          <w:i/>
          <w:iCs/>
        </w:rPr>
        <w:t>Russula</w:t>
      </w:r>
      <w:r w:rsidR="00BA6B28" w:rsidRPr="00BA6B28">
        <w:t>,</w:t>
      </w:r>
      <w:r w:rsidR="00BA6B28">
        <w:rPr>
          <w:i/>
          <w:iCs/>
        </w:rPr>
        <w:t xml:space="preserve"> Piloderma</w:t>
      </w:r>
      <w:r w:rsidR="00BA6B28" w:rsidRPr="00BA6B28">
        <w:t>, and</w:t>
      </w:r>
      <w:r w:rsidR="00BA6B28">
        <w:rPr>
          <w:i/>
          <w:iCs/>
        </w:rPr>
        <w:t xml:space="preserve"> Trichoderma</w:t>
      </w:r>
      <w:r>
        <w:t xml:space="preserve"> increased with salmon inputs.</w:t>
      </w:r>
      <w:r w:rsidR="00BA6B28">
        <w:t xml:space="preserve"> </w:t>
      </w:r>
      <w:r w:rsidR="00BA6B28" w:rsidRPr="00BA6B28">
        <w:rPr>
          <w:i/>
          <w:iCs/>
        </w:rPr>
        <w:t>Russula</w:t>
      </w:r>
      <w:r w:rsidR="00CB30BC" w:rsidRPr="009867C1">
        <w:rPr>
          <w:i/>
          <w:iCs/>
        </w:rPr>
        <w:t xml:space="preserve"> </w:t>
      </w:r>
      <w:r w:rsidR="00CB30BC" w:rsidRPr="009867C1">
        <w:t xml:space="preserve">has multiple ecological roles and have demonstrated strong habitat partitioning amongst species </w:t>
      </w:r>
      <w:r w:rsidR="00CB30BC" w:rsidRPr="009867C1">
        <w:fldChar w:fldCharType="begin"/>
      </w:r>
      <w:r w:rsidR="00AC0205">
        <w:instrText xml:space="preserve"> ADDIN ZOTERO_ITEM CSL_CITATION {"citationID":"uO4GmRf3","properties":{"formattedCitation":"(Geml et al., 2010)","plainCitation":"(Geml et al., 2010)","noteIndex":0},"citationItems":[{"id":83,"uris":["http://zotero.org/users/2189142/items/UPN76LNL"],"itemData":{"id":83,"type":"article-journal","abstract":"• Although critical for the functioning of ecosystems, fungi are poorly known in high-latitude regions. Here, we provide the first genetic diversity assessment of one of the most diverse and abundant ectomycorrhizal genera in Alaska: Russula. • We analyzed internal transcribed spacer rDNA sequences from sporocarps and soil samples using phylogenetic methods, operational taxonomic unit (OTU) delimitations and ordinations to compare species composition in various types of boreal forest. • The genus Russula is highly diverse in Alaska, with at least 42 nonsingleton OTUs (soil) and 50 phylogroups (soil + sporocarp). Russula taxa showed strong habitat preference to one of the two major forest types in the sampled regions (black spruce and birch–aspen–white spruce), and some preference for soil horizon. • Our results show that the vast majority of Russula species are present in the soil samples, although some additional taxa are expected to be found with extended sampling. OTU diversity in black spruce forests was only one-third of the diversity observed in mixed upland forests. Our findings suggest that some of the diversity is niche based, especially along host and successional axes, because most OTUs predictably occurred in specific habitats, regardless of geographical location.","container-title":"New Phytologist","DOI":"https://doi.org/10.1111/j.1469-8137.2010.03283.x","ISSN":"1469-8137","issue":"2","language":"en","note":"_eprint: https://onlinelibrary.wiley.com/doi/pdf/10.1111/j.1469-8137.2010.03283.x","page":"494-507","source":"Wiley Online Library","title":"Phylogenetic and ecological analyses of soil and sporocarp DNA sequences reveal high diversity and strong habitat partitioning in the boreal ectomycorrhizal genus Russula (Russulales; Basidiomycota)","volume":"187","author":[{"family":"Geml","given":"József"},{"family":"Laursen","given":"Gary A."},{"family":"Herriott","given":"Ian C."},{"family":"McFarland","given":"Jack M."},{"family":"Booth","given":"Michael G."},{"family":"Lennon","given":"Niall"},{"family":"Nusbaum","given":"H. Chad"},{"family":"Taylor","given":"D. Lee"}],"issued":{"date-parts":[["2010"]]},"citation-key":"geml_2010"}}],"schema":"https://github.com/citation-style-language/schema/raw/master/csl-citation.json"} </w:instrText>
      </w:r>
      <w:r w:rsidR="00CB30BC" w:rsidRPr="009867C1">
        <w:fldChar w:fldCharType="separate"/>
      </w:r>
      <w:r w:rsidR="00CB30BC" w:rsidRPr="009867C1">
        <w:t>(Geml et al., 2010)</w:t>
      </w:r>
      <w:r w:rsidR="00CB30BC" w:rsidRPr="009867C1">
        <w:fldChar w:fldCharType="end"/>
      </w:r>
      <w:r w:rsidR="00CB30BC" w:rsidRPr="009867C1">
        <w:t>, and are also well represented in sporocarp counts at these sites (</w:t>
      </w:r>
      <w:r w:rsidR="00CB30BC" w:rsidRPr="00FE0845">
        <w:t>Chapter 3</w:t>
      </w:r>
      <w:r w:rsidR="00CB30BC" w:rsidRPr="009867C1">
        <w:t xml:space="preserve">). </w:t>
      </w:r>
      <w:r w:rsidR="00CB30BC" w:rsidRPr="009867C1">
        <w:rPr>
          <w:i/>
          <w:iCs/>
        </w:rPr>
        <w:t>Piloderma</w:t>
      </w:r>
      <w:r w:rsidR="00CB30BC" w:rsidRPr="009867C1">
        <w:t xml:space="preserve"> was highly represented amongst the SSU samples and, like </w:t>
      </w:r>
      <w:r w:rsidR="00CB30BC" w:rsidRPr="009867C1">
        <w:rPr>
          <w:i/>
          <w:iCs/>
        </w:rPr>
        <w:t>Tylospora</w:t>
      </w:r>
      <w:r w:rsidR="00CB30BC" w:rsidRPr="009867C1">
        <w:t xml:space="preserve">, plays an active role in denitrification </w:t>
      </w:r>
      <w:r w:rsidR="00CB30BC" w:rsidRPr="009867C1">
        <w:fldChar w:fldCharType="begin"/>
      </w:r>
      <w:r w:rsidR="00AC0205">
        <w:instrText xml:space="preserve"> ADDIN ZOTERO_ITEM CSL_CITATION {"citationID":"VHzNMctw","properties":{"formattedCitation":"(Prendergast-Miller et al., 2011)","plainCitation":"(Prendergast-Miller et al., 2011)","noteIndex":0},"citationItems":[{"id":149,"uris":["http://zotero.org/users/2189142/items/EL4LFIUM"],"itemData":{"id":149,"type":"article-journal","abstract":"Nitrous oxide (N(2)O) production by filamentous fungi has been demonstrated in pure culture and has been estimated indirectly in soils. However, it is unknown whether ectomycorrhizal fungi can also produce N(2)O. We demonstrate for the first time the ability of nitrogen (N)-tolerant ectomycorrhizal fungi (Paxillus involutus and Tylospora fibrillosa), found in forest soils under moderate to high rates of N deposition, to produce N(2)O from nitrate reduction. The N(2)O concentrations from the ectomycorrhizal fungal treatments after a 10-day pure culture experiment were 0.0117±0.00015 (P. involutus) and 0.0114±0.0003 (T. fibrillosa), and 0.0114±0.00043 μmol N(2)O L(-1) from a known fungal denitrifier (Fusarium lichenicola). No N(2)O was detected in the control treatment. Our results indicate the potential for these two N-tolerant ectomycorrhizal fungi to contribute to N(2)O production. Given that these species are abundant in many forest soils, the strength and regulation of fungal N(2)O production should now be verified in situ.","container-title":"FEMS microbiology letters","DOI":"10.1111/j.1574-6968.2010.02187.x","ISSN":"1574-6968","issue":"1","journalAbbreviation":"FEMS Microbiol. Lett.","language":"eng","note":"PMID: 21204923","page":"31-35","source":"PubMed","title":"Nitrous oxide production by the ectomycorrhizal fungi Paxillus involutus and Tylospora fibrillosa","volume":"316","author":[{"family":"Prendergast-Miller","given":"Miranda T."},{"family":"Baggs","given":"Elizabeth M."},{"family":"Johnson","given":"David"}],"issued":{"date-parts":[["2011",3]]},"citation-key":"prendergast-miller_2011"}}],"schema":"https://github.com/citation-style-language/schema/raw/master/csl-citation.json"} </w:instrText>
      </w:r>
      <w:r w:rsidR="00CB30BC" w:rsidRPr="009867C1">
        <w:fldChar w:fldCharType="separate"/>
      </w:r>
      <w:r w:rsidR="00CB30BC" w:rsidRPr="009867C1">
        <w:t>(Prendergast-Miller et al., 2011)</w:t>
      </w:r>
      <w:r w:rsidR="00CB30BC" w:rsidRPr="009867C1">
        <w:fldChar w:fldCharType="end"/>
      </w:r>
      <w:r w:rsidR="00CB30BC" w:rsidRPr="009867C1">
        <w:t xml:space="preserve"> and also in accessing organic N and delivering it to mycorrhizal partners </w:t>
      </w:r>
      <w:r w:rsidR="00CB30BC" w:rsidRPr="009867C1">
        <w:fldChar w:fldCharType="begin"/>
      </w:r>
      <w:r w:rsidR="00AC0205">
        <w:instrText xml:space="preserve"> ADDIN ZOTERO_ITEM CSL_CITATION {"citationID":"VPED68rL","properties":{"formattedCitation":"(Heinonsalo et al., 2015)","plainCitation":"(Heinonsalo et al., 2015)","noteIndex":0},"citationItems":[{"id":2336,"uris":["http://zotero.org/users/2189142/items/TL53S7F5"],"itemData":{"id":2336,"type":"article-journal","container-title":"PloS one","issue":"7","note":"publisher: Public Library of Science","page":"e0131561","source":"Google Scholar","title":"Evidences on the ability of mycorrhizal genus Piloderma to use organic nitrogen and deliver it to Scots pine","volume":"10","author":[{"family":"Heinonsalo","given":"Jussi"},{"family":"Sun","given":"Hui"},{"family":"Santalahti","given":"Minna"},{"family":"Bäcklund","given":"Kirsi"},{"family":"Hari","given":"Pertti"},{"family":"Pumpanen","given":"Jukka"}],"issued":{"date-parts":[["2015"]]},"citation-key":"heinonsalo_2015a"}}],"schema":"https://github.com/citation-style-language/schema/raw/master/csl-citation.json"} </w:instrText>
      </w:r>
      <w:r w:rsidR="00CB30BC" w:rsidRPr="009867C1">
        <w:fldChar w:fldCharType="separate"/>
      </w:r>
      <w:r w:rsidR="00CB30BC" w:rsidRPr="009867C1">
        <w:t>(Heinonsalo et al., 2015)</w:t>
      </w:r>
      <w:r w:rsidR="00CB30BC" w:rsidRPr="009867C1">
        <w:fldChar w:fldCharType="end"/>
      </w:r>
      <w:r w:rsidR="00CB30BC" w:rsidRPr="009867C1">
        <w:t>.</w:t>
      </w:r>
      <w:r w:rsidR="00BA6B28">
        <w:t xml:space="preserve"> </w:t>
      </w:r>
      <w:r w:rsidR="00BA6B28" w:rsidRPr="00BA6B28">
        <w:rPr>
          <w:i/>
          <w:iCs/>
        </w:rPr>
        <w:t>Trichoderma</w:t>
      </w:r>
      <w:r w:rsidR="00BA6B28">
        <w:t xml:space="preserve">, meanwhile, are also able to metabolize nitrogen from organic sources, and have </w:t>
      </w:r>
      <w:r w:rsidR="00054FFD">
        <w:t xml:space="preserve">found recent usage in agricultural settings due to their action as biocontrol agents and a plant growth promoter </w:t>
      </w:r>
      <w:r w:rsidR="00054FFD">
        <w:fldChar w:fldCharType="begin"/>
      </w:r>
      <w:r w:rsidR="00AC0205">
        <w:instrText xml:space="preserve"> ADDIN ZOTERO_ITEM CSL_CITATION {"citationID":"tSmgNhj9","properties":{"formattedCitation":"(Schweiger et al., 2021; Vinale et al., 2012)","plainCitation":"(Schweiger et al., 2021; Vinale et al., 2012)","noteIndex":0},"citationItems":[{"id":10647,"uris":["http://zotero.org/users/2189142/items/ZGF38W9G"],"itemData":{"id":10647,"type":"article-journal","abstract":"The interactions of crops with root-colonizing endophytic microorganisms are highly relevant to agriculture, because endophytes can modify plant resistance to pests and increase crop yields. We investigated the interactions between the host plant Zea mays and the endophytic fungus Trichoderma virens at 5 days postinoculation grown in a hydroponic system. Wild-type T. virens and two knockout mutants, with deletion of the genes tv2og1 or vir4 involved in specialized metabolism, were analyzed. Root colonization by the fungal mutants was lower than that by the wild type. All fungal genotypes suppressed root biomass. Metabolic fingerprinting of roots, mycelia, and fungal culture supernatants was performed using ultrahigh performance liquid chromatography coupled to diode array detection and quadrupole time-of-flight tandem mass spectrometry. The metabolic composition of T. virens-colonized roots differed profoundly from that of noncolonized roots, with the effects depending on the fungal genotype. In particular, the concentrations of several metabolites derived from the shikimate pathway, including an amino acid and several flavonoids, were modulated. The expression levels of some genes coding for enzymes involved in these pathways were affected if roots were colonized by the ∆vir4 genotype of T. virens. Furthermore, mycelia and fungal culture supernatants of the different T. virens genotypes showed distinct metabolomes. Our study highlights the fact that colonization by endophytic T. virens leads to far-reaching metabolic changes, partly related to two fungal genes. Both metabolites produced by the fungus and plant metabolites modulated by the interaction probably contribute to these metabolic patterns. The metabolic changes in plant tissues may be interlinked with systemic endophyte effects often observed in later plant developmental stages.\n\n Copyright © 2021 The Author(s). This is an open access article distributed under the CC BY 4.0 International license.","container-title":"Molecular Plant-Microbe Interactions®","DOI":"10.1094/MPMI-04-20-0081-R","ISSN":"0894-0282","issue":"5","journalAbbreviation":"MPMI","note":"publisher: Scientific Societies","page":"524-537","source":"apsjournals.apsnet.org (Atypon)","title":"Insights into Metabolic Changes Caused by the Trichoderma virens–Maize Root Interaction","volume":"34","author":[{"family":"Schweiger","given":"Rabea"},{"family":"Padilla-Arizmendi","given":"Fabiola"},{"family":"Nogueira-López","given":"Guillermo"},{"family":"Rostás","given":"Michael"},{"family":"Lawry","given":"Robert"},{"family":"Brown","given":"Chris"},{"family":"Hampton","given":"John"},{"family":"Steyaert","given":"Johanna M."},{"family":"Müller","given":"Caroline"},{"family":"Mendoza-Mendoza","given":"Artemio"}],"issued":{"date-parts":[["2021",5,1]]},"citation-key":"schweiger_2021"}},{"id":10644,"uris":["http://zotero.org/users/2189142/items/TPBY52AM"],"itemData":{"id":10644,"type":"article-journal","abstract":"Recently, there have been many exciting new developments relating to the use of Trichoderma spp. as agents for biocontrol of pathogens and as plant growth promoters. Several mechanisms have been proposed to explain the positive effects of these microorganisms on the plant host. One factor that contributes to their beneficial biological activities is related to the wide variety of metabolites that they produce. These metabolites have been found not only to directly inhibit the growth and pathogenic activities of the parasites, but also to increase disease resistance by triggering the system of defence in the plant host. In addition, these metabolites are also capable of enhancing plant growth, which enables the plant to counteract the disease with compensatory vegetative growth by the augmented production of root and shoot systems. This review takes into account the Trichoderma secondary metabolites that affect plant metabolism and that may play an important role in the complex interactions of this biocontrol agent with the plant and pathogens.","container-title":"Natural Product Communications","DOI":"10.1177/1934578X1200701133","ISSN":"1934-578X","issue":"11","journalAbbreviation":"Natural Product Communications","note":"publisher: SAGE Publications Inc","page":"1934578X1200701133","source":"SAGE Journals","title":"Trichoderma Secondary Metabolites that Affect Plant Metabolism","volume":"7","author":[{"family":"Vinale","given":"Francesco"},{"family":"Sivasithamparam","given":"Krishnapillai"},{"family":"Ghisalberti","given":"Emilio L."},{"family":"Ruocco","given":"Michelina"},{"family":"Woo","given":"Sheridan"},{"family":"Lorito","given":"Matteo"}],"issued":{"date-parts":[["2012",11,1]]},"citation-key":"vinale_2012"}}],"schema":"https://github.com/citation-style-language/schema/raw/master/csl-citation.json"} </w:instrText>
      </w:r>
      <w:r w:rsidR="00054FFD">
        <w:fldChar w:fldCharType="separate"/>
      </w:r>
      <w:r w:rsidR="00054FFD" w:rsidRPr="00054FFD">
        <w:t>(Schweiger et al., 2021; Vinale et al., 2012)</w:t>
      </w:r>
      <w:r w:rsidR="00054FFD">
        <w:fldChar w:fldCharType="end"/>
      </w:r>
      <w:r w:rsidR="00054FFD">
        <w:t>.</w:t>
      </w:r>
    </w:p>
    <w:p w14:paraId="53BF9991" w14:textId="77777777" w:rsidR="00086155" w:rsidRPr="009867C1" w:rsidRDefault="00086155" w:rsidP="00086155">
      <w:pPr>
        <w:pStyle w:val="Heading3"/>
      </w:pPr>
      <w:bookmarkStart w:id="166" w:name="_Toc99385469"/>
      <w:r w:rsidRPr="009867C1">
        <w:t>Conclusion</w:t>
      </w:r>
      <w:bookmarkEnd w:id="166"/>
    </w:p>
    <w:p w14:paraId="78733D71" w14:textId="4ECCA0F7" w:rsidR="00086155" w:rsidRPr="009867C1" w:rsidRDefault="00086155" w:rsidP="00086155">
      <w:pPr>
        <w:tabs>
          <w:tab w:val="left" w:pos="826"/>
        </w:tabs>
      </w:pPr>
      <w:r w:rsidRPr="009867C1">
        <w:tab/>
        <w:t>This study demonstrated changes in fung</w:t>
      </w:r>
      <w:r w:rsidR="00BC45E6">
        <w:t>us relative abundance</w:t>
      </w:r>
      <w:r w:rsidRPr="009867C1">
        <w:t xml:space="preserve">, diversity, and community composition along gradients of MDN. In addition, </w:t>
      </w:r>
      <w:r w:rsidR="00461402">
        <w:t>I</w:t>
      </w:r>
      <w:r w:rsidRPr="009867C1">
        <w:t xml:space="preserve"> found differential responses to MDN along taxa subsets separated by trophic mode. The primary environmental correlates included elements directly deposited by salmon such as nitrogen, ammonium, nitrate,</w:t>
      </w:r>
      <w:r w:rsidR="00BC45E6">
        <w:t xml:space="preserve"> and </w:t>
      </w:r>
      <w:r w:rsidRPr="009867C1">
        <w:t xml:space="preserve"> phosphorus </w:t>
      </w:r>
      <w:r w:rsidRPr="009867C1">
        <w:fldChar w:fldCharType="begin"/>
      </w:r>
      <w:r w:rsidR="00AC0205">
        <w:instrText xml:space="preserve"> ADDIN ZOTERO_ITEM CSL_CITATION {"citationID":"yu6bhPon","properties":{"formattedCitation":"(Drake et al., 2005)","plainCitation":"(Drake et al., 2005)","noteIndex":0},"citationItems":[{"id":795,"uris":["http://zotero.org/users/2189142/items/RN834UDP"],"itemData":{"id":795,"type":"article-journal","container-title":"Northwest Science","issue":"1","page":"61–71","source":"Google Scholar","title":"Salmon decay and nutrient contributions to riparian forest soils","volume":"79","author":[{"family":"Drake","given":"Deanne C."},{"family":"Smith","given":"Jaron V."},{"family":"Naiman","given":"Robert J."}],"issued":{"date-parts":[["2005"]]},"citation-key":"drake_2005"}}],"schema":"https://github.com/citation-style-language/schema/raw/master/csl-citation.json"} </w:instrText>
      </w:r>
      <w:r w:rsidRPr="009867C1">
        <w:fldChar w:fldCharType="separate"/>
      </w:r>
      <w:r w:rsidR="0042141C" w:rsidRPr="009867C1">
        <w:t>(Drake et al., 2005)</w:t>
      </w:r>
      <w:r w:rsidRPr="009867C1">
        <w:fldChar w:fldCharType="end"/>
      </w:r>
      <w:r w:rsidRPr="009867C1">
        <w:t xml:space="preserve">, as well as other trace elements recently shown to impact fungal diversity such as manganese </w:t>
      </w:r>
      <w:r w:rsidRPr="009867C1">
        <w:fldChar w:fldCharType="begin"/>
      </w:r>
      <w:r w:rsidR="00AC0205">
        <w:instrText xml:space="preserve"> ADDIN ZOTERO_ITEM CSL_CITATION {"citationID":"EVskv21T","properties":{"formattedCitation":"(Kranabetter, 2019)","plainCitation":"(Kranabetter, 2019)","noteIndex":0},"citationItems":[{"id":1577,"uris":["http://zotero.org/users/2189142/items/YWFNN8JM"],"itemData":{"id":1577,"type":"article-journal","abstract":"Forest floor carbon (C) sequestration has been negatively correlated with manganese (Mn) availability, possibly due to reduced efficacy of Mn-peridoxase enzymes produced by Agaricomycete fungi. I examined a soil C and Mn dataset from a podzolization gradient, along with fungal sporocarp Mn concentrations, to potentially corroborate this finding. An inverse power relationship between soil C and soil Mn content across temperate rainforests was confirmed, which provides further evidence of a Mn bottleneck in C turnover. Average Mn concentrations of saprotrophic sporocarps were greater than those of ectomycorrhizal fungi, and displayed a similar inverse correlation with increasing soil C. The absence or limited effectiveness of select saprotrophic fungi across Mn-depleted forest soils may be one mechanism behind impeded turnover of recalcitrant organic matter.","container-title":"Soil Biology and Biochemistry","DOI":"10.1016/j.soilbio.2018.11.001","ISSN":"0038-0717","journalAbbreviation":"Soil Biology and Biochemistry","language":"en","page":"179-181","source":"ScienceDirect","title":"Increasing soil carbon content with declining soil manganese in temperate rainforests: is there a link to fungal Mn?","title-short":"Increasing soil carbon content with declining soil manganese in temperate rainforests","volume":"128","author":[{"family":"Kranabetter","given":"J. M."}],"issued":{"date-parts":[["2019",1,1]]},"citation-key":"kranabetter_2019a"}}],"schema":"https://github.com/citation-style-language/schema/raw/master/csl-citation.json"} </w:instrText>
      </w:r>
      <w:r w:rsidRPr="009867C1">
        <w:fldChar w:fldCharType="separate"/>
      </w:r>
      <w:r w:rsidR="0042141C" w:rsidRPr="009867C1">
        <w:t>(Kranabetter, 2019)</w:t>
      </w:r>
      <w:r w:rsidRPr="009867C1">
        <w:fldChar w:fldCharType="end"/>
      </w:r>
      <w:r w:rsidRPr="009867C1">
        <w:t xml:space="preserve">. Moss, herbs, shrubs, trees and coarse woody debris were also all important correlates, and given theoretical implications that nutrient subsidies increase interaction strength between species and can increase the magnitude of trophic cascades </w:t>
      </w:r>
      <w:r w:rsidRPr="009867C1">
        <w:fldChar w:fldCharType="begin"/>
      </w:r>
      <w:r w:rsidR="00AC0205">
        <w:instrText xml:space="preserve"> ADDIN ZOTERO_ITEM CSL_CITATION {"citationID":"2guenUbR","properties":{"formattedCitation":"(Leroux &amp; Loreau, 2008)","plainCitation":"(Leroux &amp; Loreau, 2008)","noteIndex":0},"citationItems":[{"id":618,"uris":["http://zotero.org/users/2189142/items/ID4MPAP3"],"itemData":{"id":618,"type":"article-journal","abstract":"Ecosystems are differentially open to subsidies of energy, material and organisms. This fundamental ecosystem attribute has long been recognized but the influence of this property on community regulation has not been investigated. We propose that this environmental attribute may explain variation in the strength of trophic cascades among ecosystems. Simply because of gravity, we should predict that systems with convex profiles receive low amounts of subsidies whereas systems with concave profiles act as spatial attractors, and receive high amounts of subsidies. The subsidy hypothesis states that ecosystems with high amounts of allochthonous inputs will experience the strongest trophic cascades. To test this hypothesis, we derive ecosystem models and investigate the effect of location and magnitude of subsidies on the strength of trophic cascades. Predictions from our models support the subsidy hypothesis and highlight the need to consider ecosystems as open to allochthonous flows.","container-title":"Ecology Letters","DOI":"10.1111/j.1461-0248.2008.01235.x","ISSN":"1461-0248","issue":"11","language":"en","page":"1147-1156","source":"Wiley Online Library","title":"Subsidy hypothesis and strength of trophic cascades across ecosystems","volume":"11","author":[{"family":"Leroux","given":"Shawn J."},{"family":"Loreau","given":"Michel"}],"issued":{"date-parts":[["2008",11,1]]},"citation-key":"leroux_2008"}}],"schema":"https://github.com/citation-style-language/schema/raw/master/csl-citation.json"} </w:instrText>
      </w:r>
      <w:r w:rsidRPr="009867C1">
        <w:fldChar w:fldCharType="separate"/>
      </w:r>
      <w:r w:rsidR="0042141C" w:rsidRPr="009867C1">
        <w:t>(Leroux &amp; Loreau, 2008)</w:t>
      </w:r>
      <w:r w:rsidRPr="009867C1">
        <w:fldChar w:fldCharType="end"/>
      </w:r>
      <w:r w:rsidRPr="009867C1">
        <w:t xml:space="preserve"> this may reflect complex feedbacks between nutrient inputs, soil microbiomes, and the plant community. Differences exist between continuous and pulsed additions </w:t>
      </w:r>
      <w:r w:rsidRPr="009867C1">
        <w:fldChar w:fldCharType="begin"/>
      </w:r>
      <w:r w:rsidR="00AC0205">
        <w:instrText xml:space="preserve"> ADDIN ZOTERO_ITEM CSL_CITATION {"citationID":"bVbxmcxa","properties":{"formattedCitation":"(Weber &amp; Brown, 2013)","plainCitation":"(Weber &amp; Brown, 2013)","noteIndex":0},"citationItems":[{"id":623,"uris":["http://zotero.org/users/2189142/items/PNR2AB44"],"itemData":{"id":623,"type":"article-journal","abstract":"Resource pulses and subsidies can supply ecosystems with an important source of nutrients that supports additional productivity at multiple trophic levels. Common carp Cyprinus carpio provide ecosystems with a continuous nutrient subsidy through bioturbation and excretion but may also initiate a nutrient pulse through carcass decomposition. We examined how continuous (common carp foraging and excretion), pulsed (carcass decomposition) and disrupted (carp introduced and then removed) nutrient subsidies differed in their ability to alter nutrient availability, ecosystem productivity and stability and energy flow. Nitrogen and phosphorus availability and primary production were highest in pulsed, intermediate in continuous and lowest for disrupted and control systems. Continuous, and to a lesser extent pulsed, systems were associated with decreased water clarity and macrophyte coverage. Nutrient pulses ascended to higher trophic levels and supported greater densities of consumers (i.e., zooplankton and macroinvertebrates). Biotic and abiotic responses in disrupted systems quickly returned to control levels and water quality improved. Light penetration and Daphnia spp. dynamics were more stable in systems with pulses whereas stability of other variables was similar across treatments. Biotic materials collected from pulsed and continuous subsidy systems were typically enriched in δ15N suggesting common carp-derived nutrients supported increased productivity whereas δ13C signatures were depleted suggesting a transition to more pelagic energy pathways, likely due to enhanced phytoplankton production. Our results suggest that continuous and pulsed nutrient subsidies vary in their ability to support and sustain ecosystem productivity with resulting variation in food web structure and ecosystem stability.","container-title":"Ecosphere","DOI":"10.1890/ES12-00354.1","ISSN":"2150-8925","issue":"2","journalAbbreviation":"Ecosphere","page":"art27","source":"esajournals.org.ezproxy.library.ubc.ca (Atypon)","title":"Continuous, pulsed and disrupted nutrient subsidy effects on ecosystem productivity, stability, and energy flow","volume":"4","author":[{"family":"Weber","given":"Michael J."},{"family":"Brown","given":"Michael L."}],"issued":{"date-parts":[["2013",2,1]]},"citation-key":"weber_2013a"}}],"schema":"https://github.com/citation-style-language/schema/raw/master/csl-citation.json"} </w:instrText>
      </w:r>
      <w:r w:rsidRPr="009867C1">
        <w:fldChar w:fldCharType="separate"/>
      </w:r>
      <w:r w:rsidR="0042141C" w:rsidRPr="009867C1">
        <w:t>(Weber &amp; Brown, 2013)</w:t>
      </w:r>
      <w:r w:rsidRPr="009867C1">
        <w:fldChar w:fldCharType="end"/>
      </w:r>
      <w:r w:rsidRPr="009867C1">
        <w:t xml:space="preserve">, with some evidence that pulses of nutrients are ‘better’ at promoting diversity and ecosystem functioning. These salmon forests thus represent a unique window into these processes. There remain relatively few investigations of soil fungal microbiome changes along complex gradients such as the one investigated here. Salmon additions represent the addition of a diverse number of organic nutrients and chemicals, and this study emphasizes that comparison with nitrogen gradients alone may not capture the full story driving community dynamics. </w:t>
      </w:r>
    </w:p>
    <w:p w14:paraId="78091C39" w14:textId="77777777" w:rsidR="00086155" w:rsidRPr="009867C1" w:rsidRDefault="00086155" w:rsidP="00086155">
      <w:pPr>
        <w:ind w:firstLine="720"/>
      </w:pPr>
    </w:p>
    <w:p w14:paraId="108CA06F" w14:textId="7B290EF2" w:rsidR="00086155" w:rsidRPr="009867C1" w:rsidRDefault="001B20F2" w:rsidP="00086155">
      <w:pPr>
        <w:pStyle w:val="Heading3"/>
      </w:pPr>
      <w:bookmarkStart w:id="167" w:name="_Toc99385470"/>
      <w:r w:rsidRPr="009867C1">
        <w:t xml:space="preserve">Tables and </w:t>
      </w:r>
      <w:r w:rsidR="00086155" w:rsidRPr="009867C1">
        <w:t>Figures</w:t>
      </w:r>
      <w:bookmarkEnd w:id="167"/>
    </w:p>
    <w:p w14:paraId="7DF38130" w14:textId="60FF2415" w:rsidR="00086155" w:rsidRPr="009867C1" w:rsidRDefault="003E559B" w:rsidP="00086155">
      <w:pPr>
        <w:keepNext/>
      </w:pPr>
      <w:r>
        <w:rPr>
          <w:noProof/>
        </w:rPr>
        <w:drawing>
          <wp:inline distT="0" distB="0" distL="0" distR="0" wp14:anchorId="637C334A" wp14:editId="451089E6">
            <wp:extent cx="6469811" cy="5526822"/>
            <wp:effectExtent l="0" t="0" r="762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0">
                      <a:extLst>
                        <a:ext uri="{28A0092B-C50C-407E-A947-70E740481C1C}">
                          <a14:useLocalDpi xmlns:a14="http://schemas.microsoft.com/office/drawing/2010/main" val="0"/>
                        </a:ext>
                      </a:extLst>
                    </a:blip>
                    <a:srcRect l="10466" r="23689"/>
                    <a:stretch/>
                  </pic:blipFill>
                  <pic:spPr bwMode="auto">
                    <a:xfrm>
                      <a:off x="0" y="0"/>
                      <a:ext cx="6477778" cy="5533628"/>
                    </a:xfrm>
                    <a:prstGeom prst="rect">
                      <a:avLst/>
                    </a:prstGeom>
                    <a:noFill/>
                    <a:ln>
                      <a:noFill/>
                    </a:ln>
                    <a:extLst>
                      <a:ext uri="{53640926-AAD7-44D8-BBD7-CCE9431645EC}">
                        <a14:shadowObscured xmlns:a14="http://schemas.microsoft.com/office/drawing/2010/main"/>
                      </a:ext>
                    </a:extLst>
                  </pic:spPr>
                </pic:pic>
              </a:graphicData>
            </a:graphic>
          </wp:inline>
        </w:drawing>
      </w:r>
    </w:p>
    <w:p w14:paraId="3D8A8623" w14:textId="3CDD1F47" w:rsidR="001B20F2" w:rsidRPr="009867C1" w:rsidRDefault="00086155" w:rsidP="00086155">
      <w:pPr>
        <w:pStyle w:val="Caption"/>
        <w:rPr>
          <w:vanish/>
          <w:specVanish/>
        </w:rPr>
      </w:pPr>
      <w:bookmarkStart w:id="168" w:name="_Ref61874294"/>
      <w:bookmarkStart w:id="169" w:name="_Toc101783816"/>
      <w:bookmarkStart w:id="170" w:name="_Toc74923565"/>
      <w:r w:rsidRPr="009867C1">
        <w:t xml:space="preserve">Figure </w:t>
      </w:r>
      <w:r w:rsidR="008C26C1">
        <w:fldChar w:fldCharType="begin"/>
      </w:r>
      <w:r w:rsidR="008C26C1">
        <w:instrText xml:space="preserve"> STYLEREF 2 \s </w:instrText>
      </w:r>
      <w:r w:rsidR="008C26C1">
        <w:fldChar w:fldCharType="separate"/>
      </w:r>
      <w:r w:rsidR="000667DB">
        <w:rPr>
          <w:noProof/>
        </w:rPr>
        <w:t>4</w:t>
      </w:r>
      <w:r w:rsidR="008C26C1">
        <w:fldChar w:fldCharType="end"/>
      </w:r>
      <w:r w:rsidR="008C26C1">
        <w:noBreakHyphen/>
      </w:r>
      <w:r w:rsidR="008C26C1">
        <w:fldChar w:fldCharType="begin"/>
      </w:r>
      <w:r w:rsidR="008C26C1">
        <w:instrText xml:space="preserve"> SEQ Figure \* ARABIC \s 2 </w:instrText>
      </w:r>
      <w:r w:rsidR="008C26C1">
        <w:fldChar w:fldCharType="separate"/>
      </w:r>
      <w:r w:rsidR="000667DB">
        <w:rPr>
          <w:noProof/>
        </w:rPr>
        <w:t>1</w:t>
      </w:r>
      <w:r w:rsidR="008C26C1">
        <w:fldChar w:fldCharType="end"/>
      </w:r>
      <w:bookmarkEnd w:id="168"/>
      <w:r w:rsidRPr="009867C1">
        <w:t xml:space="preserve">: Heat trees of ITS </w:t>
      </w:r>
      <w:r w:rsidR="00E06422">
        <w:t xml:space="preserve">relative </w:t>
      </w:r>
      <w:r w:rsidRPr="009867C1">
        <w:t>abundance agglomerated to genus for the regional gradient data for forest floor (A) and organic (B) soils</w:t>
      </w:r>
      <w:bookmarkEnd w:id="169"/>
    </w:p>
    <w:p w14:paraId="01AFF77E" w14:textId="13A3C929" w:rsidR="00086155" w:rsidRPr="009867C1" w:rsidRDefault="001B20F2" w:rsidP="00086155">
      <w:pPr>
        <w:pStyle w:val="Caption"/>
      </w:pPr>
      <w:r w:rsidRPr="009867C1">
        <w:t xml:space="preserve"> </w:t>
      </w:r>
      <w:r w:rsidR="00086155" w:rsidRPr="009867C1">
        <w:t>; and using f</w:t>
      </w:r>
      <w:r w:rsidR="00265054">
        <w:t>our</w:t>
      </w:r>
      <w:r w:rsidR="00086155" w:rsidRPr="009867C1">
        <w:t xml:space="preserve"> sites with waterfalls both above and below falls for the forest floor (C) and organic (D) soils. Non-tip taxa are sums of downstream nodes; darker color indicates </w:t>
      </w:r>
      <w:r w:rsidR="00265054">
        <w:t>higher cumulative relative abundance</w:t>
      </w:r>
      <w:r w:rsidR="00086155" w:rsidRPr="009867C1">
        <w:t xml:space="preserve"> in that taxon. Ascomycota and Agaricomycetes dominated these communities.</w:t>
      </w:r>
      <w:bookmarkEnd w:id="170"/>
      <w:r w:rsidR="00461402">
        <w:t xml:space="preserve"> Phylogenies reflect ITS relationships rather than consensus trees. </w:t>
      </w:r>
    </w:p>
    <w:p w14:paraId="56B6435C" w14:textId="77777777" w:rsidR="00086155" w:rsidRPr="009867C1" w:rsidRDefault="00086155" w:rsidP="00086155"/>
    <w:p w14:paraId="29430F2C" w14:textId="58FEEECC" w:rsidR="00086155" w:rsidRPr="009867C1" w:rsidRDefault="003E559B" w:rsidP="00086155">
      <w:pPr>
        <w:keepNext/>
      </w:pPr>
      <w:r>
        <w:rPr>
          <w:noProof/>
        </w:rPr>
        <w:drawing>
          <wp:inline distT="0" distB="0" distL="0" distR="0" wp14:anchorId="516CE8A5" wp14:editId="034794DA">
            <wp:extent cx="6400800" cy="5075617"/>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1">
                      <a:extLst>
                        <a:ext uri="{28A0092B-C50C-407E-A947-70E740481C1C}">
                          <a14:useLocalDpi xmlns:a14="http://schemas.microsoft.com/office/drawing/2010/main" val="0"/>
                        </a:ext>
                      </a:extLst>
                    </a:blip>
                    <a:srcRect l="10902" r="18164"/>
                    <a:stretch/>
                  </pic:blipFill>
                  <pic:spPr bwMode="auto">
                    <a:xfrm>
                      <a:off x="0" y="0"/>
                      <a:ext cx="6406532" cy="5080162"/>
                    </a:xfrm>
                    <a:prstGeom prst="rect">
                      <a:avLst/>
                    </a:prstGeom>
                    <a:noFill/>
                    <a:ln>
                      <a:noFill/>
                    </a:ln>
                    <a:extLst>
                      <a:ext uri="{53640926-AAD7-44D8-BBD7-CCE9431645EC}">
                        <a14:shadowObscured xmlns:a14="http://schemas.microsoft.com/office/drawing/2010/main"/>
                      </a:ext>
                    </a:extLst>
                  </pic:spPr>
                </pic:pic>
              </a:graphicData>
            </a:graphic>
          </wp:inline>
        </w:drawing>
      </w:r>
    </w:p>
    <w:p w14:paraId="077E029C" w14:textId="2A53864F" w:rsidR="001B20F2" w:rsidRPr="009867C1" w:rsidRDefault="00086155" w:rsidP="00086155">
      <w:pPr>
        <w:pStyle w:val="Caption"/>
        <w:rPr>
          <w:vanish/>
          <w:specVanish/>
        </w:rPr>
      </w:pPr>
      <w:bookmarkStart w:id="171" w:name="_Ref61874299"/>
      <w:bookmarkStart w:id="172" w:name="_Toc101783817"/>
      <w:bookmarkStart w:id="173" w:name="_Toc74923566"/>
      <w:r w:rsidRPr="009867C1">
        <w:t xml:space="preserve">Figure </w:t>
      </w:r>
      <w:r w:rsidR="008C26C1">
        <w:noBreakHyphen/>
      </w:r>
      <w:r w:rsidR="008C26C1">
        <w:fldChar w:fldCharType="begin"/>
      </w:r>
      <w:r w:rsidR="008C26C1">
        <w:instrText xml:space="preserve"> SEQ Figure \* ARABIC \s 2 </w:instrText>
      </w:r>
      <w:r w:rsidR="008C26C1">
        <w:fldChar w:fldCharType="separate"/>
      </w:r>
      <w:r w:rsidR="000667DB">
        <w:rPr>
          <w:noProof/>
        </w:rPr>
        <w:t>2</w:t>
      </w:r>
      <w:r w:rsidR="008C26C1">
        <w:fldChar w:fldCharType="end"/>
      </w:r>
      <w:bookmarkEnd w:id="171"/>
      <w:r w:rsidRPr="009867C1">
        <w:t>: : Heat trees of SSU re</w:t>
      </w:r>
      <w:r w:rsidR="00265054">
        <w:t>lative</w:t>
      </w:r>
      <w:r w:rsidRPr="009867C1">
        <w:t xml:space="preserve"> abundance agglomerated to genus for the regional gradient data for forest floor (A) and organic (B) soils</w:t>
      </w:r>
      <w:bookmarkEnd w:id="172"/>
    </w:p>
    <w:p w14:paraId="0CA9C0F0" w14:textId="5C285DD0" w:rsidR="00086155" w:rsidRPr="009867C1" w:rsidRDefault="001B20F2" w:rsidP="00086155">
      <w:pPr>
        <w:pStyle w:val="Caption"/>
      </w:pPr>
      <w:r w:rsidRPr="009867C1">
        <w:t xml:space="preserve"> </w:t>
      </w:r>
      <w:r w:rsidR="00086155" w:rsidRPr="009867C1">
        <w:t>; and using f</w:t>
      </w:r>
      <w:r w:rsidR="00265054">
        <w:t>our</w:t>
      </w:r>
      <w:r w:rsidR="00086155" w:rsidRPr="009867C1">
        <w:t xml:space="preserve"> sites with waterfalls both above and below falls for the forest floor (C) and organic (D) soils. Non-tip taxa are sums of downstream nodes; darker color indicates </w:t>
      </w:r>
      <w:r w:rsidR="00A71665">
        <w:t xml:space="preserve">higher relative abundance </w:t>
      </w:r>
      <w:r w:rsidR="00086155" w:rsidRPr="009867C1">
        <w:t>in that taxon. Ascomycota and Agaricomycetes dominated these communities.</w:t>
      </w:r>
      <w:bookmarkEnd w:id="173"/>
      <w:r w:rsidR="00461402">
        <w:t xml:space="preserve"> Phylogenies reflect SSU relationships rather than consensus trees.</w:t>
      </w:r>
    </w:p>
    <w:p w14:paraId="37D5DBEA" w14:textId="4ED5C800" w:rsidR="00086155" w:rsidRPr="009867C1" w:rsidRDefault="00843358" w:rsidP="00086155">
      <w:pPr>
        <w:keepNext/>
      </w:pPr>
      <w:r>
        <w:rPr>
          <w:noProof/>
          <w:lang w:eastAsia="en-CA"/>
        </w:rPr>
        <w:drawing>
          <wp:inline distT="0" distB="0" distL="0" distR="0" wp14:anchorId="47CEC9A8" wp14:editId="011D23A0">
            <wp:extent cx="5353050" cy="80105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2">
                      <a:extLst>
                        <a:ext uri="{28A0092B-C50C-407E-A947-70E740481C1C}">
                          <a14:useLocalDpi xmlns:a14="http://schemas.microsoft.com/office/drawing/2010/main" val="0"/>
                        </a:ext>
                      </a:extLst>
                    </a:blip>
                    <a:srcRect t="2662"/>
                    <a:stretch/>
                  </pic:blipFill>
                  <pic:spPr bwMode="auto">
                    <a:xfrm>
                      <a:off x="0" y="0"/>
                      <a:ext cx="5353050" cy="8010525"/>
                    </a:xfrm>
                    <a:prstGeom prst="rect">
                      <a:avLst/>
                    </a:prstGeom>
                    <a:noFill/>
                    <a:ln>
                      <a:noFill/>
                    </a:ln>
                    <a:extLst>
                      <a:ext uri="{53640926-AAD7-44D8-BBD7-CCE9431645EC}">
                        <a14:shadowObscured xmlns:a14="http://schemas.microsoft.com/office/drawing/2010/main"/>
                      </a:ext>
                    </a:extLst>
                  </pic:spPr>
                </pic:pic>
              </a:graphicData>
            </a:graphic>
          </wp:inline>
        </w:drawing>
      </w:r>
    </w:p>
    <w:p w14:paraId="0A09805D" w14:textId="4139594D" w:rsidR="005E2322" w:rsidRPr="009867C1" w:rsidRDefault="00086155" w:rsidP="00086155">
      <w:pPr>
        <w:pStyle w:val="Caption"/>
        <w:rPr>
          <w:vanish/>
          <w:specVanish/>
        </w:rPr>
      </w:pPr>
      <w:bookmarkStart w:id="174" w:name="_Ref61874940"/>
      <w:bookmarkStart w:id="175" w:name="_Toc101783818"/>
      <w:bookmarkStart w:id="176" w:name="_Toc74923567"/>
      <w:r w:rsidRPr="009867C1">
        <w:t xml:space="preserve">Figure </w:t>
      </w:r>
      <w:r w:rsidR="008C26C1">
        <w:fldChar w:fldCharType="begin"/>
      </w:r>
      <w:r w:rsidR="008C26C1">
        <w:instrText xml:space="preserve"> STYLEREF 2 \s </w:instrText>
      </w:r>
      <w:r w:rsidR="008C26C1">
        <w:fldChar w:fldCharType="separate"/>
      </w:r>
      <w:r w:rsidR="000667DB">
        <w:rPr>
          <w:noProof/>
        </w:rPr>
        <w:t>4</w:t>
      </w:r>
      <w:r w:rsidR="008C26C1">
        <w:fldChar w:fldCharType="end"/>
      </w:r>
      <w:r w:rsidR="008C26C1">
        <w:noBreakHyphen/>
      </w:r>
      <w:r w:rsidR="008C26C1">
        <w:fldChar w:fldCharType="begin"/>
      </w:r>
      <w:r w:rsidR="008C26C1">
        <w:instrText xml:space="preserve"> SEQ Figure \* ARABIC \s 2 </w:instrText>
      </w:r>
      <w:r w:rsidR="008C26C1">
        <w:fldChar w:fldCharType="separate"/>
      </w:r>
      <w:r w:rsidR="000667DB">
        <w:rPr>
          <w:noProof/>
        </w:rPr>
        <w:t>3</w:t>
      </w:r>
      <w:r w:rsidR="008C26C1">
        <w:fldChar w:fldCharType="end"/>
      </w:r>
      <w:bookmarkEnd w:id="174"/>
      <w:r w:rsidRPr="009867C1">
        <w:t xml:space="preserve">: </w:t>
      </w:r>
      <w:r w:rsidR="00843358">
        <w:t>Relative</w:t>
      </w:r>
      <w:r w:rsidRPr="009867C1">
        <w:t xml:space="preserve"> read abundance for ITS (A-D) and SSU (E-H) amplicons for forest floor soil (first and third row) and organic soil (second and fourth row)</w:t>
      </w:r>
      <w:bookmarkEnd w:id="175"/>
    </w:p>
    <w:p w14:paraId="22627A99" w14:textId="62763D68" w:rsidR="00086155" w:rsidRPr="009867C1" w:rsidRDefault="005E2322" w:rsidP="00086155">
      <w:pPr>
        <w:pStyle w:val="Caption"/>
      </w:pPr>
      <w:r w:rsidRPr="009867C1">
        <w:t xml:space="preserve"> </w:t>
      </w:r>
      <w:r w:rsidR="00086155" w:rsidRPr="009867C1">
        <w:t xml:space="preserve">; scatter plots (A, C, E, G) are representations of the gradient data; Tukey boxplots (B, D, F, H) are representations of the above/below falls dataset. X-axis is salmon density (scatter plots) or above/below waterfalls (above/below data). </w:t>
      </w:r>
      <w:r w:rsidR="00685552">
        <w:t>G</w:t>
      </w:r>
      <w:r w:rsidR="00086155" w:rsidRPr="009867C1">
        <w:t>reen</w:t>
      </w:r>
      <w:r w:rsidR="00685552">
        <w:t xml:space="preserve"> curves</w:t>
      </w:r>
      <w:r w:rsidR="00086155" w:rsidRPr="009867C1">
        <w:t xml:space="preserve"> are a subset of FunGuild-identified sequences that include the word ‘symbiotroph’ in their trophic mode designation; and </w:t>
      </w:r>
      <w:r w:rsidR="00685552">
        <w:t>brown</w:t>
      </w:r>
      <w:r w:rsidR="00086155" w:rsidRPr="009867C1">
        <w:t xml:space="preserve"> similarly includes only those of ‘saprotroph’ trophic mode. Lines are loess curves smoothed with a tricubic weighting function over a neighbourhood of 1.2% of the data. Tukey boxplots are drawn from above (gray) and below (salmon color) waterfalls; dark bars are the median; boxes the 25</w:t>
      </w:r>
      <w:r w:rsidR="00086155" w:rsidRPr="009867C1">
        <w:rPr>
          <w:vertAlign w:val="superscript"/>
        </w:rPr>
        <w:t>th</w:t>
      </w:r>
      <w:r w:rsidR="00086155" w:rsidRPr="009867C1">
        <w:t xml:space="preserve"> and 75</w:t>
      </w:r>
      <w:r w:rsidR="00086155" w:rsidRPr="009867C1">
        <w:rPr>
          <w:vertAlign w:val="superscript"/>
        </w:rPr>
        <w:t>th</w:t>
      </w:r>
      <w:r w:rsidR="00086155" w:rsidRPr="009867C1">
        <w:t xml:space="preserve"> percentiles; upper and lower whiskers represent ± 1.5*(IQR), where IQR is the interquartile range; data outside the whiskers displayed as points.</w:t>
      </w:r>
      <w:bookmarkEnd w:id="176"/>
      <w:r w:rsidR="00086155" w:rsidRPr="009867C1">
        <w:t xml:space="preserve">      </w:t>
      </w:r>
    </w:p>
    <w:p w14:paraId="37060A36" w14:textId="5EA960AF" w:rsidR="00086155" w:rsidRPr="009867C1" w:rsidRDefault="00843358" w:rsidP="00086155">
      <w:pPr>
        <w:keepNext/>
      </w:pPr>
      <w:r>
        <w:rPr>
          <w:noProof/>
          <w:lang w:eastAsia="en-CA"/>
        </w:rPr>
        <w:drawing>
          <wp:inline distT="0" distB="0" distL="0" distR="0" wp14:anchorId="18F23C69" wp14:editId="1BFD476A">
            <wp:extent cx="5353050" cy="82296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53050" cy="8229600"/>
                    </a:xfrm>
                    <a:prstGeom prst="rect">
                      <a:avLst/>
                    </a:prstGeom>
                    <a:noFill/>
                    <a:ln>
                      <a:noFill/>
                    </a:ln>
                  </pic:spPr>
                </pic:pic>
              </a:graphicData>
            </a:graphic>
          </wp:inline>
        </w:drawing>
      </w:r>
    </w:p>
    <w:p w14:paraId="5F19A332" w14:textId="12D20080" w:rsidR="005E2322" w:rsidRPr="009867C1" w:rsidRDefault="00086155" w:rsidP="00086155">
      <w:pPr>
        <w:pStyle w:val="Caption"/>
        <w:rPr>
          <w:vanish/>
          <w:specVanish/>
        </w:rPr>
      </w:pPr>
      <w:bookmarkStart w:id="177" w:name="_Ref64656729"/>
      <w:bookmarkStart w:id="178" w:name="_Toc101783819"/>
      <w:bookmarkStart w:id="179" w:name="_Toc74923568"/>
      <w:r w:rsidRPr="009867C1">
        <w:t xml:space="preserve">Figure </w:t>
      </w:r>
      <w:r w:rsidR="008C26C1">
        <w:fldChar w:fldCharType="begin"/>
      </w:r>
      <w:r w:rsidR="008C26C1">
        <w:instrText xml:space="preserve"> STYLEREF 2 \s </w:instrText>
      </w:r>
      <w:r w:rsidR="008C26C1">
        <w:fldChar w:fldCharType="separate"/>
      </w:r>
      <w:r w:rsidR="000667DB">
        <w:rPr>
          <w:noProof/>
        </w:rPr>
        <w:t>4</w:t>
      </w:r>
      <w:r w:rsidR="008C26C1">
        <w:fldChar w:fldCharType="end"/>
      </w:r>
      <w:r w:rsidR="008C26C1">
        <w:noBreakHyphen/>
      </w:r>
      <w:r w:rsidR="008C26C1">
        <w:fldChar w:fldCharType="begin"/>
      </w:r>
      <w:r w:rsidR="008C26C1">
        <w:instrText xml:space="preserve"> SEQ Figure \* ARABIC \s 2 </w:instrText>
      </w:r>
      <w:r w:rsidR="008C26C1">
        <w:fldChar w:fldCharType="separate"/>
      </w:r>
      <w:r w:rsidR="000667DB">
        <w:rPr>
          <w:noProof/>
        </w:rPr>
        <w:t>4</w:t>
      </w:r>
      <w:r w:rsidR="008C26C1">
        <w:fldChar w:fldCharType="end"/>
      </w:r>
      <w:bookmarkEnd w:id="177"/>
      <w:r w:rsidRPr="009867C1">
        <w:t>: Species richness for ITS (A-D) and SSU (E-H) amplicons for forest floor soil (first and third row) and organic soil (second and fourth row)</w:t>
      </w:r>
      <w:bookmarkEnd w:id="178"/>
    </w:p>
    <w:p w14:paraId="17E5E960" w14:textId="282B50E5" w:rsidR="00144E77" w:rsidRDefault="005E2322" w:rsidP="005E2322">
      <w:pPr>
        <w:pStyle w:val="Caption"/>
      </w:pPr>
      <w:r w:rsidRPr="009867C1">
        <w:t xml:space="preserve"> </w:t>
      </w:r>
      <w:r w:rsidR="00086155" w:rsidRPr="009867C1">
        <w:t xml:space="preserve">; scatter plots (A, C, E, G) are representations of the gradient data; Tukey boxplots (B, D, F, H) are representations of the above/below dataset. X-axis is salmon density (scatter plots) or above/below waterfalls (above/below data). </w:t>
      </w:r>
      <w:r w:rsidR="008C44E2">
        <w:t>Black</w:t>
      </w:r>
      <w:r w:rsidR="00086155" w:rsidRPr="009867C1">
        <w:t xml:space="preserve"> lines include all taxa, green are a subset of FunGuild-identified sequences that include the word ‘symbiotroph’ in their trophic mode designation; and </w:t>
      </w:r>
      <w:r w:rsidR="008C44E2">
        <w:t>brown</w:t>
      </w:r>
      <w:r w:rsidR="00086155" w:rsidRPr="009867C1">
        <w:t xml:space="preserve"> similarly includes only those of ‘saprotroph’ trophic mode. Lines are loess curves smoothed with a tricubic weighting function over a neighbourhood of 1.2% of the data. Tukey boxplots are drawn from above (gray) and below (salmon color) waterfalls; dark bars are the median; boxes the 25</w:t>
      </w:r>
      <w:r w:rsidR="00086155" w:rsidRPr="009867C1">
        <w:rPr>
          <w:vertAlign w:val="superscript"/>
        </w:rPr>
        <w:t>th</w:t>
      </w:r>
      <w:r w:rsidR="00086155" w:rsidRPr="009867C1">
        <w:t xml:space="preserve"> and 75</w:t>
      </w:r>
      <w:r w:rsidR="00086155" w:rsidRPr="009867C1">
        <w:rPr>
          <w:vertAlign w:val="superscript"/>
        </w:rPr>
        <w:t>th</w:t>
      </w:r>
      <w:r w:rsidR="00086155" w:rsidRPr="009867C1">
        <w:t xml:space="preserve"> percentiles; upper and lower whiskers represent ± 1.5*(IQR), where IQR is the interquartile range; data outside the</w:t>
      </w:r>
      <w:r w:rsidR="002551ED">
        <w:t xml:space="preserve"> w</w:t>
      </w:r>
      <w:r w:rsidR="00086155" w:rsidRPr="009867C1">
        <w:t>hiskers displayed as points.</w:t>
      </w:r>
      <w:bookmarkEnd w:id="179"/>
      <w:r w:rsidR="00144E77">
        <w:t xml:space="preserve">     </w:t>
      </w:r>
    </w:p>
    <w:p w14:paraId="491C269D" w14:textId="1369B861" w:rsidR="00086155" w:rsidRPr="009867C1" w:rsidRDefault="00086155" w:rsidP="005E2322">
      <w:pPr>
        <w:pStyle w:val="Caption"/>
      </w:pPr>
      <w:r w:rsidRPr="009867C1">
        <w:t xml:space="preserve"> </w:t>
      </w:r>
      <w:r w:rsidR="00843358">
        <w:rPr>
          <w:noProof/>
          <w:lang w:eastAsia="en-CA"/>
        </w:rPr>
        <w:drawing>
          <wp:inline distT="0" distB="0" distL="0" distR="0" wp14:anchorId="2912C2AD" wp14:editId="14B9E088">
            <wp:extent cx="5353050" cy="80581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4">
                      <a:extLst>
                        <a:ext uri="{28A0092B-C50C-407E-A947-70E740481C1C}">
                          <a14:useLocalDpi xmlns:a14="http://schemas.microsoft.com/office/drawing/2010/main" val="0"/>
                        </a:ext>
                      </a:extLst>
                    </a:blip>
                    <a:srcRect t="2084"/>
                    <a:stretch/>
                  </pic:blipFill>
                  <pic:spPr bwMode="auto">
                    <a:xfrm>
                      <a:off x="0" y="0"/>
                      <a:ext cx="5353050" cy="8058150"/>
                    </a:xfrm>
                    <a:prstGeom prst="rect">
                      <a:avLst/>
                    </a:prstGeom>
                    <a:noFill/>
                    <a:ln>
                      <a:noFill/>
                    </a:ln>
                    <a:extLst>
                      <a:ext uri="{53640926-AAD7-44D8-BBD7-CCE9431645EC}">
                        <a14:shadowObscured xmlns:a14="http://schemas.microsoft.com/office/drawing/2010/main"/>
                      </a:ext>
                    </a:extLst>
                  </pic:spPr>
                </pic:pic>
              </a:graphicData>
            </a:graphic>
          </wp:inline>
        </w:drawing>
      </w:r>
    </w:p>
    <w:p w14:paraId="6BB344E5" w14:textId="1D2ECE00" w:rsidR="00260F6F" w:rsidRPr="009867C1" w:rsidRDefault="00086155" w:rsidP="00086155">
      <w:pPr>
        <w:pStyle w:val="Caption"/>
        <w:rPr>
          <w:vanish/>
          <w:specVanish/>
        </w:rPr>
      </w:pPr>
      <w:bookmarkStart w:id="180" w:name="_Ref61877862"/>
      <w:bookmarkStart w:id="181" w:name="_Toc101783820"/>
      <w:bookmarkStart w:id="182" w:name="_Toc74923569"/>
      <w:r w:rsidRPr="009867C1">
        <w:t xml:space="preserve">Figure </w:t>
      </w:r>
      <w:r w:rsidR="008C26C1">
        <w:fldChar w:fldCharType="begin"/>
      </w:r>
      <w:r w:rsidR="008C26C1">
        <w:instrText xml:space="preserve"> STYLEREF 2 \s </w:instrText>
      </w:r>
      <w:r w:rsidR="008C26C1">
        <w:fldChar w:fldCharType="separate"/>
      </w:r>
      <w:r w:rsidR="000667DB">
        <w:rPr>
          <w:noProof/>
        </w:rPr>
        <w:t>4</w:t>
      </w:r>
      <w:r w:rsidR="008C26C1">
        <w:fldChar w:fldCharType="end"/>
      </w:r>
      <w:r w:rsidR="008C26C1">
        <w:noBreakHyphen/>
      </w:r>
      <w:r w:rsidR="008C26C1">
        <w:fldChar w:fldCharType="begin"/>
      </w:r>
      <w:r w:rsidR="008C26C1">
        <w:instrText xml:space="preserve"> SEQ Figure \* ARABIC \s 2 </w:instrText>
      </w:r>
      <w:r w:rsidR="008C26C1">
        <w:fldChar w:fldCharType="separate"/>
      </w:r>
      <w:r w:rsidR="000667DB">
        <w:rPr>
          <w:noProof/>
        </w:rPr>
        <w:t>5</w:t>
      </w:r>
      <w:r w:rsidR="008C26C1">
        <w:fldChar w:fldCharType="end"/>
      </w:r>
      <w:bookmarkEnd w:id="180"/>
      <w:r w:rsidRPr="009867C1">
        <w:t>: Shannon diversity for ITS (A-D) and SSU (E-H) amplicons for forest floor soil (first and third row) and organic soil (second and fourth row)</w:t>
      </w:r>
      <w:bookmarkEnd w:id="181"/>
    </w:p>
    <w:p w14:paraId="66B33A35" w14:textId="24D3952D" w:rsidR="00086155" w:rsidRPr="009867C1" w:rsidRDefault="00260F6F" w:rsidP="00086155">
      <w:pPr>
        <w:pStyle w:val="Caption"/>
        <w:rPr>
          <w:noProof/>
          <w:lang w:eastAsia="en-CA"/>
        </w:rPr>
      </w:pPr>
      <w:r w:rsidRPr="009867C1">
        <w:t xml:space="preserve"> </w:t>
      </w:r>
      <w:r w:rsidR="00086155" w:rsidRPr="009867C1">
        <w:t xml:space="preserve">; scatter plots (A, C, E, G) are representations of the gradient data; Tukey boxplots (B, D, F, H) are representations of the above/below dataset. X-axis is salmon density (scatter plots) or above/below waterfalls (above/below data). </w:t>
      </w:r>
      <w:r w:rsidR="008C44E2">
        <w:t>Black</w:t>
      </w:r>
      <w:r w:rsidR="00086155" w:rsidRPr="009867C1">
        <w:t xml:space="preserve"> lines include all taxa, green are a subset of FunGuild-identified sequences that include the word ‘symbiotroph’ in their trophic mode designation; and </w:t>
      </w:r>
      <w:r w:rsidR="008C44E2">
        <w:t>brown</w:t>
      </w:r>
      <w:r w:rsidR="00086155" w:rsidRPr="009867C1">
        <w:t xml:space="preserve"> similarly includes only those of ‘saprotroph’ trophic mode. Lines are loess curves smoothed with a tricubic weighting function over a neighbourhood of 1.2% of the data. Tukey boxplots are drawn from above (gray) and below (salmon color) waterfalls; dark bars are the median; boxes the 25</w:t>
      </w:r>
      <w:r w:rsidR="00086155" w:rsidRPr="009867C1">
        <w:rPr>
          <w:vertAlign w:val="superscript"/>
        </w:rPr>
        <w:t>th</w:t>
      </w:r>
      <w:r w:rsidR="00086155" w:rsidRPr="009867C1">
        <w:t xml:space="preserve"> and 75</w:t>
      </w:r>
      <w:r w:rsidR="00086155" w:rsidRPr="009867C1">
        <w:rPr>
          <w:vertAlign w:val="superscript"/>
        </w:rPr>
        <w:t>th</w:t>
      </w:r>
      <w:r w:rsidR="00086155" w:rsidRPr="009867C1">
        <w:t xml:space="preserve"> percentiles; upper and lower whiskers represent ± 1.5*(IQR), where IQR is the interquartile range; data outside the whiskers displayed as points.</w:t>
      </w:r>
      <w:bookmarkEnd w:id="182"/>
      <w:r w:rsidR="00086155" w:rsidRPr="009867C1">
        <w:t xml:space="preserve">      </w:t>
      </w:r>
    </w:p>
    <w:p w14:paraId="04CD01BD" w14:textId="3C521F1D" w:rsidR="00086155" w:rsidRPr="009867C1" w:rsidRDefault="00843358" w:rsidP="00086155">
      <w:pPr>
        <w:keepNext/>
      </w:pPr>
      <w:r>
        <w:rPr>
          <w:noProof/>
          <w:lang w:eastAsia="en-CA"/>
        </w:rPr>
        <w:drawing>
          <wp:inline distT="0" distB="0" distL="0" distR="0" wp14:anchorId="0A6DC626" wp14:editId="6CD1C8A7">
            <wp:extent cx="5353050" cy="78295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5">
                      <a:extLst>
                        <a:ext uri="{28A0092B-C50C-407E-A947-70E740481C1C}">
                          <a14:useLocalDpi xmlns:a14="http://schemas.microsoft.com/office/drawing/2010/main" val="0"/>
                        </a:ext>
                      </a:extLst>
                    </a:blip>
                    <a:srcRect b="4861"/>
                    <a:stretch/>
                  </pic:blipFill>
                  <pic:spPr bwMode="auto">
                    <a:xfrm>
                      <a:off x="0" y="0"/>
                      <a:ext cx="5353050" cy="7829550"/>
                    </a:xfrm>
                    <a:prstGeom prst="rect">
                      <a:avLst/>
                    </a:prstGeom>
                    <a:noFill/>
                    <a:ln>
                      <a:noFill/>
                    </a:ln>
                    <a:extLst>
                      <a:ext uri="{53640926-AAD7-44D8-BBD7-CCE9431645EC}">
                        <a14:shadowObscured xmlns:a14="http://schemas.microsoft.com/office/drawing/2010/main"/>
                      </a:ext>
                    </a:extLst>
                  </pic:spPr>
                </pic:pic>
              </a:graphicData>
            </a:graphic>
          </wp:inline>
        </w:drawing>
      </w:r>
    </w:p>
    <w:p w14:paraId="0A799351" w14:textId="221C362D" w:rsidR="00260F6F" w:rsidRPr="009867C1" w:rsidRDefault="00086155" w:rsidP="00260F6F">
      <w:pPr>
        <w:pStyle w:val="Caption"/>
        <w:rPr>
          <w:vanish/>
          <w:specVanish/>
        </w:rPr>
      </w:pPr>
      <w:bookmarkStart w:id="183" w:name="_Ref62472323"/>
      <w:bookmarkStart w:id="184" w:name="_Toc101783821"/>
      <w:bookmarkStart w:id="185" w:name="_Toc74923570"/>
      <w:r w:rsidRPr="009867C1">
        <w:t xml:space="preserve">Figure </w:t>
      </w:r>
      <w:r w:rsidR="008C26C1">
        <w:fldChar w:fldCharType="begin"/>
      </w:r>
      <w:r w:rsidR="008C26C1">
        <w:instrText xml:space="preserve"> STYLEREF 2 \s </w:instrText>
      </w:r>
      <w:r w:rsidR="008C26C1">
        <w:fldChar w:fldCharType="separate"/>
      </w:r>
      <w:r w:rsidR="000667DB">
        <w:rPr>
          <w:noProof/>
        </w:rPr>
        <w:t>4</w:t>
      </w:r>
      <w:r w:rsidR="008C26C1">
        <w:fldChar w:fldCharType="end"/>
      </w:r>
      <w:r w:rsidR="008C26C1">
        <w:noBreakHyphen/>
      </w:r>
      <w:r w:rsidR="008C26C1">
        <w:fldChar w:fldCharType="begin"/>
      </w:r>
      <w:r w:rsidR="008C26C1">
        <w:instrText xml:space="preserve"> SEQ Figure \* ARABIC \s 2 </w:instrText>
      </w:r>
      <w:r w:rsidR="008C26C1">
        <w:fldChar w:fldCharType="separate"/>
      </w:r>
      <w:r w:rsidR="000667DB">
        <w:rPr>
          <w:noProof/>
        </w:rPr>
        <w:t>6</w:t>
      </w:r>
      <w:r w:rsidR="008C26C1">
        <w:fldChar w:fldCharType="end"/>
      </w:r>
      <w:bookmarkEnd w:id="183"/>
      <w:r w:rsidRPr="009867C1">
        <w:t>: Phylogenetic dispersion index (PDI) for ITS (A-D) and SSU (E-H) amplicons for forest floor soil (first and third row) and organic soil (second and fourth row)</w:t>
      </w:r>
      <w:bookmarkEnd w:id="184"/>
    </w:p>
    <w:p w14:paraId="10C4DACF" w14:textId="428F795F" w:rsidR="00086155" w:rsidRPr="009867C1" w:rsidRDefault="00260F6F" w:rsidP="00260F6F">
      <w:pPr>
        <w:pStyle w:val="Caption"/>
      </w:pPr>
      <w:r w:rsidRPr="009867C1">
        <w:t xml:space="preserve"> </w:t>
      </w:r>
      <w:r w:rsidR="00086155" w:rsidRPr="009867C1">
        <w:t xml:space="preserve">; scatter plots (A, C, E, G) are representations of the gradient data; Tukey boxplots (B, D, F, H) are representations of the above/below dataset. X-axis is salmon density (scatter plots) or above/below waterfalls (above/below data). </w:t>
      </w:r>
      <w:r w:rsidR="008C44E2">
        <w:t>Black</w:t>
      </w:r>
      <w:r w:rsidR="00086155" w:rsidRPr="009867C1">
        <w:t xml:space="preserve"> lines include all taxa, green are </w:t>
      </w:r>
      <w:r w:rsidR="00602B8A">
        <w:t>the</w:t>
      </w:r>
      <w:r w:rsidR="00086155" w:rsidRPr="009867C1">
        <w:t xml:space="preserve"> subset of FunGuild-identified sequences that include the word ‘symbiotroph’ in their trophic mode designation; and </w:t>
      </w:r>
      <w:r w:rsidR="008C44E2">
        <w:t>brown</w:t>
      </w:r>
      <w:r w:rsidR="00086155" w:rsidRPr="009867C1">
        <w:t xml:space="preserve"> similarly includes only those of ‘saprotroph’ trophic mode. Lines are loess curves smoothed with a tricubic weighting function over a neighbourhood of 1.2% of the data. Tukey boxplots are drawn from above (gray) and below (salmon color) waterfalls; dark bars are the median; boxes the 25</w:t>
      </w:r>
      <w:r w:rsidR="00086155" w:rsidRPr="009867C1">
        <w:rPr>
          <w:vertAlign w:val="superscript"/>
        </w:rPr>
        <w:t>th</w:t>
      </w:r>
      <w:r w:rsidR="00086155" w:rsidRPr="009867C1">
        <w:t xml:space="preserve"> and 75</w:t>
      </w:r>
      <w:r w:rsidR="00086155" w:rsidRPr="009867C1">
        <w:rPr>
          <w:vertAlign w:val="superscript"/>
        </w:rPr>
        <w:t>th</w:t>
      </w:r>
      <w:r w:rsidR="00086155" w:rsidRPr="009867C1">
        <w:t xml:space="preserve"> percentiles; upper and lower whiskers represent ± 1.5*(IQR), where IQR is the interquartile range; data outside the whiskers displayed as points. Here PD is calculated from ITS and SSU trees respectively</w:t>
      </w:r>
      <w:r w:rsidR="008C44E2">
        <w:t>.</w:t>
      </w:r>
      <w:r w:rsidR="00086155" w:rsidRPr="009867C1">
        <w:t xml:space="preserve"> Positive values indicate communities are overdispersed relative to random expectation; negative values indicate underdispersion.</w:t>
      </w:r>
      <w:bookmarkEnd w:id="185"/>
      <w:r w:rsidR="008C44E2">
        <w:t xml:space="preserve"> The communities seen here were generally underdispersed.</w:t>
      </w:r>
    </w:p>
    <w:p w14:paraId="6B0AF157" w14:textId="77777777" w:rsidR="00086155" w:rsidRPr="009867C1" w:rsidRDefault="00086155" w:rsidP="00086155">
      <w:pPr>
        <w:sectPr w:rsidR="00086155" w:rsidRPr="009867C1">
          <w:pgSz w:w="12240" w:h="15840"/>
          <w:pgMar w:top="1440" w:right="1440" w:bottom="1440" w:left="1440" w:header="708" w:footer="708" w:gutter="0"/>
          <w:cols w:space="708"/>
          <w:docGrid w:linePitch="360"/>
        </w:sectPr>
      </w:pPr>
    </w:p>
    <w:p w14:paraId="1DD99503" w14:textId="1DB593B5" w:rsidR="00086155" w:rsidRPr="009867C1" w:rsidRDefault="00843358" w:rsidP="00086155">
      <w:pPr>
        <w:keepNext/>
      </w:pPr>
      <w:r>
        <w:rPr>
          <w:noProof/>
          <w:lang w:eastAsia="en-CA"/>
        </w:rPr>
        <w:drawing>
          <wp:inline distT="0" distB="0" distL="0" distR="0" wp14:anchorId="517A887F" wp14:editId="42A3B723">
            <wp:extent cx="8229600" cy="51435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229600" cy="5143500"/>
                    </a:xfrm>
                    <a:prstGeom prst="rect">
                      <a:avLst/>
                    </a:prstGeom>
                    <a:noFill/>
                    <a:ln>
                      <a:noFill/>
                    </a:ln>
                  </pic:spPr>
                </pic:pic>
              </a:graphicData>
            </a:graphic>
          </wp:inline>
        </w:drawing>
      </w:r>
    </w:p>
    <w:p w14:paraId="2FFCA224" w14:textId="143B00A9" w:rsidR="00260F6F" w:rsidRPr="009867C1" w:rsidRDefault="00086155" w:rsidP="00086155">
      <w:pPr>
        <w:pStyle w:val="Caption"/>
        <w:rPr>
          <w:vanish/>
          <w:specVanish/>
        </w:rPr>
      </w:pPr>
      <w:bookmarkStart w:id="186" w:name="_Ref64652655"/>
      <w:bookmarkStart w:id="187" w:name="_Toc101783822"/>
      <w:bookmarkStart w:id="188" w:name="_Toc74923571"/>
      <w:r w:rsidRPr="009867C1">
        <w:t xml:space="preserve">Figure </w:t>
      </w:r>
      <w:r w:rsidR="008C26C1">
        <w:fldChar w:fldCharType="begin"/>
      </w:r>
      <w:r w:rsidR="008C26C1">
        <w:instrText xml:space="preserve"> STYLEREF 2 \s </w:instrText>
      </w:r>
      <w:r w:rsidR="008C26C1">
        <w:fldChar w:fldCharType="separate"/>
      </w:r>
      <w:r w:rsidR="000667DB">
        <w:rPr>
          <w:noProof/>
        </w:rPr>
        <w:t>4</w:t>
      </w:r>
      <w:r w:rsidR="008C26C1">
        <w:fldChar w:fldCharType="end"/>
      </w:r>
      <w:r w:rsidR="008C26C1">
        <w:noBreakHyphen/>
      </w:r>
      <w:r w:rsidR="008C26C1">
        <w:fldChar w:fldCharType="begin"/>
      </w:r>
      <w:r w:rsidR="008C26C1">
        <w:instrText xml:space="preserve"> SEQ Figure \* ARABIC \s 2 </w:instrText>
      </w:r>
      <w:r w:rsidR="008C26C1">
        <w:fldChar w:fldCharType="separate"/>
      </w:r>
      <w:r w:rsidR="000667DB">
        <w:rPr>
          <w:noProof/>
        </w:rPr>
        <w:t>7</w:t>
      </w:r>
      <w:r w:rsidR="008C26C1">
        <w:fldChar w:fldCharType="end"/>
      </w:r>
      <w:bookmarkEnd w:id="186"/>
      <w:r w:rsidRPr="009867C1">
        <w:t>: Standardized model-averaged coefficients for ITS GLMs for three taxonomic groups</w:t>
      </w:r>
      <w:bookmarkEnd w:id="187"/>
    </w:p>
    <w:p w14:paraId="3F36580D" w14:textId="69E1DCE3" w:rsidR="00086155" w:rsidRPr="009867C1" w:rsidRDefault="00086155" w:rsidP="00086155">
      <w:pPr>
        <w:pStyle w:val="Caption"/>
      </w:pPr>
      <w:r w:rsidRPr="009867C1">
        <w:t xml:space="preserve"> (‘all taxa’, ‘symbiotrophs’ and ‘saprotrophs’) </w:t>
      </w:r>
      <w:r w:rsidR="00971AF7">
        <w:t xml:space="preserve">for relative abundance (“Composition”), species richness (“Richness”), Shannon diversity and phylogenetic dispersion (“PDI”) </w:t>
      </w:r>
      <w:r w:rsidRPr="009867C1">
        <w:t>across seven explanatory variables (</w:t>
      </w:r>
      <w:r w:rsidR="00971AF7">
        <w:t xml:space="preserve">columns: </w:t>
      </w:r>
      <w:r w:rsidRPr="009867C1">
        <w:t xml:space="preserve">Salmon density, Soil Type, nearest Focal Tree, moss community PCA1, herb community PCA1, shrub influence index PCA1, and tree influence index PCA1). Soil type consists of two levels, Forest Floor and Organic; here relative difference between O and FF are displayed. Focal Tree consists of 4 levels: Sitka spruce, cedar, western hemlock, and </w:t>
      </w:r>
      <w:r w:rsidR="00412EC4">
        <w:t>a</w:t>
      </w:r>
      <w:r w:rsidRPr="009867C1">
        <w:t xml:space="preserve">mabilis fir; here all coefficients are taken relative to </w:t>
      </w:r>
      <w:r w:rsidR="00412EC4">
        <w:t>a</w:t>
      </w:r>
      <w:r w:rsidRPr="009867C1">
        <w:t>mabilis fir. Horizontal whiskers are 95% confidence intervals, dark circles indicate a significant result.</w:t>
      </w:r>
      <w:bookmarkEnd w:id="188"/>
      <w:r w:rsidRPr="009867C1">
        <w:t xml:space="preserve">  </w:t>
      </w:r>
    </w:p>
    <w:p w14:paraId="183DD60B" w14:textId="71987FD8" w:rsidR="00086155" w:rsidRPr="009867C1" w:rsidRDefault="00843358" w:rsidP="00086155">
      <w:pPr>
        <w:keepNext/>
      </w:pPr>
      <w:r>
        <w:rPr>
          <w:noProof/>
          <w:lang w:eastAsia="en-CA"/>
        </w:rPr>
        <w:drawing>
          <wp:inline distT="0" distB="0" distL="0" distR="0" wp14:anchorId="20281D06" wp14:editId="5650B765">
            <wp:extent cx="8229600" cy="51435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229600" cy="5143500"/>
                    </a:xfrm>
                    <a:prstGeom prst="rect">
                      <a:avLst/>
                    </a:prstGeom>
                    <a:noFill/>
                    <a:ln>
                      <a:noFill/>
                    </a:ln>
                  </pic:spPr>
                </pic:pic>
              </a:graphicData>
            </a:graphic>
          </wp:inline>
        </w:drawing>
      </w:r>
    </w:p>
    <w:p w14:paraId="31ACA711" w14:textId="7EC7A749" w:rsidR="00260F6F" w:rsidRPr="009867C1" w:rsidRDefault="00086155" w:rsidP="00086155">
      <w:pPr>
        <w:pStyle w:val="Caption"/>
        <w:rPr>
          <w:vanish/>
          <w:specVanish/>
        </w:rPr>
      </w:pPr>
      <w:bookmarkStart w:id="189" w:name="_Ref64652656"/>
      <w:bookmarkStart w:id="190" w:name="_Toc101783823"/>
      <w:bookmarkStart w:id="191" w:name="_Toc74923572"/>
      <w:r w:rsidRPr="009867C1">
        <w:t xml:space="preserve">Figure </w:t>
      </w:r>
      <w:r w:rsidR="008C26C1">
        <w:fldChar w:fldCharType="begin"/>
      </w:r>
      <w:r w:rsidR="008C26C1">
        <w:instrText xml:space="preserve"> STYLEREF 2 \s </w:instrText>
      </w:r>
      <w:r w:rsidR="008C26C1">
        <w:fldChar w:fldCharType="separate"/>
      </w:r>
      <w:r w:rsidR="000667DB">
        <w:rPr>
          <w:noProof/>
        </w:rPr>
        <w:t>4</w:t>
      </w:r>
      <w:r w:rsidR="008C26C1">
        <w:fldChar w:fldCharType="end"/>
      </w:r>
      <w:r w:rsidR="008C26C1">
        <w:noBreakHyphen/>
      </w:r>
      <w:r w:rsidR="008C26C1">
        <w:fldChar w:fldCharType="begin"/>
      </w:r>
      <w:r w:rsidR="008C26C1">
        <w:instrText xml:space="preserve"> SEQ Figure \* ARABIC \s 2 </w:instrText>
      </w:r>
      <w:r w:rsidR="008C26C1">
        <w:fldChar w:fldCharType="separate"/>
      </w:r>
      <w:r w:rsidR="000667DB">
        <w:rPr>
          <w:noProof/>
        </w:rPr>
        <w:t>8</w:t>
      </w:r>
      <w:r w:rsidR="008C26C1">
        <w:fldChar w:fldCharType="end"/>
      </w:r>
      <w:bookmarkEnd w:id="189"/>
      <w:r w:rsidRPr="009867C1">
        <w:t>: Standardized model-averaged coefficients for SSU GLMs for three taxonomic groups</w:t>
      </w:r>
      <w:bookmarkEnd w:id="190"/>
    </w:p>
    <w:p w14:paraId="17492842" w14:textId="35C7026E" w:rsidR="00086155" w:rsidRPr="009867C1" w:rsidRDefault="00086155" w:rsidP="00086155">
      <w:pPr>
        <w:pStyle w:val="Caption"/>
      </w:pPr>
      <w:r w:rsidRPr="009867C1">
        <w:t xml:space="preserve"> (x-axis: ‘all taxa’, ‘symbiotrophs’ and ‘saprotrophs’) </w:t>
      </w:r>
      <w:r w:rsidR="00112A5E" w:rsidRPr="009867C1">
        <w:t xml:space="preserve">) </w:t>
      </w:r>
      <w:r w:rsidR="00112A5E">
        <w:t xml:space="preserve">for relative abundance (“Composition”), species richness (“Richness”), Shannon diversity and phylogenetic dispersion (“PDI”) </w:t>
      </w:r>
      <w:r w:rsidRPr="009867C1">
        <w:t xml:space="preserve">across seven explanatory variables (Salmon density, Soil Type, nearest Focal Tree, moss community PCA1, herb community PCA1, shrub influence index PCA1, and tree influence index PCA1). Soil type consists of two levels, Forest Floor and Organic; here relative difference between O and FF are displayed. Focal Tree consists of 4 levels: Sitka spruce, cedar, western hemlock, and </w:t>
      </w:r>
      <w:r w:rsidR="00412EC4">
        <w:t>a</w:t>
      </w:r>
      <w:r w:rsidRPr="009867C1">
        <w:t xml:space="preserve">mabilis fir; here all coefficients are taken relative to </w:t>
      </w:r>
      <w:r w:rsidR="00412EC4">
        <w:t>a</w:t>
      </w:r>
      <w:r w:rsidRPr="009867C1">
        <w:t>mabilis fir. Horizontal whiskers are 95% confidence intervals, dark circles indicate a significant result.</w:t>
      </w:r>
      <w:bookmarkEnd w:id="191"/>
      <w:r w:rsidRPr="009867C1">
        <w:t xml:space="preserve">  </w:t>
      </w:r>
    </w:p>
    <w:p w14:paraId="6C9A31A8" w14:textId="77777777" w:rsidR="00086155" w:rsidRPr="009867C1" w:rsidRDefault="00086155" w:rsidP="00086155">
      <w:pPr>
        <w:sectPr w:rsidR="00086155" w:rsidRPr="009867C1" w:rsidSect="00E17EBB">
          <w:pgSz w:w="15840" w:h="12240" w:orient="landscape"/>
          <w:pgMar w:top="1440" w:right="1440" w:bottom="1440" w:left="1440" w:header="708" w:footer="708" w:gutter="0"/>
          <w:cols w:space="708"/>
          <w:docGrid w:linePitch="360"/>
        </w:sectPr>
      </w:pPr>
    </w:p>
    <w:p w14:paraId="726FF762" w14:textId="00E51EA1" w:rsidR="00086155" w:rsidRPr="009867C1" w:rsidRDefault="00FA35F3" w:rsidP="00086155">
      <w:pPr>
        <w:keepNext/>
      </w:pPr>
      <w:r>
        <w:rPr>
          <w:noProof/>
          <w:lang w:eastAsia="en-CA"/>
        </w:rPr>
        <w:drawing>
          <wp:inline distT="0" distB="0" distL="0" distR="0" wp14:anchorId="04D5D4E4" wp14:editId="6EB5D290">
            <wp:extent cx="6824186" cy="61341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8">
                      <a:extLst>
                        <a:ext uri="{28A0092B-C50C-407E-A947-70E740481C1C}">
                          <a14:useLocalDpi xmlns:a14="http://schemas.microsoft.com/office/drawing/2010/main" val="0"/>
                        </a:ext>
                      </a:extLst>
                    </a:blip>
                    <a:srcRect b="26606"/>
                    <a:stretch/>
                  </pic:blipFill>
                  <pic:spPr bwMode="auto">
                    <a:xfrm>
                      <a:off x="0" y="0"/>
                      <a:ext cx="6831413" cy="6140596"/>
                    </a:xfrm>
                    <a:prstGeom prst="rect">
                      <a:avLst/>
                    </a:prstGeom>
                    <a:noFill/>
                    <a:ln>
                      <a:noFill/>
                    </a:ln>
                    <a:extLst>
                      <a:ext uri="{53640926-AAD7-44D8-BBD7-CCE9431645EC}">
                        <a14:shadowObscured xmlns:a14="http://schemas.microsoft.com/office/drawing/2010/main"/>
                      </a:ext>
                    </a:extLst>
                  </pic:spPr>
                </pic:pic>
              </a:graphicData>
            </a:graphic>
          </wp:inline>
        </w:drawing>
      </w:r>
      <w:r w:rsidR="00086155" w:rsidRPr="009867C1">
        <w:t>-</w:t>
      </w:r>
    </w:p>
    <w:p w14:paraId="6CA121C4" w14:textId="321312D5" w:rsidR="00AC74C5" w:rsidRPr="009867C1" w:rsidRDefault="00086155" w:rsidP="00086155">
      <w:pPr>
        <w:pStyle w:val="Caption"/>
        <w:rPr>
          <w:vanish/>
          <w:specVanish/>
        </w:rPr>
      </w:pPr>
      <w:bookmarkStart w:id="192" w:name="_Ref63271437"/>
      <w:bookmarkStart w:id="193" w:name="_Toc101783824"/>
      <w:bookmarkStart w:id="194" w:name="_Toc74923573"/>
      <w:r w:rsidRPr="009867C1">
        <w:t xml:space="preserve">Figure </w:t>
      </w:r>
      <w:r w:rsidR="008C26C1">
        <w:fldChar w:fldCharType="begin"/>
      </w:r>
      <w:r w:rsidR="008C26C1">
        <w:instrText xml:space="preserve"> STYLEREF 2 \s </w:instrText>
      </w:r>
      <w:r w:rsidR="008C26C1">
        <w:fldChar w:fldCharType="separate"/>
      </w:r>
      <w:r w:rsidR="000667DB">
        <w:rPr>
          <w:noProof/>
        </w:rPr>
        <w:t>4</w:t>
      </w:r>
      <w:r w:rsidR="008C26C1">
        <w:fldChar w:fldCharType="end"/>
      </w:r>
      <w:r w:rsidR="008C26C1">
        <w:noBreakHyphen/>
      </w:r>
      <w:r w:rsidR="008C26C1">
        <w:fldChar w:fldCharType="begin"/>
      </w:r>
      <w:r w:rsidR="008C26C1">
        <w:instrText xml:space="preserve"> SEQ Figure \* ARABIC \s 2 </w:instrText>
      </w:r>
      <w:r w:rsidR="008C26C1">
        <w:fldChar w:fldCharType="separate"/>
      </w:r>
      <w:r w:rsidR="000667DB">
        <w:rPr>
          <w:noProof/>
        </w:rPr>
        <w:t>9</w:t>
      </w:r>
      <w:r w:rsidR="008C26C1">
        <w:fldChar w:fldCharType="end"/>
      </w:r>
      <w:bookmarkEnd w:id="192"/>
      <w:r w:rsidRPr="009867C1">
        <w:t xml:space="preserve">: </w:t>
      </w:r>
      <w:r w:rsidR="00260F6F" w:rsidRPr="009867C1">
        <w:t xml:space="preserve">Heatmap of </w:t>
      </w:r>
      <w:r w:rsidRPr="009867C1">
        <w:t xml:space="preserve">ITS random forest model importance coefficients for community metrics </w:t>
      </w:r>
      <w:r w:rsidR="00260F6F" w:rsidRPr="009867C1">
        <w:t>across</w:t>
      </w:r>
      <w:r w:rsidRPr="009867C1">
        <w:t xml:space="preserve"> the </w:t>
      </w:r>
      <w:r w:rsidR="00260F6F" w:rsidRPr="009867C1">
        <w:t xml:space="preserve">regional salmon density </w:t>
      </w:r>
      <w:r w:rsidRPr="009867C1">
        <w:t>gradient.</w:t>
      </w:r>
      <w:bookmarkEnd w:id="193"/>
    </w:p>
    <w:p w14:paraId="4C726675" w14:textId="09E4A1DB" w:rsidR="00086155" w:rsidRPr="009867C1" w:rsidRDefault="00086155" w:rsidP="00086155">
      <w:pPr>
        <w:pStyle w:val="Caption"/>
      </w:pPr>
      <w:r w:rsidRPr="009867C1">
        <w:t xml:space="preserve"> Included are three community subsets (column facets): ‘all reads’ (complete sequence dataset), ‘symbiotrophs’ (includes only FunGuild-annotated taxa that include the word ‘symbiotroph’ in their trophic mode descriptor), and ‘saprotrophs’ (include only FunGuild-annotated taxa that include the word ‘saprotroph’ in their trophic mode descriptor).  X-axis columns</w:t>
      </w:r>
      <w:r w:rsidR="00E85CEB">
        <w:t xml:space="preserve"> are</w:t>
      </w:r>
      <w:r w:rsidRPr="009867C1">
        <w:t xml:space="preserve"> </w:t>
      </w:r>
      <w:r w:rsidR="008C44E2">
        <w:t>the relative abundance of symbiotrophs and saprotrophs (“Sym RA” and “Sap RA”)</w:t>
      </w:r>
      <w:r w:rsidRPr="009867C1">
        <w:t>, species richness</w:t>
      </w:r>
      <w:r w:rsidR="008C44E2">
        <w:t xml:space="preserve"> (“Richness”)</w:t>
      </w:r>
      <w:r w:rsidRPr="009867C1">
        <w:t>, Shannon diversity, and phylogenetic dispersion</w:t>
      </w:r>
      <w:r w:rsidR="008C44E2">
        <w:t xml:space="preserve"> index</w:t>
      </w:r>
      <w:r w:rsidRPr="009867C1">
        <w:t xml:space="preserve"> (PD</w:t>
      </w:r>
      <w:r w:rsidR="008C44E2">
        <w:t>I</w:t>
      </w:r>
      <w:r w:rsidRPr="009867C1">
        <w:t xml:space="preserve">). Explanatory variables (y-axis) include 41 variables encompassing (from top to bottom): physical differences (salmon density to watershed size), chemical variables (Ca to pH), nearest dominant tree (NT: Western Hemlock to NT: Sitka Spruce); the first two axes of vegetation percent cover (moss and herbs) and vegetation influence indices (trees and shrubs); and percent cover of five coarse woody debris classes (CWD 1 – 5). Categorical variables are taken relative to reference levels; forest floors have only two levels (forest floors and organic); nearest tree have 4 levels and are taken relative to </w:t>
      </w:r>
      <w:r w:rsidR="00E37D42">
        <w:t>a</w:t>
      </w:r>
      <w:r w:rsidRPr="009867C1">
        <w:t>mabilis fir.</w:t>
      </w:r>
      <w:bookmarkEnd w:id="194"/>
      <w:r w:rsidRPr="009867C1">
        <w:t xml:space="preserve">  </w:t>
      </w:r>
    </w:p>
    <w:p w14:paraId="5BD17A15" w14:textId="77777777" w:rsidR="00086155" w:rsidRPr="009867C1" w:rsidRDefault="00086155" w:rsidP="00086155"/>
    <w:p w14:paraId="0E4560D5" w14:textId="77777777" w:rsidR="00086155" w:rsidRPr="009867C1" w:rsidRDefault="00086155" w:rsidP="00086155"/>
    <w:p w14:paraId="16A07FC2" w14:textId="096BBE6C" w:rsidR="00086155" w:rsidRPr="009867C1" w:rsidRDefault="00FA35F3" w:rsidP="00086155">
      <w:pPr>
        <w:keepNext/>
      </w:pPr>
      <w:r>
        <w:rPr>
          <w:noProof/>
          <w:lang w:eastAsia="en-CA"/>
        </w:rPr>
        <w:drawing>
          <wp:inline distT="0" distB="0" distL="0" distR="0" wp14:anchorId="46ED4C73" wp14:editId="4BE81CDE">
            <wp:extent cx="6800850" cy="659344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9">
                      <a:extLst>
                        <a:ext uri="{28A0092B-C50C-407E-A947-70E740481C1C}">
                          <a14:useLocalDpi xmlns:a14="http://schemas.microsoft.com/office/drawing/2010/main" val="0"/>
                        </a:ext>
                      </a:extLst>
                    </a:blip>
                    <a:srcRect b="20839"/>
                    <a:stretch/>
                  </pic:blipFill>
                  <pic:spPr bwMode="auto">
                    <a:xfrm>
                      <a:off x="0" y="0"/>
                      <a:ext cx="6804248" cy="6596734"/>
                    </a:xfrm>
                    <a:prstGeom prst="rect">
                      <a:avLst/>
                    </a:prstGeom>
                    <a:noFill/>
                    <a:ln>
                      <a:noFill/>
                    </a:ln>
                    <a:extLst>
                      <a:ext uri="{53640926-AAD7-44D8-BBD7-CCE9431645EC}">
                        <a14:shadowObscured xmlns:a14="http://schemas.microsoft.com/office/drawing/2010/main"/>
                      </a:ext>
                    </a:extLst>
                  </pic:spPr>
                </pic:pic>
              </a:graphicData>
            </a:graphic>
          </wp:inline>
        </w:drawing>
      </w:r>
    </w:p>
    <w:p w14:paraId="607A193C" w14:textId="5F2704EF" w:rsidR="00AC74C5" w:rsidRPr="009867C1" w:rsidRDefault="00086155" w:rsidP="00086155">
      <w:pPr>
        <w:pStyle w:val="Caption"/>
        <w:rPr>
          <w:vanish/>
          <w:specVanish/>
        </w:rPr>
      </w:pPr>
      <w:bookmarkStart w:id="195" w:name="_Ref63271440"/>
      <w:bookmarkStart w:id="196" w:name="_Toc101783825"/>
      <w:bookmarkStart w:id="197" w:name="_Toc74923574"/>
      <w:r w:rsidRPr="009867C1">
        <w:t xml:space="preserve">Figure </w:t>
      </w:r>
      <w:r w:rsidR="008C26C1">
        <w:fldChar w:fldCharType="begin"/>
      </w:r>
      <w:r w:rsidR="008C26C1">
        <w:instrText xml:space="preserve"> STYLEREF 2 \s </w:instrText>
      </w:r>
      <w:r w:rsidR="008C26C1">
        <w:fldChar w:fldCharType="separate"/>
      </w:r>
      <w:r w:rsidR="000667DB">
        <w:rPr>
          <w:noProof/>
        </w:rPr>
        <w:t>4</w:t>
      </w:r>
      <w:r w:rsidR="008C26C1">
        <w:fldChar w:fldCharType="end"/>
      </w:r>
      <w:r w:rsidR="008C26C1">
        <w:noBreakHyphen/>
      </w:r>
      <w:r w:rsidR="008C26C1">
        <w:fldChar w:fldCharType="begin"/>
      </w:r>
      <w:r w:rsidR="008C26C1">
        <w:instrText xml:space="preserve"> SEQ Figure \* ARABIC \s 2 </w:instrText>
      </w:r>
      <w:r w:rsidR="008C26C1">
        <w:fldChar w:fldCharType="separate"/>
      </w:r>
      <w:r w:rsidR="000667DB">
        <w:rPr>
          <w:noProof/>
        </w:rPr>
        <w:t>10</w:t>
      </w:r>
      <w:r w:rsidR="008C26C1">
        <w:fldChar w:fldCharType="end"/>
      </w:r>
      <w:bookmarkEnd w:id="195"/>
      <w:r w:rsidRPr="009867C1">
        <w:t>: SSU random forest model importance coefficients for community metrics o</w:t>
      </w:r>
      <w:r w:rsidR="00AC74C5" w:rsidRPr="009867C1">
        <w:t>ver</w:t>
      </w:r>
      <w:r w:rsidRPr="009867C1">
        <w:t xml:space="preserve"> the </w:t>
      </w:r>
      <w:r w:rsidR="00AC74C5" w:rsidRPr="009867C1">
        <w:t xml:space="preserve">regional salmon density </w:t>
      </w:r>
      <w:r w:rsidRPr="009867C1">
        <w:t>gradient.</w:t>
      </w:r>
      <w:bookmarkEnd w:id="196"/>
    </w:p>
    <w:p w14:paraId="2651E7AE" w14:textId="68D4DA89" w:rsidR="00086155" w:rsidRPr="009867C1" w:rsidRDefault="00086155" w:rsidP="00086155">
      <w:pPr>
        <w:pStyle w:val="Caption"/>
      </w:pPr>
      <w:r w:rsidRPr="009867C1">
        <w:t xml:space="preserve"> Included are three community subsets (column facets): ‘all reads’ (complete sequence dataset), ‘symbiotrophs’ (includes only FunGuild-annotated taxa that include the word ‘symbiotroph’ in their trophic mode descriptor), and ‘saprotrophs’ (include only FunGuild-annotated taxa that include the word ‘saprotroph’ in their trophic mode descriptor).  X-axis columns are </w:t>
      </w:r>
      <w:r w:rsidR="00E85CEB">
        <w:t>the relative abundance of symbiotrophs and saprotrophs (“Sym RA” and “Sap RA”)</w:t>
      </w:r>
      <w:r w:rsidR="00E85CEB" w:rsidRPr="009867C1">
        <w:t xml:space="preserve">, species </w:t>
      </w:r>
      <w:r w:rsidR="00E85CEB">
        <w:t xml:space="preserve">richness (“Richness”), </w:t>
      </w:r>
      <w:r w:rsidRPr="009867C1">
        <w:t>Shannon diversity, and phylogenetic dispersion (PD</w:t>
      </w:r>
      <w:r w:rsidR="00E85CEB">
        <w:t>I</w:t>
      </w:r>
      <w:r w:rsidRPr="009867C1">
        <w:t xml:space="preserve">). Explanatory variables (y-axis) include 41 variables encompassing (from top to bottom): physical differences (salmon density to watershed size), chemical variables (Ca to pH), nearest dominant tree (NT: Western Hemlock to NT: Sitka Spruce); the first two axes of vegetation percent cover (moss and herbs) and vegetation influence indices (trees and shrubs); and percent cover of five coarse woody debris classes (CWD 1 – 5). Categorical variables are taken relative to reference levels; forest floors have only two levels (forest floors and organic); nearest tree have 4 levels and are taken relative to </w:t>
      </w:r>
      <w:r w:rsidR="00E37D42">
        <w:t>a</w:t>
      </w:r>
      <w:r w:rsidRPr="009867C1">
        <w:t>mabilis fir.</w:t>
      </w:r>
      <w:bookmarkEnd w:id="197"/>
      <w:r w:rsidRPr="009867C1">
        <w:t xml:space="preserve">  </w:t>
      </w:r>
    </w:p>
    <w:p w14:paraId="2F31CC83" w14:textId="77777777" w:rsidR="00086155" w:rsidRPr="009867C1" w:rsidRDefault="00086155" w:rsidP="00086155"/>
    <w:p w14:paraId="247F9050" w14:textId="77777777" w:rsidR="00086155" w:rsidRPr="009867C1" w:rsidRDefault="00086155" w:rsidP="00086155">
      <w:pPr>
        <w:keepNext/>
      </w:pPr>
      <w:r w:rsidRPr="009867C1">
        <w:rPr>
          <w:noProof/>
          <w:lang w:eastAsia="en-CA"/>
        </w:rPr>
        <w:drawing>
          <wp:inline distT="0" distB="0" distL="0" distR="0" wp14:anchorId="13705326" wp14:editId="5732A3E2">
            <wp:extent cx="6400150" cy="4544704"/>
            <wp:effectExtent l="0" t="0" r="1270" b="8255"/>
            <wp:docPr id="56" name="Picture 56" descr="D:\[0] Sync\[0] Syncbox\[0] Thesis\[0] Data and Analyses\[6] NGS analysis - Forest\[2] Beta Diversity - TM\Figures\Figures\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 Sync\[0] Syncbox\[0] Thesis\[0] Data and Analyses\[6] NGS analysis - Forest\[2] Beta Diversity - TM\Figures\Figures\Slide1.JPG"/>
                    <pic:cNvPicPr>
                      <a:picLocks noChangeAspect="1" noChangeArrowheads="1"/>
                    </pic:cNvPicPr>
                  </pic:nvPicPr>
                  <pic:blipFill rotWithShape="1">
                    <a:blip r:embed="rId50">
                      <a:extLst>
                        <a:ext uri="{28A0092B-C50C-407E-A947-70E740481C1C}">
                          <a14:useLocalDpi xmlns:a14="http://schemas.microsoft.com/office/drawing/2010/main" val="0"/>
                        </a:ext>
                      </a:extLst>
                    </a:blip>
                    <a:srcRect l="9425" r="17700" b="7936"/>
                    <a:stretch/>
                  </pic:blipFill>
                  <pic:spPr bwMode="auto">
                    <a:xfrm>
                      <a:off x="0" y="0"/>
                      <a:ext cx="6402018" cy="4546031"/>
                    </a:xfrm>
                    <a:prstGeom prst="rect">
                      <a:avLst/>
                    </a:prstGeom>
                    <a:noFill/>
                    <a:ln>
                      <a:noFill/>
                    </a:ln>
                    <a:extLst>
                      <a:ext uri="{53640926-AAD7-44D8-BBD7-CCE9431645EC}">
                        <a14:shadowObscured xmlns:a14="http://schemas.microsoft.com/office/drawing/2010/main"/>
                      </a:ext>
                    </a:extLst>
                  </pic:spPr>
                </pic:pic>
              </a:graphicData>
            </a:graphic>
          </wp:inline>
        </w:drawing>
      </w:r>
    </w:p>
    <w:p w14:paraId="3E19DAD0" w14:textId="77BA55E2" w:rsidR="00AC74C5" w:rsidRPr="009867C1" w:rsidRDefault="00086155" w:rsidP="00086155">
      <w:pPr>
        <w:pStyle w:val="Caption"/>
        <w:rPr>
          <w:vanish/>
          <w:specVanish/>
        </w:rPr>
      </w:pPr>
      <w:bookmarkStart w:id="198" w:name="_Ref63271324"/>
      <w:bookmarkStart w:id="199" w:name="_Toc101783826"/>
      <w:bookmarkStart w:id="200" w:name="_Toc74923575"/>
      <w:r w:rsidRPr="009867C1">
        <w:t xml:space="preserve">Figure </w:t>
      </w:r>
      <w:r w:rsidR="008C26C1">
        <w:fldChar w:fldCharType="begin"/>
      </w:r>
      <w:r w:rsidR="008C26C1">
        <w:instrText xml:space="preserve"> STYLEREF 2 \s </w:instrText>
      </w:r>
      <w:r w:rsidR="008C26C1">
        <w:fldChar w:fldCharType="separate"/>
      </w:r>
      <w:r w:rsidR="000667DB">
        <w:rPr>
          <w:noProof/>
        </w:rPr>
        <w:t>4</w:t>
      </w:r>
      <w:r w:rsidR="008C26C1">
        <w:fldChar w:fldCharType="end"/>
      </w:r>
      <w:r w:rsidR="008C26C1">
        <w:noBreakHyphen/>
      </w:r>
      <w:r w:rsidR="008C26C1">
        <w:fldChar w:fldCharType="begin"/>
      </w:r>
      <w:r w:rsidR="008C26C1">
        <w:instrText xml:space="preserve"> SEQ Figure \* ARABIC \s 2 </w:instrText>
      </w:r>
      <w:r w:rsidR="008C26C1">
        <w:fldChar w:fldCharType="separate"/>
      </w:r>
      <w:r w:rsidR="000667DB">
        <w:rPr>
          <w:noProof/>
        </w:rPr>
        <w:t>11</w:t>
      </w:r>
      <w:r w:rsidR="008C26C1">
        <w:fldChar w:fldCharType="end"/>
      </w:r>
      <w:bookmarkEnd w:id="198"/>
      <w:r w:rsidRPr="009867C1">
        <w:t>: ITS beta diversity NMDS plots (2-axis) standardized Bray-Curtis distance over three community subsets (columns): ‘all reads’, ‘symbiotrophs’, and ‘saprotrophs’.</w:t>
      </w:r>
      <w:bookmarkEnd w:id="199"/>
    </w:p>
    <w:p w14:paraId="4CD014EB" w14:textId="4726FF38" w:rsidR="00086155" w:rsidRPr="009867C1" w:rsidRDefault="00086155" w:rsidP="00086155">
      <w:pPr>
        <w:pStyle w:val="Caption"/>
      </w:pPr>
      <w:r w:rsidRPr="009867C1">
        <w:t xml:space="preserve"> In gradient data (top row) warmer colours are sites with higher salmon density; and above/below data (bottom row) salmon coloured are below falls (with salmon) and black is above falls (no salmon). Circles are forest floor soils, and triangles organic soils. Salmon density was significant factor in all ADONIS tests on the gradient, and waterfall was significant in all above/below tests.</w:t>
      </w:r>
      <w:bookmarkEnd w:id="200"/>
    </w:p>
    <w:p w14:paraId="65BF5CA0" w14:textId="77777777" w:rsidR="00086155" w:rsidRPr="009867C1" w:rsidRDefault="00086155" w:rsidP="00086155">
      <w:pPr>
        <w:pStyle w:val="Caption"/>
        <w:keepNext/>
      </w:pPr>
      <w:r w:rsidRPr="009867C1">
        <w:rPr>
          <w:noProof/>
          <w:lang w:val="en-CA" w:eastAsia="en-CA"/>
        </w:rPr>
        <w:drawing>
          <wp:inline distT="0" distB="0" distL="0" distR="0" wp14:anchorId="4CC5EF17" wp14:editId="607224F6">
            <wp:extent cx="6521476" cy="4409872"/>
            <wp:effectExtent l="0" t="0" r="0" b="0"/>
            <wp:docPr id="57" name="Picture 57" descr="D:\[0] Sync\[0] Syncbox\[0] Thesis\[0] Data and Analyses\[6] NGS analysis - Forest\[2] Beta Diversity - TM\Figures\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0] Sync\[0] Syncbox\[0] Thesis\[0] Data and Analyses\[6] NGS analysis - Forest\[2] Beta Diversity - TM\Figures\Slide2.JPG"/>
                    <pic:cNvPicPr>
                      <a:picLocks noChangeAspect="1" noChangeArrowheads="1"/>
                    </pic:cNvPicPr>
                  </pic:nvPicPr>
                  <pic:blipFill rotWithShape="1">
                    <a:blip r:embed="rId51">
                      <a:extLst>
                        <a:ext uri="{28A0092B-C50C-407E-A947-70E740481C1C}">
                          <a14:useLocalDpi xmlns:a14="http://schemas.microsoft.com/office/drawing/2010/main" val="0"/>
                        </a:ext>
                      </a:extLst>
                    </a:blip>
                    <a:srcRect l="10153" r="12663" b="7174"/>
                    <a:stretch/>
                  </pic:blipFill>
                  <pic:spPr bwMode="auto">
                    <a:xfrm>
                      <a:off x="0" y="0"/>
                      <a:ext cx="6523654" cy="4411345"/>
                    </a:xfrm>
                    <a:prstGeom prst="rect">
                      <a:avLst/>
                    </a:prstGeom>
                    <a:noFill/>
                    <a:ln>
                      <a:noFill/>
                    </a:ln>
                    <a:extLst>
                      <a:ext uri="{53640926-AAD7-44D8-BBD7-CCE9431645EC}">
                        <a14:shadowObscured xmlns:a14="http://schemas.microsoft.com/office/drawing/2010/main"/>
                      </a:ext>
                    </a:extLst>
                  </pic:spPr>
                </pic:pic>
              </a:graphicData>
            </a:graphic>
          </wp:inline>
        </w:drawing>
      </w:r>
    </w:p>
    <w:p w14:paraId="0315E513" w14:textId="5940473C" w:rsidR="00AC74C5" w:rsidRPr="009867C1" w:rsidRDefault="00086155" w:rsidP="00086155">
      <w:pPr>
        <w:pStyle w:val="Caption"/>
        <w:rPr>
          <w:vanish/>
          <w:specVanish/>
        </w:rPr>
      </w:pPr>
      <w:bookmarkStart w:id="201" w:name="_Ref63271326"/>
      <w:bookmarkStart w:id="202" w:name="_Toc101783827"/>
      <w:bookmarkStart w:id="203" w:name="_Toc74923576"/>
      <w:r w:rsidRPr="009867C1">
        <w:t xml:space="preserve">Figure </w:t>
      </w:r>
      <w:r w:rsidR="008C26C1">
        <w:fldChar w:fldCharType="begin"/>
      </w:r>
      <w:r w:rsidR="008C26C1">
        <w:instrText xml:space="preserve"> STYLEREF 2 \s </w:instrText>
      </w:r>
      <w:r w:rsidR="008C26C1">
        <w:fldChar w:fldCharType="separate"/>
      </w:r>
      <w:r w:rsidR="000667DB">
        <w:rPr>
          <w:noProof/>
        </w:rPr>
        <w:t>4</w:t>
      </w:r>
      <w:r w:rsidR="008C26C1">
        <w:fldChar w:fldCharType="end"/>
      </w:r>
      <w:r w:rsidR="008C26C1">
        <w:noBreakHyphen/>
      </w:r>
      <w:r w:rsidR="008C26C1">
        <w:fldChar w:fldCharType="begin"/>
      </w:r>
      <w:r w:rsidR="008C26C1">
        <w:instrText xml:space="preserve"> SEQ Figure \* ARABIC \s 2 </w:instrText>
      </w:r>
      <w:r w:rsidR="008C26C1">
        <w:fldChar w:fldCharType="separate"/>
      </w:r>
      <w:r w:rsidR="000667DB">
        <w:rPr>
          <w:noProof/>
        </w:rPr>
        <w:t>12</w:t>
      </w:r>
      <w:r w:rsidR="008C26C1">
        <w:fldChar w:fldCharType="end"/>
      </w:r>
      <w:bookmarkEnd w:id="201"/>
      <w:r w:rsidRPr="009867C1">
        <w:t>: SSU beta diversity NMDS plots (2-axis) using weighted unifrac distance over three community subsets (columns): ‘all reads’, ‘symbiotrophs’, and ‘saprotrophs’.</w:t>
      </w:r>
      <w:bookmarkEnd w:id="202"/>
    </w:p>
    <w:p w14:paraId="79515D7C" w14:textId="00EC44BE" w:rsidR="00086155" w:rsidRPr="009867C1" w:rsidRDefault="00086155" w:rsidP="00086155">
      <w:pPr>
        <w:pStyle w:val="Caption"/>
      </w:pPr>
      <w:r w:rsidRPr="009867C1">
        <w:t xml:space="preserve"> In gradient data (top row) warmer colours are sites with higher salmon density; and above/below data (bottom row) salmon coloured are below falls (with salmon) and black is above falls (no salmon). Circles are forest floor soils, and triangles organic soils. In the gradient ordinations, salmon density was only moderately significant in the saprotroph data (p=0.08). In the above/below data, ‘falls’ was significant in across all subsets.</w:t>
      </w:r>
      <w:bookmarkEnd w:id="203"/>
    </w:p>
    <w:p w14:paraId="417C4573" w14:textId="77777777" w:rsidR="00086155" w:rsidRPr="009867C1" w:rsidRDefault="00086155" w:rsidP="00086155"/>
    <w:p w14:paraId="578119BA" w14:textId="77777777" w:rsidR="00086155" w:rsidRPr="009867C1" w:rsidRDefault="00086155" w:rsidP="00086155"/>
    <w:p w14:paraId="0EC4E351" w14:textId="77777777" w:rsidR="00086155" w:rsidRPr="009867C1" w:rsidRDefault="00086155" w:rsidP="00086155"/>
    <w:p w14:paraId="32515FBC" w14:textId="4160CFDF" w:rsidR="00086155" w:rsidRPr="009867C1" w:rsidRDefault="003E559B" w:rsidP="00086155">
      <w:pPr>
        <w:keepNext/>
      </w:pPr>
      <w:r>
        <w:rPr>
          <w:noProof/>
        </w:rPr>
        <w:drawing>
          <wp:inline distT="0" distB="0" distL="0" distR="0" wp14:anchorId="7958CDC0" wp14:editId="1C3C2005">
            <wp:extent cx="6815042" cy="5201728"/>
            <wp:effectExtent l="0" t="0" r="508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2">
                      <a:extLst>
                        <a:ext uri="{28A0092B-C50C-407E-A947-70E740481C1C}">
                          <a14:useLocalDpi xmlns:a14="http://schemas.microsoft.com/office/drawing/2010/main" val="0"/>
                        </a:ext>
                      </a:extLst>
                    </a:blip>
                    <a:srcRect l="8286" r="18019"/>
                    <a:stretch/>
                  </pic:blipFill>
                  <pic:spPr bwMode="auto">
                    <a:xfrm>
                      <a:off x="0" y="0"/>
                      <a:ext cx="6826361" cy="5210368"/>
                    </a:xfrm>
                    <a:prstGeom prst="rect">
                      <a:avLst/>
                    </a:prstGeom>
                    <a:noFill/>
                    <a:ln>
                      <a:noFill/>
                    </a:ln>
                    <a:extLst>
                      <a:ext uri="{53640926-AAD7-44D8-BBD7-CCE9431645EC}">
                        <a14:shadowObscured xmlns:a14="http://schemas.microsoft.com/office/drawing/2010/main"/>
                      </a:ext>
                    </a:extLst>
                  </pic:spPr>
                </pic:pic>
              </a:graphicData>
            </a:graphic>
          </wp:inline>
        </w:drawing>
      </w:r>
    </w:p>
    <w:p w14:paraId="31403984" w14:textId="23FDB416" w:rsidR="00AC74C5" w:rsidRPr="009867C1" w:rsidRDefault="00086155" w:rsidP="00086155">
      <w:pPr>
        <w:pStyle w:val="Caption"/>
        <w:rPr>
          <w:vanish/>
          <w:specVanish/>
        </w:rPr>
      </w:pPr>
      <w:bookmarkStart w:id="204" w:name="_Ref62043078"/>
      <w:bookmarkStart w:id="205" w:name="_Toc101783828"/>
      <w:bookmarkStart w:id="206" w:name="_Toc74923577"/>
      <w:r w:rsidRPr="009867C1">
        <w:t xml:space="preserve">Figure </w:t>
      </w:r>
      <w:r w:rsidR="008C26C1">
        <w:fldChar w:fldCharType="begin"/>
      </w:r>
      <w:r w:rsidR="008C26C1">
        <w:instrText xml:space="preserve"> STYLEREF 2 \s </w:instrText>
      </w:r>
      <w:r w:rsidR="008C26C1">
        <w:fldChar w:fldCharType="separate"/>
      </w:r>
      <w:r w:rsidR="000667DB">
        <w:rPr>
          <w:noProof/>
        </w:rPr>
        <w:t>4</w:t>
      </w:r>
      <w:r w:rsidR="008C26C1">
        <w:fldChar w:fldCharType="end"/>
      </w:r>
      <w:r w:rsidR="008C26C1">
        <w:noBreakHyphen/>
      </w:r>
      <w:r w:rsidR="008C26C1">
        <w:fldChar w:fldCharType="begin"/>
      </w:r>
      <w:r w:rsidR="008C26C1">
        <w:instrText xml:space="preserve"> SEQ Figure \* ARABIC \s 2 </w:instrText>
      </w:r>
      <w:r w:rsidR="008C26C1">
        <w:fldChar w:fldCharType="separate"/>
      </w:r>
      <w:r w:rsidR="000667DB">
        <w:rPr>
          <w:noProof/>
        </w:rPr>
        <w:t>13</w:t>
      </w:r>
      <w:r w:rsidR="008C26C1">
        <w:fldChar w:fldCharType="end"/>
      </w:r>
      <w:bookmarkEnd w:id="204"/>
      <w:r w:rsidRPr="009867C1">
        <w:t xml:space="preserve">: ITS </w:t>
      </w:r>
      <w:r w:rsidR="00AC74C5" w:rsidRPr="009867C1">
        <w:t xml:space="preserve">differential analysis </w:t>
      </w:r>
      <w:r w:rsidRPr="009867C1">
        <w:t>coefficients.</w:t>
      </w:r>
      <w:bookmarkEnd w:id="205"/>
    </w:p>
    <w:p w14:paraId="76D289CF" w14:textId="30EFCAD8" w:rsidR="00086155" w:rsidRPr="009867C1" w:rsidRDefault="00086155" w:rsidP="00086155">
      <w:pPr>
        <w:pStyle w:val="Caption"/>
      </w:pPr>
      <w:r w:rsidRPr="009867C1">
        <w:t xml:space="preserve"> Coefficients are from differential analysis using the </w:t>
      </w:r>
      <w:r w:rsidR="00E85CEB">
        <w:rPr>
          <w:i/>
        </w:rPr>
        <w:t>MaAsLin2</w:t>
      </w:r>
      <w:r w:rsidRPr="009867C1">
        <w:t xml:space="preserve"> package (see methods); green indicates down-regulation and brown up-regulation in response to salmon density (gradient data; left column) or being below falls (above/below data; right column). Forest floors (top row) and organic soil (bottom row) were analyzed separately. Only significant coefficients are shown; the cumulative effects on non-tip taxonomic groups are inferred by taking the average of downstream significant coefficients weighted by re</w:t>
      </w:r>
      <w:r w:rsidR="00E85CEB">
        <w:t>lative</w:t>
      </w:r>
      <w:r w:rsidRPr="009867C1">
        <w:t xml:space="preserve"> abundance.</w:t>
      </w:r>
      <w:bookmarkEnd w:id="206"/>
      <w:r w:rsidRPr="009867C1">
        <w:t xml:space="preserve">      </w:t>
      </w:r>
    </w:p>
    <w:p w14:paraId="05FDB43A" w14:textId="77777777" w:rsidR="00086155" w:rsidRPr="009867C1" w:rsidRDefault="00086155" w:rsidP="00086155"/>
    <w:p w14:paraId="70F7C971" w14:textId="2D00DD78" w:rsidR="00086155" w:rsidRPr="009867C1" w:rsidRDefault="003E559B" w:rsidP="00086155">
      <w:pPr>
        <w:keepNext/>
      </w:pPr>
      <w:r>
        <w:rPr>
          <w:noProof/>
        </w:rPr>
        <w:drawing>
          <wp:inline distT="0" distB="0" distL="0" distR="0" wp14:anchorId="7127AB55" wp14:editId="2AE0F632">
            <wp:extent cx="6695735" cy="5745192"/>
            <wp:effectExtent l="0" t="0" r="0" b="825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3">
                      <a:extLst>
                        <a:ext uri="{28A0092B-C50C-407E-A947-70E740481C1C}">
                          <a14:useLocalDpi xmlns:a14="http://schemas.microsoft.com/office/drawing/2010/main" val="0"/>
                        </a:ext>
                      </a:extLst>
                    </a:blip>
                    <a:srcRect l="14245" r="20200"/>
                    <a:stretch/>
                  </pic:blipFill>
                  <pic:spPr bwMode="auto">
                    <a:xfrm>
                      <a:off x="0" y="0"/>
                      <a:ext cx="6706837" cy="5754718"/>
                    </a:xfrm>
                    <a:prstGeom prst="rect">
                      <a:avLst/>
                    </a:prstGeom>
                    <a:noFill/>
                    <a:ln>
                      <a:noFill/>
                    </a:ln>
                    <a:extLst>
                      <a:ext uri="{53640926-AAD7-44D8-BBD7-CCE9431645EC}">
                        <a14:shadowObscured xmlns:a14="http://schemas.microsoft.com/office/drawing/2010/main"/>
                      </a:ext>
                    </a:extLst>
                  </pic:spPr>
                </pic:pic>
              </a:graphicData>
            </a:graphic>
          </wp:inline>
        </w:drawing>
      </w:r>
    </w:p>
    <w:p w14:paraId="0B9BC041" w14:textId="087E235E" w:rsidR="00AC74C5" w:rsidRPr="009867C1" w:rsidRDefault="00086155" w:rsidP="00086155">
      <w:pPr>
        <w:pStyle w:val="Caption"/>
        <w:rPr>
          <w:vanish/>
          <w:specVanish/>
        </w:rPr>
      </w:pPr>
      <w:bookmarkStart w:id="207" w:name="_Ref62043079"/>
      <w:bookmarkStart w:id="208" w:name="_Toc101783829"/>
      <w:bookmarkStart w:id="209" w:name="_Toc74923578"/>
      <w:r w:rsidRPr="009867C1">
        <w:t xml:space="preserve">Figure </w:t>
      </w:r>
      <w:r w:rsidR="008C26C1">
        <w:fldChar w:fldCharType="begin"/>
      </w:r>
      <w:r w:rsidR="008C26C1">
        <w:instrText xml:space="preserve"> STYLEREF 2 \s </w:instrText>
      </w:r>
      <w:r w:rsidR="008C26C1">
        <w:fldChar w:fldCharType="separate"/>
      </w:r>
      <w:r w:rsidR="000667DB">
        <w:rPr>
          <w:noProof/>
        </w:rPr>
        <w:t>4</w:t>
      </w:r>
      <w:r w:rsidR="008C26C1">
        <w:fldChar w:fldCharType="end"/>
      </w:r>
      <w:r w:rsidR="008C26C1">
        <w:noBreakHyphen/>
      </w:r>
      <w:r w:rsidR="008C26C1">
        <w:fldChar w:fldCharType="begin"/>
      </w:r>
      <w:r w:rsidR="008C26C1">
        <w:instrText xml:space="preserve"> SEQ Figure \* ARABIC \s 2 </w:instrText>
      </w:r>
      <w:r w:rsidR="008C26C1">
        <w:fldChar w:fldCharType="separate"/>
      </w:r>
      <w:r w:rsidR="000667DB">
        <w:rPr>
          <w:noProof/>
        </w:rPr>
        <w:t>14</w:t>
      </w:r>
      <w:r w:rsidR="008C26C1">
        <w:fldChar w:fldCharType="end"/>
      </w:r>
      <w:bookmarkEnd w:id="207"/>
      <w:r w:rsidRPr="009867C1">
        <w:t xml:space="preserve">: SSU </w:t>
      </w:r>
      <w:r w:rsidR="00AC74C5" w:rsidRPr="009867C1">
        <w:t>differential abundance</w:t>
      </w:r>
      <w:r w:rsidRPr="009867C1">
        <w:t xml:space="preserve"> effect coefficients.</w:t>
      </w:r>
      <w:bookmarkEnd w:id="208"/>
      <w:r w:rsidRPr="009867C1">
        <w:t xml:space="preserve"> </w:t>
      </w:r>
    </w:p>
    <w:p w14:paraId="6CF7F2FA" w14:textId="19A4DDC5" w:rsidR="00086155" w:rsidRPr="009867C1" w:rsidRDefault="00AC74C5" w:rsidP="00086155">
      <w:pPr>
        <w:pStyle w:val="Caption"/>
      </w:pPr>
      <w:r w:rsidRPr="009867C1">
        <w:t xml:space="preserve"> </w:t>
      </w:r>
      <w:r w:rsidR="00086155" w:rsidRPr="009867C1">
        <w:t xml:space="preserve">Coefficients are from differential analysis using the </w:t>
      </w:r>
      <w:r w:rsidR="00E85CEB">
        <w:rPr>
          <w:i/>
        </w:rPr>
        <w:t>MaAsLin2</w:t>
      </w:r>
      <w:r w:rsidR="00086155" w:rsidRPr="009867C1">
        <w:t xml:space="preserve"> package (see methods); green indicates down-regulation and brown up-regulation in response to salmon density (gradient data; left column) or being below falls (above/below data; right column). Forest floors (top row) and organic soil (bottom row) were analyzed separately. Only significant coefficients are shown; the cumulative effects on non-tip taxonomic groups are inferred by taking the average of downstream significant coefficients weighted by re</w:t>
      </w:r>
      <w:r w:rsidR="00E85CEB">
        <w:t>lative</w:t>
      </w:r>
      <w:r w:rsidR="00086155" w:rsidRPr="009867C1">
        <w:t xml:space="preserve"> abundance.</w:t>
      </w:r>
      <w:bookmarkEnd w:id="209"/>
      <w:r w:rsidR="00086155" w:rsidRPr="009867C1">
        <w:t xml:space="preserve">     </w:t>
      </w:r>
    </w:p>
    <w:p w14:paraId="0839E534" w14:textId="77777777" w:rsidR="00086155" w:rsidRPr="009867C1" w:rsidRDefault="00086155" w:rsidP="00086155">
      <w:pPr>
        <w:pStyle w:val="Heading2"/>
      </w:pPr>
      <w:bookmarkStart w:id="210" w:name="_Toc99385471"/>
      <w:r w:rsidRPr="009867C1">
        <w:rPr>
          <w:rStyle w:val="Heading1Char"/>
        </w:rPr>
        <w:t>Soil bacteria diversity and community composition changes along salmon density gradients</w:t>
      </w:r>
      <w:bookmarkEnd w:id="210"/>
      <w:r w:rsidRPr="009867C1">
        <w:rPr>
          <w:rStyle w:val="Heading1Char"/>
        </w:rPr>
        <w:t xml:space="preserve"> </w:t>
      </w:r>
    </w:p>
    <w:p w14:paraId="0D3B56E6" w14:textId="77777777" w:rsidR="00086155" w:rsidRPr="009867C1" w:rsidRDefault="00086155" w:rsidP="00086155">
      <w:pPr>
        <w:pStyle w:val="Heading3"/>
        <w:rPr>
          <w:lang w:val="en-CA"/>
        </w:rPr>
      </w:pPr>
      <w:bookmarkStart w:id="211" w:name="_Toc99385472"/>
      <w:r w:rsidRPr="009867C1">
        <w:rPr>
          <w:lang w:val="en-CA"/>
        </w:rPr>
        <w:t>Introduction</w:t>
      </w:r>
      <w:bookmarkEnd w:id="211"/>
    </w:p>
    <w:p w14:paraId="38816B0E" w14:textId="14DBBE71" w:rsidR="00086155" w:rsidRPr="009867C1" w:rsidRDefault="00086155" w:rsidP="00086155">
      <w:pPr>
        <w:ind w:firstLine="720"/>
      </w:pPr>
      <w:r w:rsidRPr="009867C1">
        <w:t xml:space="preserve">Soil microbiomes play a critical role in soil metabolism, health, and chemistry </w:t>
      </w:r>
      <w:r w:rsidRPr="009867C1">
        <w:fldChar w:fldCharType="begin"/>
      </w:r>
      <w:r w:rsidR="00AC0205">
        <w:instrText xml:space="preserve"> ADDIN ZOTERO_ITEM CSL_CITATION {"citationID":"bgFV3LTq","properties":{"formattedCitation":"(Santoyo et al., 2017)","plainCitation":"(Santoyo et al., 2017)","noteIndex":0},"citationItems":[{"id":71,"uris":["http://zotero.org/users/2189142/items/Z9N8GUWE"],"itemData":{"id":71,"type":"article-journal","abstract":"Autorías: Gustavo Santoyo, Claudia Hernández Pacheco, Julie Hernández Salmerón, Rocio Hernández León.\nLocalización: Spanish journal of agricultural research. Nº. 1, 2017.\nArtículo de Revista en Dialnet.","container-title":"Spanish journal of agricultural research","ISSN":"1695-971X, 2171-9292","issue":"1","language":"eng","note":"publisher: Instituto Nacional de Investigación y Tecnología Agraria y Alimentaria (INIA)\nsection: Spanish journal of agricultural research","page":"13","source":"dialnet.unirioja.es","title":"The role of abiotic factors modulating the plant-microbe-soil interactions: toward sustainable agriculture. A review","title-short":"The role of abiotic factors modulating the plant-microbe-soil interactions","volume":"15","author":[{"family":"Santoyo","given":"Gustavo"},{"family":"Pacheco","given":"Claudia Hernández"},{"family":"Salmerón","given":"Julie Hernández"},{"family":"León","given":"Rocio Hernández"}],"issued":{"date-parts":[["2017"]]},"citation-key":"santoyo_2017"}}],"schema":"https://github.com/citation-style-language/schema/raw/master/csl-citation.json"} </w:instrText>
      </w:r>
      <w:r w:rsidRPr="009867C1">
        <w:fldChar w:fldCharType="separate"/>
      </w:r>
      <w:r w:rsidR="0042141C" w:rsidRPr="009867C1">
        <w:t>(Santoyo et al., 2017)</w:t>
      </w:r>
      <w:r w:rsidRPr="009867C1">
        <w:fldChar w:fldCharType="end"/>
      </w:r>
      <w:r w:rsidRPr="009867C1">
        <w:t xml:space="preserve">, and can impact plant growth, health, and resistance to biotic and abiotic stressors </w:t>
      </w:r>
      <w:r w:rsidRPr="009867C1">
        <w:fldChar w:fldCharType="begin"/>
      </w:r>
      <w:r w:rsidR="00AC0205">
        <w:instrText xml:space="preserve"> ADDIN ZOTERO_ITEM CSL_CITATION {"citationID":"pddevloD","properties":{"formattedCitation":"(Compant et al., 2019)","plainCitation":"(Compant et al., 2019)","noteIndex":0},"citationItems":[{"id":70,"uris":["http://zotero.org/users/2189142/items/TRMLNVZC"],"itemData":{"id":70,"type":"article-journal","container-title":"Journal of advanced research","note":"publisher: Elsevier","page":"29–37","source":"Google Scholar","title":"A review on the plant microbiome: ecology, functions, and emerging trends in microbial application","title-short":"A review on the plant microbiome","volume":"19","author":[{"family":"Compant","given":"Stéphane"},{"family":"Samad","given":"Abdul"},{"family":"Faist","given":"Hanna"},{"family":"Sessitsch","given":"Angela"}],"issued":{"date-parts":[["2019"]]},"citation-key":"compant_2019"}}],"schema":"https://github.com/citation-style-language/schema/raw/master/csl-citation.json"} </w:instrText>
      </w:r>
      <w:r w:rsidRPr="009867C1">
        <w:fldChar w:fldCharType="separate"/>
      </w:r>
      <w:r w:rsidR="0042141C" w:rsidRPr="009867C1">
        <w:t>(Compant et al., 2019)</w:t>
      </w:r>
      <w:r w:rsidRPr="009867C1">
        <w:fldChar w:fldCharType="end"/>
      </w:r>
      <w:r w:rsidRPr="009867C1">
        <w:t xml:space="preserve">. Bacterial communities decompose dead plant and fungal matter, play key roles in macro- and micro-nutrient cycles, and partake in complex rhizosphere interactions </w:t>
      </w:r>
      <w:r w:rsidRPr="009867C1">
        <w:fldChar w:fldCharType="begin"/>
      </w:r>
      <w:r w:rsidR="00AC0205">
        <w:instrText xml:space="preserve"> ADDIN ZOTERO_ITEM CSL_CITATION {"citationID":"frGYT3cW","properties":{"formattedCitation":"(Llad\\uc0\\u243{} et al., 2017)","plainCitation":"(Lladó et al., 2017)","noteIndex":0},"citationItems":[{"id":62,"uris":["http://zotero.org/users/2189142/items/P5VXDJ4F"],"itemData":{"id":62,"type":"article-journal","abstract":"SUMMARY The ecology of forest soils is an important field of research due to the role of forests as carbon sinks. Consequently, a significant amount of information has been accumulated concerning their ecology, especially for temperate and boreal forests. Although most studies have focused on fungi, forest soil bacteria also play important roles in this environment. In forest soils, bacteria inhabit multiple habitats with specific properties, including bulk soil, rhizosphere, litter, and deadwood habitats, where their communities are shaped by nutrient availability and biotic interactions. Bacteria contribute to a range of essential soil processes involved in the cycling of carbon, nitrogen, and phosphorus. They take part in the decomposition of dead plant biomass and are highly important for the decomposition of dead fungal mycelia. In rhizospheres of forest trees, bacteria interact with plant roots and mycorrhizal fungi as commensalists or mycorrhiza helpers. Bacteria also mediate multiple critical steps in the nitrogen cycle, including N fixation. Bacterial communities in forest soils respond to the effects of global change, such as climate warming, increased levels of carbon dioxide, or anthropogenic nitrogen deposition. This response, however, often reflects the specificities of each studied forest ecosystem, and it is still impossible to fully incorporate bacteria into predictive models. The understanding of bacterial ecology in forest soils has advanced dramatically in recent years, but it is still incomplete. The exact extent of the contribution of bacteria to forest ecosystem processes will be recognized only in the future, when the activities of all soil community members are studied simultaneously.","container-title":"Microbiology and Molecular Biology Reviews","DOI":"10.1128/MMBR.00063-16","ISSN":"1092-2172, 1098-5557","issue":"2","journalAbbreviation":"Microbiol. Mol. Biol. Rev.","language":"en","note":"publisher: American Society for Microbiology\nsection: Review\nPMID: 28404790","source":"mmbr-asm-org.ezproxy.library.ubc.ca","title":"Forest Soil Bacteria: Diversity, Involvement in Ecosystem Processes, and Response to Global Change","title-short":"Forest Soil Bacteria","URL":"https://mmbr-asm-org.ezproxy.library.ubc.ca/content/81/2/e00063-16","volume":"81","author":[{"family":"Lladó","given":"Salvador"},{"family":"López-Mondéjar","given":"Rubén"},{"family":"Baldrian","given":"Petr"}],"accessed":{"date-parts":[["2021",1,26]]},"issued":{"date-parts":[["2017",6,1]]},"citation-key":"llado_2017a"}}],"schema":"https://github.com/citation-style-language/schema/raw/master/csl-citation.json"} </w:instrText>
      </w:r>
      <w:r w:rsidRPr="009867C1">
        <w:fldChar w:fldCharType="separate"/>
      </w:r>
      <w:r w:rsidR="0042141C" w:rsidRPr="009867C1">
        <w:t>(Lladó et al., 2017)</w:t>
      </w:r>
      <w:r w:rsidRPr="009867C1">
        <w:fldChar w:fldCharType="end"/>
      </w:r>
      <w:r w:rsidRPr="009867C1">
        <w:t xml:space="preserve">. Soil microbiome diversity and community composition is associated with ecosystem productivity and resilience </w:t>
      </w:r>
      <w:r w:rsidRPr="009867C1">
        <w:fldChar w:fldCharType="begin"/>
      </w:r>
      <w:r w:rsidR="00AC0205">
        <w:instrText xml:space="preserve"> ADDIN ZOTERO_ITEM CSL_CITATION {"citationID":"7ZseNnX1","properties":{"formattedCitation":"(Saleem et al., 2019; Van Der Heijden et al., 2008)","plainCitation":"(Saleem et al., 2019; Van Der Heijden et al., 2008)","noteIndex":0},"citationItems":[{"id":69,"uris":["http://zotero.org/users/2189142/items/87YVGSDF"],"itemData":{"id":69,"type":"article-journal","container-title":"Annual Review of Ecology, Evolution, and Systematics","note":"publisher: Annual Reviews","page":"145–168","source":"Google Scholar","title":"More than the sum of its parts: microbiome biodiversity as a driver of plant growth and soil health","title-short":"More than the sum of its parts","volume":"50","author":[{"family":"Saleem","given":"Muhammad"},{"family":"Hu","given":"Jie"},{"family":"Jousset","given":"Alexandre"}],"issued":{"date-parts":[["2019"]]},"citation-key":"saleem_2019"}},{"id":682,"uris":["http://zotero.org/users/2189142/items/TXT8WNWC"],"itemData":{"id":682,"type":"article-journal","abstract":"Microbes are the unseen majority in soil and comprise a large portion of life’s genetic diversity. Despite their abundance, the impact of soil microbes on ecosystem processes is still poorly understood. Here we explore the various roles that soil microbes play in terrestrial ecosystems with special emphasis on their contribution to plant productivity and diversity. Soil microbes are important regulators of plant productivity, especially in nutrient poor ecosystems where plant symbionts are responsible for the acquisition of limiting nutrients. Mycorrhizal fungi and nitrogen-fixing bacteria are responsible for c. 5–20% (grassland and savannah) to 80% (temperate and boreal forests) of all nitrogen, and up to 75% of phosphorus, that is acquired by plants annually. Free-living microbes also strongly regulate plant productivity, through the mineralization of, and competition for, nutrients that sustain plant productivity. Soil microbes, including microbial pathogens, are also important regulators of plant community dynamics and plant diversity, determining plant abundance and, in some cases, facilitating invasion by exotic plants. Conservative estimates suggest that c. 20 000 plant species are completely dependent on microbial symbionts for growth and survival pointing to the importance of soil microbes as regulators of plant species richness on Earth. Overall, this review shows that soil microbes must be considered as important drivers of plant diversity and productivity in terrestrial ecosystems.","container-title":"Ecology Letters","DOI":"10.1111/j.1461-0248.2007.01139.x","ISSN":"1461-0248","issue":"3","language":"en","page":"296-310","source":"Wiley Online Library","title":"The unseen majority: soil microbes as drivers of plant diversity and productivity in terrestrial ecosystems","title-short":"The unseen majority","volume":"11","author":[{"family":"Van Der Heijden","given":"Marcel G. A."},{"family":"Bardgett","given":"Richard D."},{"family":"Van Straalen","given":"Nico M."}],"issued":{"date-parts":[["2008",3,1]]},"citation-key":"vanderheijden_2008"}}],"schema":"https://github.com/citation-style-language/schema/raw/master/csl-citation.json"} </w:instrText>
      </w:r>
      <w:r w:rsidRPr="009867C1">
        <w:fldChar w:fldCharType="separate"/>
      </w:r>
      <w:r w:rsidR="0042141C" w:rsidRPr="009867C1">
        <w:t>(Saleem et al., 2019; Van Der Heijden et al., 2008)</w:t>
      </w:r>
      <w:r w:rsidRPr="009867C1">
        <w:fldChar w:fldCharType="end"/>
      </w:r>
      <w:r w:rsidRPr="009867C1">
        <w:t xml:space="preserve">, and as such characterizing soil microbiome responses to environmental and anthropological gradients is important in managing soil health </w:t>
      </w:r>
      <w:r w:rsidRPr="009867C1">
        <w:fldChar w:fldCharType="begin"/>
      </w:r>
      <w:r w:rsidR="00AC0205">
        <w:instrText xml:space="preserve"> ADDIN ZOTERO_ITEM CSL_CITATION {"citationID":"GeRe5z8b","properties":{"formattedCitation":"(Fierer, 2017)","plainCitation":"(Fierer, 2017)","noteIndex":0},"citationItems":[{"id":67,"uris":["http://zotero.org/users/2189142/items/A9TVLE6G"],"itemData":{"id":67,"type":"article-journal","abstract":"Soils can contain large amounts of microbial biomass, including fungi, protists, viruses, bacteria and archaea. Most of these taxa currently remain undescribed, and have physiological and ecological attributes that are unknown.Soil microbial communities are highly diverse, in part because soil environmental conditions are so heterogeneous. In a single soil there is a wide range of distinct microbial habitats that contain unique microbial assemblages.Spatial variability in the structure of soil microbial communities is typically larger than the temporal variability. The composition of soil bacterial communities and the abundances of specific taxa are often predictable from soil and site characteristics, including soil pH, climate and organic carbon availability.Plants can clearly have important direct or indirect effects on soil microbial communities and vice versa. However, the effects of plant species on microbial taxa are often difficult to predict a priori owing, in part, to plant associations with soil microorganisms being highly context-dependent.Linking specific soil microbial processes to specific microbial taxa remains difficult. One way to tackle this problem is to use genomic data to group microbial taxa according to shared similar life-history strategies and functional attributes.Given recent methodological and conceptual advances, the field is poised to rapidly advance our understanding of the soil microbiome. Promising future research directions include cultivation-based analyses of soil microbial taxa, studies of soil viruses and investigations into the importance of horizontal gene transfer in shaping the soil microbiome.","container-title":"Nature Reviews Microbiology","DOI":"10.1038/nrmicro.2017.87","ISSN":"1740-1534","issue":"10","language":"en","note":"number: 10\npublisher: Nature Publishing Group","page":"579-590","source":"www-nature-com.ezproxy.library.ubc.ca","title":"Embracing the unknown: disentangling the complexities of the soil microbiome","title-short":"Embracing the unknown","volume":"15","author":[{"family":"Fierer","given":"Noah"}],"issued":{"date-parts":[["2017",10]]},"citation-key":"fierer_2017"}}],"schema":"https://github.com/citation-style-language/schema/raw/master/csl-citation.json"} </w:instrText>
      </w:r>
      <w:r w:rsidRPr="009867C1">
        <w:fldChar w:fldCharType="separate"/>
      </w:r>
      <w:r w:rsidR="0042141C" w:rsidRPr="009867C1">
        <w:t>(Fierer, 2017)</w:t>
      </w:r>
      <w:r w:rsidRPr="009867C1">
        <w:fldChar w:fldCharType="end"/>
      </w:r>
      <w:r w:rsidRPr="009867C1">
        <w:t xml:space="preserve">. Forest soils have received relatively less attention than agricultural soils, and their diversity remains a major challenge in both microbiome characterization and measurement of their responses to environmental gradients </w:t>
      </w:r>
      <w:r w:rsidRPr="009867C1">
        <w:fldChar w:fldCharType="begin"/>
      </w:r>
      <w:r w:rsidR="00AC0205">
        <w:instrText xml:space="preserve"> ADDIN ZOTERO_ITEM CSL_CITATION {"citationID":"FeH51sNF","properties":{"formattedCitation":"(Llad\\uc0\\u243{} et al., 2018)","plainCitation":"(Lladó et al., 2018)","noteIndex":0},"citationItems":[{"id":60,"uris":["http://zotero.org/users/2189142/items/9YQG5IFP"],"itemData":{"id":60,"type":"article-journal","abstract":"Forests are essential biomes for global biogeochemical cycles, and belowground microorganisms have a key role in providing relevant ecosystem services. To predict the effects of environmental changes on these ecosystem services requires a comprehensive understanding of how biotic and abiotic factors drive the composition of microbial communities in soil. However, microorganisms are not homogeneously distributed in complex environments such as soil, with different features affecting microbes at different extent depending on the niche they occupy. Indeed, this spatial heterogeneity hampers the extrapolation of microbial diversity study results from particular habitats to the ecosystem level, even if the resolution of the more recent studies has increased significantly after the standardization of high-throughput sequencing techniques. The present work intends to give a comprehensive view of the knowledge accumulated until date defining the more important drivers determining the structure of forest soil microbial communities from fine to continental scales.","container-title":"Applied Microbiology and Biotechnology","DOI":"10.1007/s00253-018-8950-4","ISSN":"1432-0614","issue":"10","journalAbbreviation":"Appl Microbiol Biotechnol","language":"en","page":"4331-4338","source":"Springer Link","title":"Drivers of microbial community structure in forest soils","volume":"102","author":[{"family":"Lladó","given":"Salvador"},{"family":"López-Mondéjar","given":"Rubén"},{"family":"Baldrian","given":"Petr"}],"issued":{"date-parts":[["2018",5,1]]},"citation-key":"llado_2018"}}],"schema":"https://github.com/citation-style-language/schema/raw/master/csl-citation.json"} </w:instrText>
      </w:r>
      <w:r w:rsidRPr="009867C1">
        <w:fldChar w:fldCharType="separate"/>
      </w:r>
      <w:r w:rsidR="0042141C" w:rsidRPr="009867C1">
        <w:t>(Lladó et al., 2018)</w:t>
      </w:r>
      <w:r w:rsidRPr="009867C1">
        <w:fldChar w:fldCharType="end"/>
      </w:r>
      <w:r w:rsidRPr="009867C1">
        <w:t>.</w:t>
      </w:r>
    </w:p>
    <w:p w14:paraId="57F4C616" w14:textId="13B13EEB" w:rsidR="00086155" w:rsidRPr="009867C1" w:rsidRDefault="00086155" w:rsidP="00086155">
      <w:pPr>
        <w:ind w:firstLine="720"/>
      </w:pPr>
      <w:r w:rsidRPr="009867C1">
        <w:t xml:space="preserve">     One of the most important environmental gradients for plant health in forests is nitrogen availability </w:t>
      </w:r>
      <w:r w:rsidRPr="009867C1">
        <w:fldChar w:fldCharType="begin"/>
      </w:r>
      <w:r w:rsidR="00AC0205">
        <w:instrText xml:space="preserve"> ADDIN ZOTERO_ITEM CSL_CITATION {"citationID":"YG7rAyYV","properties":{"formattedCitation":"(LeBauer &amp; Treseder, 2008)","plainCitation":"(LeBauer &amp; Treseder, 2008)","noteIndex":0},"citationItems":[{"id":1626,"uris":["http://zotero.org/users/2189142/items/ZKW6XXHR"],"itemData":{"id":1626,"type":"article-journal","abstract":"Our meta-analysis of 126 nitrogen addition experiments evaluated nitrogen (N) limitation of net primary production (NPP) in terrestrial ecosystems. We tested the hypothesis that N limitation is widespread among biomes and influenced by geography and climate. We used the response ratio (R </w:instrText>
      </w:r>
      <w:r w:rsidR="00AC0205">
        <w:rPr>
          <w:rFonts w:ascii="Cambria Math" w:hAnsi="Cambria Math" w:cs="Cambria Math"/>
        </w:rPr>
        <w:instrText>≅</w:instrText>
      </w:r>
      <w:r w:rsidR="00AC0205">
        <w:instrText xml:space="preserve"> ANPPN/ANPPctrl) of aboveground plant growth in fertilized to control plots and found that most ecosystems are nitrogen limited with an average 29% growth response to nitrogen (i.e., R = 1.29). The response ratio was significant within temperate forests (R = 1.19), tropical forests (R = 1.60), temperate grasslands (R = 1.53), tropical grasslands (R = 1.26), wetlands (R = 1.16), and tundra (R = 1.35), but not deserts. Eight tropical forest studies had been conducted on very young volcanic soils in Hawaii, and this subgroup was strongly N limited (R = 2.13), which resulted in a negative correlation between forest R and latitude. The degree of N limitation in the remainder of the tropical forest studies (R = 1.20) was comparable to that of temperate forests, and when the young Hawaiian subgroup was excluded, forest R did not vary with latitude. Grassland response increased with latitude, but was independent of temperature and precipitation. These results suggest that the global N and C cycles interact strongly and that geography can mediate ecosystem response to N within certain biome types.","container-title":"Ecology","DOI":"10.1890/06-2057.1","ISSN":"1939-9170","issue":"2","language":"en","page":"371-379","source":"Wiley Online Library","title":"Nitrogen Limitation of Net Primary Productivity in Terrestrial Ecosystems Is Globally Distributed","volume":"89","author":[{"family":"LeBauer","given":"David S."},{"family":"Treseder","given":"Kathleen K."}],"issued":{"date-parts":[["2008"]]},"citation-key":"lebauer_2008"}}],"schema":"https://github.com/citation-style-language/schema/raw/master/csl-citation.json"} </w:instrText>
      </w:r>
      <w:r w:rsidRPr="009867C1">
        <w:fldChar w:fldCharType="separate"/>
      </w:r>
      <w:r w:rsidR="0042141C" w:rsidRPr="009867C1">
        <w:t>(LeBauer &amp; Treseder, 2008)</w:t>
      </w:r>
      <w:r w:rsidRPr="009867C1">
        <w:fldChar w:fldCharType="end"/>
      </w:r>
      <w:r w:rsidRPr="009867C1">
        <w:t xml:space="preserve">, and given widespread forest fertilization campaigns </w:t>
      </w:r>
      <w:r w:rsidRPr="009867C1">
        <w:fldChar w:fldCharType="begin"/>
      </w:r>
      <w:r w:rsidR="00AC0205">
        <w:instrText xml:space="preserve"> ADDIN ZOTERO_ITEM CSL_CITATION {"citationID":"ABfQ6xbK","properties":{"formattedCitation":"(Reid et al., 2017)","plainCitation":"(Reid et al., 2017)","noteIndex":0},"citationItems":[{"id":57,"uris":["http://zotero.org/users/2189142/items/RYFYW3ZF"],"itemData":{"id":57,"type":"article-journal","container-title":"Technical Report-Ministry of Forests, Lands and Natural Resource Operations, British Columbia","issue":"111","note":"publisher: BC Ministry of Forests, Lands and Natural Resource Operations","source":"Google Scholar","title":"A systematic review of forest fertilization research in interior British Columbia.","author":[{"family":"Reid","given":"Anya"},{"family":"Montigny","given":"L.","dropping-particle":"de"},{"family":"Prescott","given":"Cindy"},{"family":"Sajedi","given":"Toktam"}],"issued":{"date-parts":[["2017"]]},"citation-key":"reid_2017"}}],"schema":"https://github.com/citation-style-language/schema/raw/master/csl-citation.json"} </w:instrText>
      </w:r>
      <w:r w:rsidRPr="009867C1">
        <w:fldChar w:fldCharType="separate"/>
      </w:r>
      <w:r w:rsidR="0042141C" w:rsidRPr="009867C1">
        <w:t>(Reid et al., 2017)</w:t>
      </w:r>
      <w:r w:rsidRPr="009867C1">
        <w:fldChar w:fldCharType="end"/>
      </w:r>
      <w:r w:rsidRPr="009867C1">
        <w:t xml:space="preserve">, anthropological deposition from air pollution </w:t>
      </w:r>
      <w:r w:rsidRPr="009867C1">
        <w:fldChar w:fldCharType="begin"/>
      </w:r>
      <w:r w:rsidR="00AC0205">
        <w:instrText xml:space="preserve"> ADDIN ZOTERO_ITEM CSL_CITATION {"citationID":"tH5hbbvm","properties":{"formattedCitation":"(Kanakidou et al., 2016)","plainCitation":"(Kanakidou et al., 2016)","noteIndex":0},"citationItems":[{"id":44,"uris":["http://zotero.org/users/2189142/items/ERMX8UGP"],"itemData":{"id":44,"type":"article-journal","abstract":"&lt;section class=\"abstract\"&gt;&lt;h2 class=\"abstractTitle text-title my-1\" id=\"d254e2\"&gt;Abstract&lt;/h2&gt;&lt;p&gt;Reactive nitrogen emissions into the atmosphere are increasing as a result of human activities, affecting nitrogen deposition to the surface and impacting the productivity of terrestrial and marine ecosystems. An atmospheric chemistry–transport model [Tracer Model 4 of the Environmental Chemical Processes Laboratory (TM4-ECPL)] is here used to calculate the global distribution of total nitrogen deposition, accounting for the first time for both its inorganic and organic fractions in gaseous and particulate phases and past and projected changes due to anthropogenic activities. The anthropogenic and biomass-burning Atmospheric Chemistry and Climate Model Intercomparison Project (ACCMIP) historical and RCP6.0 and RCP8.5 emissions scenarios are used. Accounting for organic nitrogen (ON) primary emissions, the present-day global nitrogen atmospheric source is about 60% anthropogenic, while total N deposition increases by about 20% relative to simulations without ON primary emissions. About 20%–25% of total deposited N is ON. About 10% of the emitted nitrogen oxides are deposited as ON instead of inorganic nitrogen (IN), as is considered in most global models. Almost a threefold increase over land (twofold over the ocean) has been calculated for soluble N deposition due to human activities from 1850 to present. The investigated projections indicate significant changes in the regional distribution of N deposition and chemical composition, with reduced compounds gaining importance relative to oxidized ones, but very small changes in the global total flux. Sensitivity simulations quantify uncertainties due to the investigated model parameterizations of IN partitioning onto aerosols and of N chemically fixed on organics to be within 10% for the total soluble N deposition and between 25% and 35% for the dissolved ON deposition. Larger uncertainties are associated with N emissions.&lt;/p&gt;&lt;/section&gt;","container-title":"Journal of the Atmospheric Sciences","DOI":"10.1175/JAS-D-15-0278.1","ISSN":"0022-4928, 1520-0469","issue":"5","language":"EN","note":"publisher: American Meteorological Society\nsection: Journal of the Atmospheric Sciences","page":"2039-2047","source":"journals-ametsoc-org.ezproxy.library.ubc.ca","title":"Past, Present, and Future Atmospheric Nitrogen Deposition","volume":"73","author":[{"family":"Kanakidou","given":"M."},{"family":"Myriokefalitakis","given":"S."},{"family":"Daskalakis","given":"N."},{"family":"Fanourgakis","given":"G."},{"family":"Nenes","given":"A."},{"family":"Baker","given":"A. R."},{"family":"Tsigaridis","given":"K."},{"family":"Mihalopoulos","given":"N."}],"issued":{"date-parts":[["2016",5,1]]},"citation-key":"kanakidou_2016"}}],"schema":"https://github.com/citation-style-language/schema/raw/master/csl-citation.json"} </w:instrText>
      </w:r>
      <w:r w:rsidRPr="009867C1">
        <w:fldChar w:fldCharType="separate"/>
      </w:r>
      <w:r w:rsidR="0042141C" w:rsidRPr="009867C1">
        <w:t>(Kanakidou et al., 2016)</w:t>
      </w:r>
      <w:r w:rsidRPr="009867C1">
        <w:fldChar w:fldCharType="end"/>
      </w:r>
      <w:r w:rsidRPr="009867C1">
        <w:t xml:space="preserve">, and repeated clearcutting cycles </w:t>
      </w:r>
      <w:r w:rsidRPr="009867C1">
        <w:fldChar w:fldCharType="begin"/>
      </w:r>
      <w:r w:rsidR="00AC0205">
        <w:instrText xml:space="preserve"> ADDIN ZOTERO_ITEM CSL_CITATION {"citationID":"RxCToVTr","properties":{"formattedCitation":"(Hume et al., 2018)","plainCitation":"(Hume et al., 2018)","noteIndex":0},"citationItems":[{"id":1529,"uris":["http://zotero.org/users/2189142/items/6TX9DPVD"],"itemData":{"id":1529,"type":"article-journal","abstract":"*\nUnderstanding the impact of forest harvesting is critical to sustainable forest management, yet there remains much uncertainty regarding how harvesting affects soil carbon (C), nitrogen (N) and phosphorus (P) dynamics.\n\n\n\n*\nHere, we conducted a global meta-analysis of 808 observations from 49 studies to test the effects of harvesting on the stocks and concentrations of soil C, N and P and C:N:P ratios relative to uncut control stands.\n\n\n\n*\nWith all harvesting intensities combined, C stock was unaffected by harvesting in either the forest floor or mineral soil, while harvesting reduced forest floor [C], [N] and [P] and C:N ratio, increased the mineral soil [C] and C:N ratio, but reduced mineral soil N stock. The impacts of harvesting on forest floor C and N stocks, C:P and N:P and mineral soil [C] and [N] changed from no effects by partial, stem-only and whole-tree harvesting (WTH) to significantly negative effects by the harvesting coupled with fire. Stem-only and WTH similarly reduced forest floor [P]. The negative effects of harvesting were most pronounced in conifer stands. Soil [C], [N] and C:N decreased with time since harvesting, but soil [P] did not, resulting in an increase in forest floor N:P.\n\n\n\n*\nSynthesis and applications. Our findings highlight the importance of harvest intensity and rotation length on long-term soil nutrient availability when managing forests. Furthermore, the lag in the recovery of phosphorus concentration following harvesting may indicate a decoupling of the phosphorus cycle from those of carbon and nitrogen, and a potential concern in managed forests.","container-title":"Journal of Applied Ecology","DOI":"10.1111/1365-2664.12942","ISSN":"1365-2664","issue":"1","journalAbbreviation":"J Appl Ecol","language":"en","page":"246-255","source":"Wiley Online Library","title":"Intensive forest harvesting increases susceptibility of northern forest soils to carbon, nitrogen and phosphorus loss","volume":"55","author":[{"family":"Hume","given":"Alexandra M."},{"family":"Chen","given":"Han Y. H."},{"family":"Taylor","given":"Anthony R."}],"issued":{"date-parts":[["2018",1,1]]},"citation-key":"hume_2018"}}],"schema":"https://github.com/citation-style-language/schema/raw/master/csl-citation.json"} </w:instrText>
      </w:r>
      <w:r w:rsidRPr="009867C1">
        <w:fldChar w:fldCharType="separate"/>
      </w:r>
      <w:r w:rsidR="0042141C" w:rsidRPr="009867C1">
        <w:t>(Hume et al., 2018)</w:t>
      </w:r>
      <w:r w:rsidRPr="009867C1">
        <w:fldChar w:fldCharType="end"/>
      </w:r>
      <w:r w:rsidRPr="009867C1">
        <w:t xml:space="preserve">, understanding how soils respond to both N accretion and depletion is necessary for responsible management. Soil bacteria are critical in mediating steps in the nitrogen cycle </w:t>
      </w:r>
      <w:r w:rsidRPr="009867C1">
        <w:fldChar w:fldCharType="begin"/>
      </w:r>
      <w:r w:rsidR="00AC0205">
        <w:instrText xml:space="preserve"> ADDIN ZOTERO_ITEM CSL_CITATION {"citationID":"ihbhseyy","properties":{"formattedCitation":"(Llad\\uc0\\u243{} et al., 2017)","plainCitation":"(Lladó et al., 2017)","noteIndex":0},"citationItems":[{"id":62,"uris":["http://zotero.org/users/2189142/items/P5VXDJ4F"],"itemData":{"id":62,"type":"article-journal","abstract":"SUMMARY The ecology of forest soils is an important field of research due to the role of forests as carbon sinks. Consequently, a significant amount of information has been accumulated concerning their ecology, especially for temperate and boreal forests. Although most studies have focused on fungi, forest soil bacteria also play important roles in this environment. In forest soils, bacteria inhabit multiple habitats with specific properties, including bulk soil, rhizosphere, litter, and deadwood habitats, where their communities are shaped by nutrient availability and biotic interactions. Bacteria contribute to a range of essential soil processes involved in the cycling of carbon, nitrogen, and phosphorus. They take part in the decomposition of dead plant biomass and are highly important for the decomposition of dead fungal mycelia. In rhizospheres of forest trees, bacteria interact with plant roots and mycorrhizal fungi as commensalists or mycorrhiza helpers. Bacteria also mediate multiple critical steps in the nitrogen cycle, including N fixation. Bacterial communities in forest soils respond to the effects of global change, such as climate warming, increased levels of carbon dioxide, or anthropogenic nitrogen deposition. This response, however, often reflects the specificities of each studied forest ecosystem, and it is still impossible to fully incorporate bacteria into predictive models. The understanding of bacterial ecology in forest soils has advanced dramatically in recent years, but it is still incomplete. The exact extent of the contribution of bacteria to forest ecosystem processes will be recognized only in the future, when the activities of all soil community members are studied simultaneously.","container-title":"Microbiology and Molecular Biology Reviews","DOI":"10.1128/MMBR.00063-16","ISSN":"1092-2172, 1098-5557","issue":"2","journalAbbreviation":"Microbiol. Mol. Biol. Rev.","language":"en","note":"publisher: American Society for Microbiology\nsection: Review\nPMID: 28404790","source":"mmbr-asm-org.ezproxy.library.ubc.ca","title":"Forest Soil Bacteria: Diversity, Involvement in Ecosystem Processes, and Response to Global Change","title-short":"Forest Soil Bacteria","URL":"https://mmbr-asm-org.ezproxy.library.ubc.ca/content/81/2/e00063-16","volume":"81","author":[{"family":"Lladó","given":"Salvador"},{"family":"López-Mondéjar","given":"Rubén"},{"family":"Baldrian","given":"Petr"}],"accessed":{"date-parts":[["2021",1,26]]},"issued":{"date-parts":[["2017",6,1]]},"citation-key":"llado_2017a"}}],"schema":"https://github.com/citation-style-language/schema/raw/master/csl-citation.json"} </w:instrText>
      </w:r>
      <w:r w:rsidRPr="009867C1">
        <w:fldChar w:fldCharType="separate"/>
      </w:r>
      <w:r w:rsidR="0042141C" w:rsidRPr="009867C1">
        <w:t>(Lladó et al., 2017)</w:t>
      </w:r>
      <w:r w:rsidRPr="009867C1">
        <w:fldChar w:fldCharType="end"/>
      </w:r>
      <w:r w:rsidRPr="009867C1">
        <w:t xml:space="preserve"> such as nitrification, denitrification, N</w:t>
      </w:r>
      <w:r w:rsidRPr="009867C1">
        <w:rPr>
          <w:vertAlign w:val="subscript"/>
        </w:rPr>
        <w:t>2</w:t>
      </w:r>
      <w:r w:rsidRPr="009867C1">
        <w:t xml:space="preserve"> fixation, and consolidation of N into recalcitrant soil pools. Hence bacterial community diversity and composition is directly relevant to ecosystem-level processes. Evidence is accumulating that characterize</w:t>
      </w:r>
      <w:r w:rsidR="00FC034F">
        <w:t>s</w:t>
      </w:r>
      <w:r w:rsidRPr="009867C1">
        <w:t xml:space="preserve"> community-level responses to N addition: in acidic tropical soils in China, </w:t>
      </w:r>
      <w:r w:rsidR="00346B03">
        <w:t>nitrogen</w:t>
      </w:r>
      <w:r w:rsidRPr="009867C1">
        <w:t xml:space="preserve"> addition decreased microbiome diversity, increased the relative abundance of copiotrophic phyla such as </w:t>
      </w:r>
      <w:r w:rsidRPr="009867C1">
        <w:rPr>
          <w:i/>
          <w:iCs/>
        </w:rPr>
        <w:t>Proteobacteria</w:t>
      </w:r>
      <w:r w:rsidRPr="009867C1">
        <w:t xml:space="preserve"> and </w:t>
      </w:r>
      <w:r w:rsidRPr="009867C1">
        <w:rPr>
          <w:i/>
          <w:iCs/>
        </w:rPr>
        <w:t>Actinobacteria</w:t>
      </w:r>
      <w:r w:rsidRPr="009867C1">
        <w:t xml:space="preserve">, and decreased the relative abundance of oligotrophic phyla such as </w:t>
      </w:r>
      <w:r w:rsidRPr="009867C1">
        <w:rPr>
          <w:i/>
          <w:iCs/>
        </w:rPr>
        <w:t>Burkholderia</w:t>
      </w:r>
      <w:r w:rsidRPr="009867C1">
        <w:t xml:space="preserve"> and </w:t>
      </w:r>
      <w:r w:rsidRPr="009867C1">
        <w:rPr>
          <w:i/>
          <w:iCs/>
        </w:rPr>
        <w:t>Rhizomicrobium</w:t>
      </w:r>
      <w:r w:rsidRPr="009867C1">
        <w:t xml:space="preserve"> </w:t>
      </w:r>
      <w:r w:rsidRPr="009867C1">
        <w:fldChar w:fldCharType="begin"/>
      </w:r>
      <w:r w:rsidR="00AC0205">
        <w:instrText xml:space="preserve"> ADDIN ZOTERO_ITEM CSL_CITATION {"citationID":"6HzMOWYc","properties":{"formattedCitation":"(Nie et al., 2018)","plainCitation":"(Nie et al., 2018)","noteIndex":0},"citationItems":[{"id":61,"uris":["http://zotero.org/users/2189142/items/4NCAJLGV"],"itemData":{"id":61,"type":"article-journal","abstract":"Soil pH is a dominant factor affecting bacterial community composition in acidic, neutral, and alkaline soils but not in severely acidic soils (pH&lt;4.5). We conducted a nitrogen (N) addition experiment in the field in severely acidic forest soil to determine the response of the soil bacterial community and identified the dominant factor in determining community composition. Using a high-throughput Illumina HiSeq sequencing platform, we found that high levels of N addition significantly decreased soil bacterial diversity and altered the composition of the soil bacterial community. The addition of nitrogen increased the relative abundance of copiotrophic taxa (Proteobacteria and Actinobacteria phyla) but decreased the relative abundance of oligotrophic taxa (Acidobacteria, Verrucomicrobia, Planctomycetes, and WD272). In particular, the relative abundance of N-cycling-related microbes (e.g., Burkholderia and Rhizomicrobium genera) also increased upon addition of N. Our correlation analysis showed that soil ammonium nitrogen concentration, rather than pH or nitrate nitrogen concentration, was a key environmental parameter determining the composition of the soil bacterial community. However, these bacterial response behaviors were observed only in the dry season and not in the wet season, indicating that high temperature and precipitation in the wet season may alleviate the impact of the addition of N on soil bacterial diversity and community composition. These results suggest that the soil bacterial community shifted to copiotrophic taxa with higher N demands under increased N addition in severely acidic forest soil.","container-title":"Science of The Total Environment","DOI":"10.1016/j.scitotenv.2017.12.142","ISSN":"0048-9697","journalAbbreviation":"Science of The Total Environment","language":"en","page":"407-415","source":"ScienceDirect","title":"Ammonium nitrogen content is a dominant predictor of bacterial community composition in an acidic forest soil with exogenous nitrogen enrichment","volume":"624","author":[{"family":"Nie","given":"Yanxia"},{"family":"Wang","given":"Mengcen"},{"family":"Zhang","given":"Wei"},{"family":"Ni","given":"Zhuang"},{"family":"Hashidoko","given":"Yasuyuki"},{"family":"Shen","given":"Weijun"}],"issued":{"date-parts":[["2018",5,15]]},"citation-key":"nie_2018"}}],"schema":"https://github.com/citation-style-language/schema/raw/master/csl-citation.json"} </w:instrText>
      </w:r>
      <w:r w:rsidRPr="009867C1">
        <w:fldChar w:fldCharType="separate"/>
      </w:r>
      <w:r w:rsidR="0042141C" w:rsidRPr="009867C1">
        <w:t>(Nie et al., 2018)</w:t>
      </w:r>
      <w:r w:rsidRPr="009867C1">
        <w:fldChar w:fldCharType="end"/>
      </w:r>
      <w:r w:rsidRPr="009867C1">
        <w:t>. In Pacific Northwest soils, fertilization change</w:t>
      </w:r>
      <w:r w:rsidR="00170047">
        <w:t>s</w:t>
      </w:r>
      <w:r w:rsidRPr="009867C1">
        <w:t xml:space="preserve"> bacterial abundance, community composition, and metabolic rates </w:t>
      </w:r>
      <w:r w:rsidRPr="009867C1">
        <w:fldChar w:fldCharType="begin"/>
      </w:r>
      <w:r w:rsidR="00AC0205">
        <w:instrText xml:space="preserve"> ADDIN ZOTERO_ITEM CSL_CITATION {"citationID":"WNhs60N0","properties":{"formattedCitation":"(Levy-Booth et al., 2016)","plainCitation":"(Levy-Booth et al., 2016)","noteIndex":0},"citationItems":[{"id":1975,"uris":["http://zotero.org/users/2189142/items/TX4CLQKQ"],"itemData":{"id":1975,"type":"article-journal","abstract":"Nitrogen (N) fertilization and mechanical site preparation are used to increase productivity of forests and prevent paludification in wet climates. However, these practices may also alter soil microbial community structure and rates of decomposition and respiration. The effects of mounding, drainage and fertilization were investigated at a mounded hybrid spruce site and a drained coastal western redcedar – western hemlock site in British Columbia (B.C.), Canada. CO2 efflux was measured at four dates over a one-year period using static closed chambers. Total bacterial and fungal ribosomal marker abundance and structure were assessed using quantitative PCR and terminal-restriction fragment polymorphism (T-RFLP), respectively. Mounding reduced soil water content of planting sites, but also removed much of the forest floor layer from the rooting zone and led to a significant decrease in CO2 efflux rates, as well as bacterial and fungal abundance and diversity. Drainage increased CO2 fluxes and led to significant differences in T-RFLP profiles in drained and undrained samples. Fertilization had variable effects on the microbial community and CO2 fluxes at the two sites. Site preparation and fertilization can improve regeneration of wet forests that would otherwise be subject to paludification, but can lead to shifts in carbon fluxes and microbial community structure. Major disturbances to soil structure and composition (e.g., following mounding) can alter the microbial community structure in a way that suppresses microbial diversity and function for up to one year following treatment.","container-title":"Forest Ecology and Management","DOI":"10.1016/j.foreco.2016.05.033","ISSN":"0378-1127","journalAbbreviation":"Forest Ecology and Management","language":"en","page":"159-171","source":"ScienceDirect","title":"Site preparation and fertilization of wet forests alter soil bacterial and fungal abundance, community profiles and CO2 fluxes","volume":"375","author":[{"family":"Levy-Booth","given":"David J."},{"family":"Prescott","given":"Cindy"},{"family":"Christiansen","given":"Jesper Riis"},{"family":"Grayston","given":"Susan J."}],"issued":{"date-parts":[["2016",9,1]]},"citation-key":"levy-booth_2016"}}],"schema":"https://github.com/citation-style-language/schema/raw/master/csl-citation.json"} </w:instrText>
      </w:r>
      <w:r w:rsidRPr="009867C1">
        <w:fldChar w:fldCharType="separate"/>
      </w:r>
      <w:r w:rsidR="0042141C" w:rsidRPr="009867C1">
        <w:t>(Levy-Booth et al., 2016)</w:t>
      </w:r>
      <w:r w:rsidRPr="009867C1">
        <w:fldChar w:fldCharType="end"/>
      </w:r>
      <w:r w:rsidRPr="009867C1">
        <w:t xml:space="preserve">. Research indicates differences in microbiome response to N deposition depending on the chemical form of added nitrogen; inorganic nitrogen deposition inhibits soil C processes and reduces decomposition, nutrient cycling, and respiration, while organic nitrogen has the opposite effect </w:t>
      </w:r>
      <w:r w:rsidRPr="009867C1">
        <w:fldChar w:fldCharType="begin"/>
      </w:r>
      <w:r w:rsidR="00AC0205">
        <w:instrText xml:space="preserve"> ADDIN ZOTERO_ITEM CSL_CITATION {"citationID":"euJuQXUX","properties":{"formattedCitation":"(Du et al., 2014)","plainCitation":"(Du et al., 2014)","noteIndex":0},"citationItems":[{"id":50,"uris":["http://zotero.org/users/2189142/items/4SXG752Z"],"itemData":{"id":50,"type":"article-journal","abstract":"Nitrogen (N) deposition significantly affects the soil carbon (C) cycle process of forests. However, the influence of different types of N on it still remained unclear. In this work, ammonium nitrate was selected as an inorganic N (IN) source, while urea and glycine were chosen as organic N (ON) sources. Different ratios of IN to ON (1 : 4, 2 : 3, 3 : 2, 4 : 1, and 5 : 0) were mixed with equal total amounts and then used to fertilize temperate forest soils for 2 years. Results showed that IN deposition inhibited soil C cycle processes, such as soil respiration, soil organic C decomposition, and enzymatic activities, and induced the accumulation of recalcitrant organic C. By contrast, ON deposition promoted these processes. Addition of ON also resulted in accelerated transformation of recalcitrant compounds into labile compounds and increased CO2 efflux. Meanwhile, greater ON deposition may convert C sequestration in forest soils into C source. These results indicated the importance of the IN to ON ratio in controlling the soil C cycle, which can consequently change the ecological effect of N deposition.","container-title":"Global Change Biology","DOI":"https://doi.org/10.1111/gcb.12555","ISSN":"1365-2486","issue":"10","language":"en","note":"_eprint: https://onlinelibrary.wiley.com/doi/pdf/10.1111/gcb.12555","page":"3222-3228","source":"Wiley Online Library","title":"Different types of nitrogen deposition show variable effects on the soil carbon cycle process of temperate forests","volume":"20","author":[{"family":"Du","given":"Yuhan"},{"family":"Guo","given":"Peng"},{"family":"Liu","given":"Jianqiu"},{"family":"Wang","given":"Chunyu"},{"family":"Yang","given":"Ning"},{"family":"Jiao","given":"Zhenxia"}],"issued":{"date-parts":[["2014"]]},"citation-key":"du_2014"}}],"schema":"https://github.com/citation-style-language/schema/raw/master/csl-citation.json"} </w:instrText>
      </w:r>
      <w:r w:rsidRPr="009867C1">
        <w:fldChar w:fldCharType="separate"/>
      </w:r>
      <w:r w:rsidR="0042141C" w:rsidRPr="009867C1">
        <w:t>(Du et al., 2014)</w:t>
      </w:r>
      <w:r w:rsidRPr="009867C1">
        <w:fldChar w:fldCharType="end"/>
      </w:r>
      <w:r w:rsidRPr="009867C1">
        <w:t xml:space="preserve">. While slower soil metabolism may result in higher C accumulation in the soil, it may also result in macro- and micro-nutrient deficiencies that reduce soil fertility in the long term </w:t>
      </w:r>
      <w:r w:rsidRPr="009867C1">
        <w:fldChar w:fldCharType="begin"/>
      </w:r>
      <w:r w:rsidR="00AC0205">
        <w:instrText xml:space="preserve"> ADDIN ZOTERO_ITEM CSL_CITATION {"citationID":"VVQuun6p","properties":{"formattedCitation":"(Dhaliwal et al., 2019)","plainCitation":"(Dhaliwal et al., 2019)","noteIndex":0},"citationItems":[{"id":43,"uris":["http://zotero.org/users/2189142/items/F5VWZM2D"],"itemData":{"id":43,"type":"article-journal","abstract":"The dynamics and transformations of micronutrients (Zn, Cu, Fe, Mn, B and Mo) in soils, are governed by various factors like pH, EC, soil organic matter etc. Soil organic matter (SOM) is known to modify different physiochemical reactions that influence the available component of micronutrients. Soil organic matter favors reduced (lower redox potential) environment and enhances the accessibility of micronutrient cations in the soil. Also, SOM has direct and indirect impacts on nutrient transformations. Soil organic matter (SOM) also serves as source of soil organic carbon (SOC) comprising about 60% on a mass basis. Under reduced environment the addition of SOM increased complexed forms of micronutrients. Build-up of SOM in soil converts adsorbed fractions to more plant-accessible forms of micronutrients. Soil organic matter addition increases the water soluble and exchangeable forms of micronutrients in soil which further increase the uptake of micronutrients. High amount of SOM in soils assists the various reactions of micronutrients resulting in formation of more stable complexes of micronutrient. Soil organic matter binds more Zn, Cu, B and Mo compared to Fe and Mn because the former are less sensitive to redox changes. The accretion of organic matter near the soil surface increases transformations (towards adsorbed fractions) of Mn and Fe and possibly decreases the availability of Zn, Cu, B and Mo by causing their redistribution among other complex fractions.","container-title":"Environmental and Sustainability Indicators","DOI":"10.1016/j.indic.2019.100007","ISSN":"2665-9727","journalAbbreviation":"Environmental and Sustainability Indicators","language":"en","page":"100007","source":"ScienceDirect","title":"Dynamics and transformations of micronutrients in agricultural soils as influenced by organic matter build-up: A review","title-short":"Dynamics and transformations of micronutrients in agricultural soils as influenced by organic matter build-up","volume":"1-2","author":[{"family":"Dhaliwal","given":"S. S."},{"family":"Naresh","given":"R. K."},{"family":"Mandal","given":"Agniva"},{"family":"Singh","given":"Ravinder"},{"family":"Dhaliwal","given":"M. K."}],"issued":{"date-parts":[["2019",9,1]]},"citation-key":"dhaliwal_2019"}}],"schema":"https://github.com/citation-style-language/schema/raw/master/csl-citation.json"} </w:instrText>
      </w:r>
      <w:r w:rsidRPr="009867C1">
        <w:fldChar w:fldCharType="separate"/>
      </w:r>
      <w:r w:rsidR="0042141C" w:rsidRPr="009867C1">
        <w:t>(Dhaliwal et al., 2019)</w:t>
      </w:r>
      <w:r w:rsidRPr="009867C1">
        <w:fldChar w:fldCharType="end"/>
      </w:r>
      <w:r w:rsidRPr="009867C1">
        <w:t xml:space="preserve">. This is relevant in applied settings: in a pilot study on Vancouver island, fish-based organic amendments (fish silage) achieved higher fertilization responses than inorganic fertilizer amendments </w:t>
      </w:r>
      <w:r w:rsidRPr="009867C1">
        <w:fldChar w:fldCharType="begin"/>
      </w:r>
      <w:r w:rsidR="00AC0205">
        <w:instrText xml:space="preserve"> ADDIN ZOTERO_ITEM CSL_CITATION {"citationID":"5Y9doHlM","properties":{"formattedCitation":"(Prescott, 1997)","plainCitation":"(Prescott, 1997)","noteIndex":0},"citationItems":[{"id":1968,"uris":["http://zotero.org/users/2189142/items/4W9K6W2F"],"itemData":{"id":1968,"type":"book","abstract":"The Canadian Forest Service promotes the sustainable development of Canada's forests and the competitiveness of the Canadian forest sector, Site menu for NRCan internet website.","ISBN":"978-0-88865-433-5","language":"English","source":"cfs.nrcan.gc.ca","title":"SCHIRP – Salal Cedar Hemlock Integrated Research Program. Research Update #1: December 1996","title-short":"SCHIRP – Salal Cedar Hemlock Integrated Research Program. Research Update #1","URL":"https://cfs.nrcan.gc.ca/publications?id=4717","author":[{"family":"Prescott","given":"Cindy"}],"accessed":{"date-parts":[["2020",3,16]]},"issued":{"date-parts":[["1997"]]},"citation-key":"prescott_1997"}}],"schema":"https://github.com/citation-style-language/schema/raw/master/csl-citation.json"} </w:instrText>
      </w:r>
      <w:r w:rsidRPr="009867C1">
        <w:fldChar w:fldCharType="separate"/>
      </w:r>
      <w:r w:rsidR="0042141C" w:rsidRPr="009867C1">
        <w:t>(Prescott, 1997)</w:t>
      </w:r>
      <w:r w:rsidRPr="009867C1">
        <w:fldChar w:fldCharType="end"/>
      </w:r>
      <w:r w:rsidRPr="009867C1">
        <w:t>. Despite this, relative to inorganic-N inputs, organic-N inputs to soil have received less attention, particularly along natural rather than artificial gradients.</w:t>
      </w:r>
    </w:p>
    <w:p w14:paraId="64601733" w14:textId="5C3E5256" w:rsidR="00086155" w:rsidRPr="009867C1" w:rsidRDefault="00086155" w:rsidP="00086155">
      <w:pPr>
        <w:ind w:firstLine="720"/>
      </w:pPr>
      <w:r w:rsidRPr="009867C1">
        <w:t>One well-studied natural gradient of organic-N addition are riparian zones around spawning Pacific salmon (</w:t>
      </w:r>
      <w:r w:rsidRPr="009867C1">
        <w:rPr>
          <w:i/>
        </w:rPr>
        <w:t xml:space="preserve">Oncorrhynchus </w:t>
      </w:r>
      <w:r w:rsidRPr="00FC034F">
        <w:rPr>
          <w:iCs/>
        </w:rPr>
        <w:t>sp</w:t>
      </w:r>
      <w:r w:rsidR="00FC034F">
        <w:rPr>
          <w:iCs/>
        </w:rPr>
        <w:t>p</w:t>
      </w:r>
      <w:r w:rsidRPr="00FC034F">
        <w:rPr>
          <w:iCs/>
        </w:rPr>
        <w:t>.</w:t>
      </w:r>
      <w:r w:rsidRPr="009867C1">
        <w:t>). Every autumn, salmon return to the streams of their birth to spawn and die. Their return is attended to by terrestrial and aquatic animals, which consume, transform, and distribute the nutrients contained in salmon flesh throughout the riparian zone. These ‘marine-derived nutrients’ (MDN) include additions of nitrogen, phosphorus, calcium, and other elements to the ecosystem (</w:t>
      </w:r>
      <w:r w:rsidR="000E721D" w:rsidRPr="000E721D">
        <w:t>C</w:t>
      </w:r>
      <w:r w:rsidRPr="000E721D">
        <w:t>hapter 2</w:t>
      </w:r>
      <w:r w:rsidRPr="009867C1">
        <w:t xml:space="preserve">), and can account for large percentages of the total N budgets of these systems </w:t>
      </w:r>
      <w:r w:rsidRPr="009867C1">
        <w:fldChar w:fldCharType="begin"/>
      </w:r>
      <w:r w:rsidR="00AC0205">
        <w:instrText xml:space="preserve"> ADDIN ZOTERO_ITEM CSL_CITATION {"citationID":"eSIycGUS","properties":{"formattedCitation":"(A. E. Morris et al., 2005b; Reimchen, 2017)","plainCitation":"(A. E. Morris et al., 2005b; Reimchen, 2017)","noteIndex":0},"citationItems":[{"id":"Mdw2eqP8/sFyk2AGZ","uris":["http://zotero.org/users/2189142/items/VQN2DZQ5"],"itemData":{"id":"E64OCSfg/bH48cDlB","type":"article-journal","abstract":"Pacific salmon (Oncorhynchus spp.) transport nitrogen (N) from oceans to inland ecosystems. Salmon δ15N is higher than δ15N expected in terrestrial plants, so linear two-source mixing models have commonly been used to quantify contributions of marine-derived N (MDN) to riparian ecosystems based on riparian plant δ15N. However, isotopic fractionation potentially contributes to error in MDN estimates by changing δ15N of salmon-derived N appearing in soil and plants. We used a simulation model to examine potential effects of fractionation on MDN estimates. We also measured changes in δ15N and δ13C as N and carbon (C) moved from bear feces into soil, and compared MDN estimates using three different estimates for the marine endmember of a linear mixing model. Simulation demonstrated that fractionation during soil N losses could lead to large overestimations of MDN when δ15N of salmon tissue is used as the marine endmember. δ15N of bear feces was significantly enriched (by 1.9) relative to salmon tissue, but d..., Le saumon du Pacifique (Oncorhynchus spp.) transporte de l'azote (N) des océans vers les écosystèmes continentaux. Comme le δ15N du saumon est plus élevé que le δ15N anticipé pour les plantes terrestres, des modèles linéaires de mélange de deux sources de fluides ont souvent été utilisés pour quantifier les contributions de N dérivé du milieu marin (ADMM) aux écosystèmes riverains en se basant sur le δ15N des plantes riveraines. Toutefois, le fractionnement isotopique peut contribuer à fausser les estimations de l'ADMM en changeant le δ15N de N du saumon apparaissant dans le sol et les plantes. Les auteurs ont utilisé un modèle de simulation pour examiner les effets potentiels du fractionnement sur les estimations de l'ADMM. Ils ont aussi mesuré les changements dans le δ15N et le δ13C étant donné que le N et le carbone (C) passent des fèces d'ours au sol, et ils ont comparé les estimations de l'ADMM en utilisant trois estimés différents pour le pôle marin d'un modèle linéaire de mélange de fluides. Les si...","container-title":"Canadian Journal of Forest Research","DOI":"10.1139/x05-094","ISSN":"0045-5067","issue":"7","journalAbbreviation":"Can. J. For. Res.","page":"1604-1616","source":"NRC Research Press","title":"Evaluation of isotopic fractionation error on calculations of marine-derived nitrogen in terrestrial ecosystems","volume":"35","author":[{"family":"Morris","given":"Arthur EL"},{"family":"Stark","given":"John M"},{"family":"Gilbert","given":"Barrie K"}],"issued":{"date-parts":[["2005",7,1]]}}},{"id":183,"uris":["http://zotero.org/users/2189142/items/5XY9XX4M"],"itemData":{"id":183,"type":"article-journal","abstract":"Based on five years of field studies (1992, 1993, 1994, 1998, 2000), I quantified bi-directional movement of salmon nutrients through an estuary, stream, and old growth forest in a large protected reserve on Haida Gwaii, British Columbia. In 1993, when most data were collected, about 6000 Chum Salmon (Oncorhynchus keta) entered the river of which 22% of the total biomass of senescent carcasses were swept downstream into the estuary and were scavenged by gulls (n = 350) and subtidal invertebrates. Of the 3700 salmon (10 000 kg) transferred by American Black Bear (Ursus americanus) to the riparian zone and partially consumed along the 800 m of stream channel, 5070 kg of salmon tissues abandoned by the bears were scavenged by Northwestern Crows (Corvus caurinus; n = 200) but mostly (4100 kg) by calliphorid blowfly larvae resulting in larval densities averaging 240/m2 throughout the riparian zone. Total nitrogen input to the soils from the combined effects of bear and scavenger activity as well as carcass input was 18 g/m2 within 10 m of the stream channel. δ15N of foliar tissues of Lanky Moss (Rhytidiadelphus loreus), Red Huckleberry (Vaccinium parvifolium), Salal (Gaultheria shallon), and Western Hemlock (Tsuga heterophylla) ranged about 15‰ to 20‰ among adjacent microsites in each species, with higher values occurring in salmon carcass zones. Total nitrogen in foliar tissues ranged from 1% to 2.4% among microsites and was best predicted by positive correlations with foliar 15N values and secondarily by presence/absence of salmon carcasses. This is the first study to integrate estuarine to riparian ecological processes in the cycling of salmonid nutrients and identifies a range of ecological baselines that can inform the multiple restoration programs underway in degraded watersheds in the North Pacific.","container-title":"Canadian Field Naturalist","ISSN":"0008-3550","language":"en","source":"pubag.nal.usda.gov","title":"Diverse Ecological Pathways of Salmon Nutrients Through an Intact Marine-terrestrial Interface","URL":"https://pubag.nal.usda.gov/catalog/6040059","author":[{"family":"Reimchen","given":"T.E."}],"accessed":{"date-parts":[["2019",8,4]]},"issued":{"date-parts":[["2017"]]},"citation-key":"reimchen_2017"}}],"schema":"https://github.com/citation-style-language/schema/raw/master/csl-citation.json"} </w:instrText>
      </w:r>
      <w:r w:rsidRPr="009867C1">
        <w:fldChar w:fldCharType="separate"/>
      </w:r>
      <w:r w:rsidR="0042141C" w:rsidRPr="009867C1">
        <w:t>(A. E. Morris et al., 2005b; Reimchen, 2017)</w:t>
      </w:r>
      <w:r w:rsidRPr="009867C1">
        <w:fldChar w:fldCharType="end"/>
      </w:r>
      <w:r w:rsidRPr="009867C1">
        <w:t xml:space="preserve">. These nutrients have been shown to shape riparian plant </w:t>
      </w:r>
      <w:r w:rsidRPr="009867C1">
        <w:fldChar w:fldCharType="begin"/>
      </w:r>
      <w:r w:rsidR="00AC0205">
        <w:instrText xml:space="preserve"> ADDIN ZOTERO_ITEM CSL_CITATION {"citationID":"hLgWNFIs","properties":{"formattedCitation":"(Hocking &amp; Reynolds, 2011)","plainCitation":"(Hocking &amp; Reynolds, 2011)","noteIndex":0},"citationItems":[{"id":550,"uris":["http://zotero.org/users/2189142/items/JR362H46"],"itemData":{"id":550,"type":"article-journal","abstract":"The study of natural gradients in nutrient subsidies between ecosystems allows for predictions of how changes in one system can affect biodiversity in another. We performed a large-scale empirical test of the role of Pacific salmon (Oncorhynchus spp.) in structuring riparian plant communities. A comparison of 50 watersheds in the remote Great Bear Rainforest of British Columbia’s central coast in Canada shows that salmon influence nutrient loading to plants, shifting plant communities toward nutrient-rich species, which in turn decreases plant diversity. These effects are mediated by interactions between salmon density and the physical characteristics of watersheds. Predicting how salmon affect terrestrial ecosystems is central to conservation plans that aim to better integrate ecosystem values into resource management.","container-title":"Science","DOI":"10.1126/science.1201079","ISSN":"0036-8075, 1095-9203","issue":"6024","journalAbbreviation":"Science","language":"en","note":"PMID: 21442794","page":"1609-1612","source":"www.sciencemag.org.ezproxy.library.ubc.ca","title":"Impacts of Salmon on Riparian Plant Diversity","volume":"331","author":[{"family":"Hocking","given":"Morgan D."},{"family":"Reynolds","given":"John D."}],"issued":{"date-parts":[["2011",3,25]]},"citation-key":"hocking_2011"}}],"schema":"https://github.com/citation-style-language/schema/raw/master/csl-citation.json"} </w:instrText>
      </w:r>
      <w:r w:rsidRPr="009867C1">
        <w:fldChar w:fldCharType="separate"/>
      </w:r>
      <w:r w:rsidR="0042141C" w:rsidRPr="009867C1">
        <w:t>(Hocking &amp; Reynolds, 2011)</w:t>
      </w:r>
      <w:r w:rsidRPr="009867C1">
        <w:fldChar w:fldCharType="end"/>
      </w:r>
      <w:r w:rsidRPr="009867C1">
        <w:t xml:space="preserve"> and animal </w:t>
      </w:r>
      <w:r w:rsidRPr="009867C1">
        <w:fldChar w:fldCharType="begin"/>
      </w:r>
      <w:r w:rsidR="00AC0205">
        <w:instrText xml:space="preserve"> ADDIN ZOTERO_ITEM CSL_CITATION {"citationID":"rLC9f9oF","properties":{"formattedCitation":"(Reimchen, 2017; Wagner &amp; Reynolds, 2019)","plainCitation":"(Reimchen, 2017; Wagner &amp; Reynolds, 2019)","noteIndex":0},"citationItems":[{"id":183,"uris":["http://zotero.org/users/2189142/items/5XY9XX4M"],"itemData":{"id":183,"type":"article-journal","abstract":"Based on five years of field studies (1992, 1993, 1994, 1998, 2000), I quantified bi-directional movement of salmon nutrients through an estuary, stream, and old growth forest in a large protected reserve on Haida Gwaii, British Columbia. In 1993, when most data were collected, about 6000 Chum Salmon (Oncorhynchus keta) entered the river of which 22% of the total biomass of senescent carcasses were swept downstream into the estuary and were scavenged by gulls (n = 350) and subtidal invertebrates. Of the 3700 salmon (10 000 kg) transferred by American Black Bear (Ursus americanus) to the riparian zone and partially consumed along the 800 m of stream channel, 5070 kg of salmon tissues abandoned by the bears were scavenged by Northwestern Crows (Corvus caurinus; n = 200) but mostly (4100 kg) by calliphorid blowfly larvae resulting in larval densities averaging 240/m2 throughout the riparian zone. Total nitrogen input to the soils from the combined effects of bear and scavenger activity as well as carcass input was 18 g/m2 within 10 m of the stream channel. δ15N of foliar tissues of Lanky Moss (Rhytidiadelphus loreus), Red Huckleberry (Vaccinium parvifolium), Salal (Gaultheria shallon), and Western Hemlock (Tsuga heterophylla) ranged about 15‰ to 20‰ among adjacent microsites in each species, with higher values occurring in salmon carcass zones. Total nitrogen in foliar tissues ranged from 1% to 2.4% among microsites and was best predicted by positive correlations with foliar 15N values and secondarily by presence/absence of salmon carcasses. This is the first study to integrate estuarine to riparian ecological processes in the cycling of salmonid nutrients and identifies a range of ecological baselines that can inform the multiple restoration programs underway in degraded watersheds in the North Pacific.","container-title":"Canadian Field Naturalist","ISSN":"0008-3550","language":"en","source":"pubag.nal.usda.gov","title":"Diverse Ecological Pathways of Salmon Nutrients Through an Intact Marine-terrestrial Interface","URL":"https://pubag.nal.usda.gov/catalog/6040059","author":[{"family":"Reimchen","given":"T.E."}],"accessed":{"date-parts":[["2019",8,4]]},"issued":{"date-parts":[["2017"]]},"citation-key":"reimchen_2017"}},{"id":1850,"uris":["http://zotero.org/users/2189142/items/AHUMBHEI"],"itemData":{"id":1850,"type":"article-journal","abstract":"Resource subsidies across ecosystems can have strong and unforeseen ecological impacts. Marine-derived nutrients from Pacific salmon (Onchorhycus spp.) can be transferred to streams and riparian forests through diverse food web pathways, fertilizing forests and increasing invertebrate abundance, which may in turn affect breeding birds. We quantified the influence of salmon on the abundance and composition of songbird communities across a wide range of salmon-spawning biomass on 14 streams along a remote coastal region of British Columbia, Canada. Point-count data spanning two years were combined with salmon biomass and 13 environmental covariates in riparian forests to test for correlates with bird abundance, foraging guilds, individual species, and avian diversity. We show that bird abundance and diversity increase with salmon biomass and that watershed size and forest composition are less important predictors. This work provides new evidence for the importance of salmon to terrestrial ecosystems and information that can inform ecosystem-based management.","container-title":"PLOS ONE","DOI":"10.1371/journal.pone.0210031","ISSN":"1932-6203","issue":"2","journalAbbreviation":"PLOS ONE","language":"en","page":"e0210031","source":"PLoS Journals","title":"Salmon increase forest bird abundance and diversity","volume":"14","author":[{"family":"Wagner","given":"Marlene A."},{"family":"Reynolds","given":"John D."}],"issued":{"date-parts":[["2019",2,6]]},"citation-key":"wagner_2019"}}],"schema":"https://github.com/citation-style-language/schema/raw/master/csl-citation.json"} </w:instrText>
      </w:r>
      <w:r w:rsidRPr="009867C1">
        <w:fldChar w:fldCharType="separate"/>
      </w:r>
      <w:r w:rsidR="0042141C" w:rsidRPr="009867C1">
        <w:t>(Reimchen, 2017; Wagner &amp; Reynolds, 2019)</w:t>
      </w:r>
      <w:r w:rsidRPr="009867C1">
        <w:fldChar w:fldCharType="end"/>
      </w:r>
      <w:r w:rsidRPr="009867C1">
        <w:t xml:space="preserve"> communities, and while a few studies have investigated effects on soil chemistry and nutrient cycling </w:t>
      </w:r>
      <w:r w:rsidRPr="009867C1">
        <w:fldChar w:fldCharType="begin"/>
      </w:r>
      <w:r w:rsidR="00AC0205">
        <w:instrText xml:space="preserve"> ADDIN ZOTERO_ITEM CSL_CITATION {"citationID":"0LA3XE1W","properties":{"formattedCitation":"(Drake, 2005; Feddern et al., 2019; Holtgrieve et al., 2009)","plainCitation":"(Drake, 2005; Feddern et al., 2019; Holtgrieve et al., 2009)","noteIndex":0},"citationItems":[{"id":241,"uris":["http://zotero.org/users/2189142/items/STBQGJNS"],"itemData":{"id":241,"type":"thesis","publisher":"University of Washington","source":"Google Scholar","title":"The fate and influence of salmon nutrients in riparian soils and trees: seasonal to multi-century patterns","title-short":"The fate and influence of salmon nutrients in riparian soils and trees","URL":"http://weber.s.uw.edu/research/publications/ms_phd/Drake_D_PhD_W05.pdf","author":[{"family":"Drake","given":"Deanne. C."}],"accessed":{"date-parts":[["2015",6,24]]},"issued":{"date-parts":[["2005"]]},"citation-key":"drake_2005a"}},{"id":1688,"uris":["http://zotero.org/users/2189142/items/YIC4UT3V"],"itemData":{"id":1688,"type":"article-journal","abstract":"Pacific salmon acquire most of their biomass in the ocean before returning to spawn and die in coastal streams and lakes, thus providing subsidies of marine-derived nitrogen (MDN) to freshwater and terrestrial ecosystems. Recent declines in salmon abundance have raised questions of whether managers should mitigate for losses of salmon MDN subsidies. To test the long-term importance of salmon subsidies to riparian ecosystems, we measured soil nitrogen cycling in response to a 20-yr manipulation where salmon carcasses were systematically removed from one bank and deposited on the opposite bank along a 2-km stream in southwestern Alaska. Soil samples were taken at different distances from the stream bank along nine paired transects and measured for organic and inorganic nitrogen concentrations, and nitrogen transformation rates. Marine-derived nitrogen was measured using 15N/14N for bulk soils, and NH4+ and NO3− soil pools. Stable isotope analyses confirmed 15N/14N was elevated on the salmon-enhanced bank compared to the salmon-depleted bank. However, 15N/14N values of plant-available inorganic nitrogen exceeded the 15N/14N of salmon inputs, highlighting nitrogen isotope fractionation in soils that raises significant methodological issues with standard MDN assessments in riparian systems. Surprisingly, despite 20 yr of salmon supplementation, the presence of MDN did not cause a long-term increase in soil nitrogen availability. This finding indicates the importance of MDN to ecosystem nitrogen biogeochemistry, and riparian vegetation may be overestimated for some systems. Given that essential nutrients can also be pollutants, we urge more critical analyses of the role of MDN to inform compensatory mitigation programs targeting salmon nutrient enhancement.","container-title":"Ecosphere","DOI":"10.1002/ecs2.2958","ISSN":"2150-8925","issue":"11","language":"en","page":"e02958","source":"Wiley Online Library","title":"Riparian soil nitrogen cycling and isotopic enrichment in response to a long-term salmon carcass manipulation experiment","volume":"10","author":[{"family":"Feddern","given":"Megan L."},{"family":"Holtgrieve","given":"Gordon W."},{"family":"Perakis","given":"Steven S."},{"family":"Hart","given":"Julia"},{"family":"Ro","given":"Hyejoo"},{"family":"Quinn","given":"Thomas P."}],"issued":{"date-parts":[["2019"]]},"citation-key":"feddern_2019"}},{"id":973,"uris":["http://zotero.org/users/2189142/items/RNMUUKA3"],"itemData":{"id":973,"type":"article-journal","abstract":"Two important themes in ecology include the understanding of how interactions among species control ecosystem processes, and how habitats can be connected through transfers of nutrients and energy by mobile organisms. An impressive example of both is the large influx of nutrients and organic matter that anadromous salmon supply to inland aquatic and terrestrial ecosystems and the role of predation by brown bears (Ursus arctos) in transferring these marine-derived nutrients (MDN) from freshwater to riparian habitats. In spite of the recognition that salmon-bear interactions likely play an important role in controlling the flux of MDN from aquatic to riparian habitats, few studies have linked bear predation on salmon to processes such as nitrogen (N) or carbon (C) cycling. We combine landscape-level survey data and a replicated bear-exclosure experiment to test how bear foraging on salmon affects nitrous oxide (N2O) flux, carbon dioxide (CO2) flux, and nutrient concentrations of riparian soils. Our results show that bears feeding on salmon increased soil ammonium (NH4 +) concentrations three-fold and N2O flux by 32-fold. Soil CO2 flux, nitrate (NO3 −), and N transformation differences were negligible in areas where bears fed on salmon. Reference areas without concentrated bear activity showed no detectable change in soil N cycling after the arrival of salmon to streams. Exclosure experiments showed that bear effects on soil nutrient cycles were transient, and soil N processing returned to background conditions within 1 year after bears were removed from the system. These results suggest that recipient ecosystems do not show uniform responses to MDN inputs and highlight the importance of large mobile consumers in generating landscape heterogeneity in nutrient cycles.","container-title":"Ecological Research","DOI":"10.1007/s11284-009-0591-8","ISSN":"0912-3814, 1440-1703","issue":"5","journalAbbreviation":"Ecol Res","language":"en","page":"1125-1135","source":"link.springer.com.ezproxy.library.ubc.ca","title":"Large predators and biogeochemical hotspots: brown bear (Ursus arctos) predation on salmon alters nitrogen cycling in riparian soils","title-short":"Large predators and biogeochemical hotspots","volume":"24","author":[{"family":"Holtgrieve","given":"Gordon W."},{"family":"Schindler","given":"Daniel E."},{"family":"Jewett","given":"Peter K."}],"issued":{"date-parts":[["2009",3,18]]},"citation-key":"holtgrieve_2009"}}],"schema":"https://github.com/citation-style-language/schema/raw/master/csl-citation.json"} </w:instrText>
      </w:r>
      <w:r w:rsidRPr="009867C1">
        <w:fldChar w:fldCharType="separate"/>
      </w:r>
      <w:r w:rsidR="0042141C" w:rsidRPr="009867C1">
        <w:t>(Drake, 2005; Feddern et al., 2019; Holtgrieve et al., 2009)</w:t>
      </w:r>
      <w:r w:rsidRPr="009867C1">
        <w:fldChar w:fldCharType="end"/>
      </w:r>
      <w:r w:rsidRPr="009867C1">
        <w:t xml:space="preserve"> none have directly measured effects on the soil microbiome community. Here </w:t>
      </w:r>
      <w:r w:rsidR="00170047">
        <w:t>I</w:t>
      </w:r>
      <w:r w:rsidRPr="009867C1">
        <w:t xml:space="preserve"> leverage the proliferation of next-generation environmental sequencing to characterize these communities for the first time.</w:t>
      </w:r>
    </w:p>
    <w:p w14:paraId="5566FE3B" w14:textId="6CCD88FA" w:rsidR="00086155" w:rsidRPr="009867C1" w:rsidRDefault="00086155" w:rsidP="00086155">
      <w:pPr>
        <w:ind w:firstLine="720"/>
      </w:pPr>
      <w:r w:rsidRPr="009867C1">
        <w:t>This study examined changes in soil bacterial community abundance, diversity, and composition along salmon spawning streams in Heiltsuk traditional territory on the Central Coast of British Columbia, Canada (</w:t>
      </w:r>
      <w:r w:rsidRPr="000E721D">
        <w:t>Appendix A</w:t>
      </w:r>
      <w:r w:rsidRPr="009867C1">
        <w:t xml:space="preserve">). Two natural gradients of salmon density were used: a regional salmon density gradient along 23 streams varying between 0 and 67 kg of salmon per m of linear reach per year, and above and below salmon-blocking waterfalls at four of these sites. These sites have been previously used for plant </w:t>
      </w:r>
      <w:r w:rsidRPr="009867C1">
        <w:fldChar w:fldCharType="begin"/>
      </w:r>
      <w:r w:rsidR="00AC0205">
        <w:instrText xml:space="preserve"> ADDIN ZOTERO_ITEM CSL_CITATION {"citationID":"KSt2THmX","properties":{"formattedCitation":"(Hocking &amp; Reynolds, 2011; Siemens et al., 2020)","plainCitation":"(Hocking &amp; Reynolds, 2011; Siemens et al., 2020)","noteIndex":0},"citationItems":[{"id":550,"uris":["http://zotero.org/users/2189142/items/JR362H46"],"itemData":{"id":550,"type":"article-journal","abstract":"The study of natural gradients in nutrient subsidies between ecosystems allows for predictions of how changes in one system can affect biodiversity in another. We performed a large-scale empirical test of the role of Pacific salmon (Oncorhynchus spp.) in structuring riparian plant communities. A comparison of 50 watersheds in the remote Great Bear Rainforest of British Columbia’s central coast in Canada shows that salmon influence nutrient loading to plants, shifting plant communities toward nutrient-rich species, which in turn decreases plant diversity. These effects are mediated by interactions between salmon density and the physical characteristics of watersheds. Predicting how salmon affect terrestrial ecosystems is central to conservation plans that aim to better integrate ecosystem values into resource management.","container-title":"Science","DOI":"10.1126/science.1201079","ISSN":"0036-8075, 1095-9203","issue":"6024","journalAbbreviation":"Science","language":"en","note":"PMID: 21442794","page":"1609-1612","source":"www.sciencemag.org.ezproxy.library.ubc.ca","title":"Impacts of Salmon on Riparian Plant Diversity","volume":"331","author":[{"family":"Hocking","given":"Morgan D."},{"family":"Reynolds","given":"John D."}],"issued":{"date-parts":[["2011",3,25]]},"citation-key":"hocking_2011"}},{"id":2359,"uris":["http://zotero.org/users/2189142/items/HE5K9YT7"],"itemData":{"id":2359,"type":"article-journal","container-title":"Ecosphere","issue":"11","note":"publisher: Wiley Online Library","page":"e03282","source":"Google Scholar","title":"Spawning salmon density influences fruit production of salmonberry (&lt;i&gt;Rubus spectabilis&lt;/i&gt;)","volume":"11","author":[{"family":"Siemens","given":"Lisa D."},{"family":"Dennert","given":"Allison M."},{"family":"Obrist","given":"Debora S."},{"family":"Reynolds","given":"John D."}],"issued":{"date-parts":[["2020"]]},"citation-key":"siemens_2020"}}],"schema":"https://github.com/citation-style-language/schema/raw/master/csl-citation.json"} </w:instrText>
      </w:r>
      <w:r w:rsidRPr="009867C1">
        <w:fldChar w:fldCharType="separate"/>
      </w:r>
      <w:r w:rsidR="0042141C" w:rsidRPr="009867C1">
        <w:t>(Hocking &amp; Reynolds, 2011; Siemens et al., 2020)</w:t>
      </w:r>
      <w:r w:rsidRPr="009867C1">
        <w:fldChar w:fldCharType="end"/>
      </w:r>
      <w:r w:rsidRPr="009867C1">
        <w:t xml:space="preserve">, vertebrate </w:t>
      </w:r>
      <w:r w:rsidRPr="009867C1">
        <w:fldChar w:fldCharType="begin"/>
      </w:r>
      <w:r w:rsidR="00AC0205">
        <w:instrText xml:space="preserve"> ADDIN ZOTERO_ITEM CSL_CITATION {"citationID":"rl4MTTEK","properties":{"formattedCitation":"(Wagner &amp; Reynolds, 2019)","plainCitation":"(Wagner &amp; Reynolds, 2019)","noteIndex":0},"citationItems":[{"id":1850,"uris":["http://zotero.org/users/2189142/items/AHUMBHEI"],"itemData":{"id":1850,"type":"article-journal","abstract":"Resource subsidies across ecosystems can have strong and unforeseen ecological impacts. Marine-derived nutrients from Pacific salmon (Onchorhycus spp.) can be transferred to streams and riparian forests through diverse food web pathways, fertilizing forests and increasing invertebrate abundance, which may in turn affect breeding birds. We quantified the influence of salmon on the abundance and composition of songbird communities across a wide range of salmon-spawning biomass on 14 streams along a remote coastal region of British Columbia, Canada. Point-count data spanning two years were combined with salmon biomass and 13 environmental covariates in riparian forests to test for correlates with bird abundance, foraging guilds, individual species, and avian diversity. We show that bird abundance and diversity increase with salmon biomass and that watershed size and forest composition are less important predictors. This work provides new evidence for the importance of salmon to terrestrial ecosystems and information that can inform ecosystem-based management.","container-title":"PLOS ONE","DOI":"10.1371/journal.pone.0210031","ISSN":"1932-6203","issue":"2","journalAbbreviation":"PLOS ONE","language":"en","page":"e0210031","source":"PLoS Journals","title":"Salmon increase forest bird abundance and diversity","volume":"14","author":[{"family":"Wagner","given":"Marlene A."},{"family":"Reynolds","given":"John D."}],"issued":{"date-parts":[["2019",2,6]]},"citation-key":"wagner_2019"}}],"schema":"https://github.com/citation-style-language/schema/raw/master/csl-citation.json"} </w:instrText>
      </w:r>
      <w:r w:rsidRPr="009867C1">
        <w:fldChar w:fldCharType="separate"/>
      </w:r>
      <w:r w:rsidR="0042141C" w:rsidRPr="009867C1">
        <w:t>(Wagner &amp; Reynolds, 2019)</w:t>
      </w:r>
      <w:r w:rsidRPr="009867C1">
        <w:fldChar w:fldCharType="end"/>
      </w:r>
      <w:r w:rsidRPr="009867C1">
        <w:t xml:space="preserve">, and insect </w:t>
      </w:r>
      <w:r w:rsidRPr="009867C1">
        <w:fldChar w:fldCharType="begin"/>
      </w:r>
      <w:r w:rsidR="00AC0205">
        <w:instrText xml:space="preserve"> ADDIN ZOTERO_ITEM CSL_CITATION {"citationID":"tXdfdL5K","properties":{"formattedCitation":"(Hocking et al., 2013)","plainCitation":"(Hocking et al., 2013)","noteIndex":0},"citationItems":[{"id":185,"uris":["http://zotero.org/users/2189142/items/6N2GEE95"],"itemData":{"id":185,"type":"article-journal","abstract":"A general rule in ecology is that the abundance of species or individuals in communities sharing a common energy source decreases with increasing body size. However, external energy inputs in the form of resource subsidies can modify this size spectrum relationship. Here, we provide the first test of how a marine resource subsidy can affect size spectra of terrestrial communities, based on energy derived from Pacific salmon carcasses affecting a forest soil community beside streams in western Canada. Using both species-based and individual approaches, we found size structuring in this forest soil community, and transient community-wide doubling of standing biomass in response to energy pulses from Pacific salmon carcasses. One group of species were clear outliers in the middle of the size spectrum relationship: larval calliphorid and dryomyzid flies, which specialize on salmon carcasses, and which showed a tenfold increase in biomass in their size class when salmon were available. Thus, salmon subsidize their escape from the size spectrum. These results suggest that using a size-based perspective of resource subsidies can provide new insights into the structure and functioning of food webs.","container-title":"Proceedings of the Royal Society of London B: Biological Sciences","DOI":"10.1098/rspb.2012.2433","ISSN":"0962-8452, 1471-2954","issue":"1753","language":"en","note":"A general rule in ecology is that the abundance of species or individuals in communities sharing a common energy source decreases with increasing body size. However, external energy inputs in the form of resource subsidies can modify this size spectrum relationship. Here, we provide the first test of how a marine resource subsidy can affect size spectra of terrestrial communities, based on energy derived from Pacific salmon carcasses affecting a forest soil community beside streams in western Canada. Using both species-based and individual approaches, we found size structuring in this forest soil community, and transient community-wide doubling of standing biomass in response to energy pulses from Pacific salmon carcasses. One group of species were clear outliers in the middle of the size spectrum relationship: larval calliphorid and dryomyzid flies, which specialize on salmon carcasses, and which showed a tenfold increase in biomass in their size class when salmon were available. Thus, salmon subsidize their escape from the size spectrum. These results suggest that using a size-based perspective of resource subsidies can provide new insights into the structure and functioning of food webs.\nPMID: 23282994","page":"20122433","source":"rspb.royalsocietypublishing.org.ezproxy.library.ubc.ca","title":"Salmon subsidize an escape from a size spectrum","volume":"280","author":[{"family":"Hocking","given":"Morgan D."},{"family":"Dulvy","given":"Nicholas K."},{"family":"Reynolds","given":"John D."},{"family":"Ring","given":"Richard A."},{"family":"Reimchen","given":"T.E."}],"issued":{"date-parts":[["2013",2,22]]},"citation-key":"hocking_2013a"}}],"schema":"https://github.com/citation-style-language/schema/raw/master/csl-citation.json"} </w:instrText>
      </w:r>
      <w:r w:rsidRPr="009867C1">
        <w:fldChar w:fldCharType="separate"/>
      </w:r>
      <w:r w:rsidR="0042141C" w:rsidRPr="009867C1">
        <w:t>(Hocking et al., 2013)</w:t>
      </w:r>
      <w:r w:rsidRPr="009867C1">
        <w:fldChar w:fldCharType="end"/>
      </w:r>
      <w:r w:rsidRPr="009867C1">
        <w:t xml:space="preserve"> studies and represent an ongoing effort to characterize terrestrial effects of salmon migration. From each site, we collected soil cores and used Illumina environmental sequencing on amplified 16S sequences to identify bacterial </w:t>
      </w:r>
      <w:r w:rsidR="00346B03">
        <w:t>relative</w:t>
      </w:r>
      <w:r w:rsidRPr="009867C1">
        <w:t xml:space="preserve"> abundance and identity. </w:t>
      </w:r>
      <w:r w:rsidR="00346B03">
        <w:t>My</w:t>
      </w:r>
      <w:r w:rsidRPr="009867C1">
        <w:t xml:space="preserve"> purpose was to i. characterize</w:t>
      </w:r>
      <w:r w:rsidR="00BC1EFC">
        <w:t xml:space="preserve"> </w:t>
      </w:r>
      <w:r w:rsidRPr="009867C1">
        <w:t xml:space="preserve">bacterial soil communities in these soils; </w:t>
      </w:r>
      <w:r w:rsidR="00346B03">
        <w:t>ii</w:t>
      </w:r>
      <w:r w:rsidRPr="009867C1">
        <w:t>. assess effects of salmon density on bacterial species richness, Shannon’s diversity index, and phylogenetic dispersion; i</w:t>
      </w:r>
      <w:r w:rsidR="00346B03">
        <w:t>ii</w:t>
      </w:r>
      <w:r w:rsidRPr="009867C1">
        <w:t xml:space="preserve">. assess effects of salmon density on bacterial community composition; </w:t>
      </w:r>
      <w:r w:rsidR="00346B03">
        <w:t>i</w:t>
      </w:r>
      <w:r w:rsidRPr="009867C1">
        <w:t xml:space="preserve">v. </w:t>
      </w:r>
      <w:r w:rsidR="00BC1EFC">
        <w:t>d</w:t>
      </w:r>
      <w:r w:rsidRPr="009867C1">
        <w:t xml:space="preserve">etermine chemical and environmental correlates for these responses. </w:t>
      </w:r>
      <w:r w:rsidR="00BC1EFC">
        <w:t>I</w:t>
      </w:r>
      <w:r w:rsidRPr="009867C1">
        <w:t xml:space="preserve"> predicted that i. bacterial communities would be similar to other temperate rainforest sites dominated by acidic soils; ii. </w:t>
      </w:r>
      <w:r w:rsidR="00BC1EFC">
        <w:t>s</w:t>
      </w:r>
      <w:r w:rsidRPr="009867C1">
        <w:t>pecies richness and Shannon’s diversity index would decrease, and phylogenetic dispersion increase with increasing salmon density; i</w:t>
      </w:r>
      <w:r w:rsidR="00346B03">
        <w:t>ii</w:t>
      </w:r>
      <w:r w:rsidRPr="009867C1">
        <w:t xml:space="preserve">. </w:t>
      </w:r>
      <w:r w:rsidR="00BC1EFC">
        <w:t>b</w:t>
      </w:r>
      <w:r w:rsidRPr="009867C1">
        <w:t xml:space="preserve">acterial phyla would be differentially affected by salmon deposition, with positive responses in copiotrophic taxa and negative responses in oligotrophic taxa; and </w:t>
      </w:r>
      <w:r w:rsidR="00346B03">
        <w:t>i</w:t>
      </w:r>
      <w:r w:rsidRPr="009867C1">
        <w:t xml:space="preserve">v. environmental and chemical factors would be reflected in changes in bacterial sequence abundance.  </w:t>
      </w:r>
    </w:p>
    <w:p w14:paraId="6B33FD31" w14:textId="77777777" w:rsidR="00086155" w:rsidRPr="009867C1" w:rsidRDefault="00086155" w:rsidP="00086155"/>
    <w:p w14:paraId="44851FE3" w14:textId="77777777" w:rsidR="00086155" w:rsidRPr="009867C1" w:rsidRDefault="00086155" w:rsidP="00086155">
      <w:pPr>
        <w:pStyle w:val="Heading3"/>
        <w:rPr>
          <w:lang w:val="en-CA"/>
        </w:rPr>
      </w:pPr>
      <w:bookmarkStart w:id="212" w:name="_Toc99385473"/>
      <w:r w:rsidRPr="009867C1">
        <w:rPr>
          <w:lang w:val="en-CA"/>
        </w:rPr>
        <w:t>Materials and Methods</w:t>
      </w:r>
      <w:bookmarkEnd w:id="212"/>
    </w:p>
    <w:p w14:paraId="42250E46" w14:textId="77777777" w:rsidR="00086155" w:rsidRPr="009867C1" w:rsidRDefault="00086155" w:rsidP="00086155">
      <w:pPr>
        <w:pStyle w:val="Heading4"/>
      </w:pPr>
      <w:bookmarkStart w:id="213" w:name="_Toc99385474"/>
      <w:r w:rsidRPr="009867C1">
        <w:t>Study sites</w:t>
      </w:r>
      <w:bookmarkEnd w:id="213"/>
    </w:p>
    <w:p w14:paraId="22A15FDC" w14:textId="7C4D0225" w:rsidR="00086155" w:rsidRPr="009867C1" w:rsidRDefault="00086155" w:rsidP="00086155">
      <w:pPr>
        <w:ind w:firstLine="720"/>
      </w:pPr>
      <w:r w:rsidRPr="009867C1">
        <w:t>This study was conducted in Heiltsuk Nation traditional territory in the Central Coast Regional District of British Columbia, Canada, near the town of Bella Bella (</w:t>
      </w:r>
      <w:r w:rsidRPr="000E721D">
        <w:t>Appendix A</w:t>
      </w:r>
      <w:r w:rsidRPr="009867C1">
        <w:t xml:space="preserve">). The study sites are in the Central variant of the Very Wet Hypermaritime subzone of the Coastal Western Hemlock biogeoclimatic zone (CWHvh2) </w:t>
      </w:r>
      <w:r w:rsidRPr="009867C1">
        <w:fldChar w:fldCharType="begin"/>
      </w:r>
      <w:r w:rsidR="00AC0205">
        <w:instrText xml:space="preserve"> ADDIN ZOTERO_ITEM CSL_CITATION {"citationID":"qZt6vOfg","properties":{"formattedCitation":"(MFLNRORD, 2018)","plainCitation":"(MFLNRORD, 2018)","noteIndex":0},"citationItems":[{"id":163,"uris":["http://zotero.org/users/2189142/items/YZ875M43"],"itemData":{"id":163,"type":"map","title":"Biogeoclimatic Ecosystem Classification Subzone/Variant Map for the Mid-Coast Subunit","author":[{"family":"MFLNRORD","given":""}],"issued":{"date-parts":[["2018"]]},"citation-key":"mflnrord_2018"}}],"schema":"https://github.com/citation-style-language/schema/raw/master/csl-citation.json"} </w:instrText>
      </w:r>
      <w:r w:rsidRPr="009867C1">
        <w:fldChar w:fldCharType="separate"/>
      </w:r>
      <w:r w:rsidR="0042141C" w:rsidRPr="009867C1">
        <w:t>(MFLNRORD, 2018)</w:t>
      </w:r>
      <w:r w:rsidRPr="009867C1">
        <w:fldChar w:fldCharType="end"/>
      </w:r>
      <w:r w:rsidRPr="009867C1">
        <w:t xml:space="preserve">. Dominated by a cool maritime climate with high rainfall, the landscape is a mosaic of highland bogs where water is stagnant, and forested slopes where water sheds </w:t>
      </w:r>
      <w:r w:rsidRPr="009867C1">
        <w:fldChar w:fldCharType="begin"/>
      </w:r>
      <w:r w:rsidR="00AC0205">
        <w:instrText xml:space="preserve"> ADDIN ZOTERO_ITEM CSL_CITATION {"citationID":"8peOlTn9","properties":{"formattedCitation":"(Lamb &amp; Megill, 2003)","plainCitation":"(Lamb &amp; Megill, 2003)","noteIndex":0},"citationItems":[{"id":162,"uris":["http://zotero.org/users/2189142/items/55WKVB49"],"itemData":{"id":162,"type":"article-journal","abstract":"Four distinct vegetation types are found in close proximity along an exposed section of the southern central coast of British Columbia. A coastal fringe of coniferous forest a few hundred metres wide is separated by a steep ecotone from an inland peatland-forest complex. The objectives of this study were (1) to describe the plant communities along the transition from forest to peatland, and (2) to identify some of the major environmental factors associated with those communities using indicator plant analysis. The coastal forest is dominated by Thuja plicata, Tsuga heterophylla, Picea sitchensis, and Chamaecyparis nootkatensis. Characteristic understory species include Gaultheria shallon and Blechnum spicant. Inland from the coastal forest are transitional forest stands with a species-rich understory including Cornus canadensis, Hylocomium splendens, and Vaccinium parvifolium. The peatlands are poor fens characterized by thickets of Pinus contorta and Chamaecyparis nootkatensis among open areas dominated by species such as Sphagnum sp., Empetrum nigrum, Juniperus communis, and bogs characterized by Myrica gale, Eriophorum angustifolium, and Sanguisorba officinalis. Indicator plant analysis identified differences in the ground surface materials, soil moisture and nutrient regime between the vegetation types. The general trend is for an increase in soil moisture from the forest vegetation to the peatlands and a concurrent change from the Mor humus forms that dominate the coastal forest floor to the surface groundwater table of the peatlands. These environmental differences between forest and peatland are likely related to the steeper slopes typically found in the fringe forest vegetation.","container-title":"The Canadian Field-Naturalist","DOI":"10.22621/cfn.v117i2.684","ISSN":"0008-3550","issue":"2","language":"en","page":"209-217","source":"www-canadianfieldnaturalist-ca.ezproxy.library.ubc.ca","title":"The Shoreline Fringe Forest and Adjacent Peatlands of the Southern Central British Columbia Coast","volume":"117","author":[{"family":"Lamb","given":"Eric G."},{"family":"Megill","given":"William"}],"issued":{"date-parts":[["2003"]]},"citation-key":"lamb_2003"}}],"schema":"https://github.com/citation-style-language/schema/raw/master/csl-citation.json"} </w:instrText>
      </w:r>
      <w:r w:rsidRPr="009867C1">
        <w:fldChar w:fldCharType="separate"/>
      </w:r>
      <w:r w:rsidR="0042141C" w:rsidRPr="009867C1">
        <w:t>(Lamb &amp; Megill, 2003)</w:t>
      </w:r>
      <w:r w:rsidRPr="009867C1">
        <w:fldChar w:fldCharType="end"/>
      </w:r>
      <w:r w:rsidRPr="009867C1">
        <w:t>. The forested riparian zones are a mix of western hemlock (</w:t>
      </w:r>
      <w:r w:rsidRPr="009867C1">
        <w:rPr>
          <w:i/>
        </w:rPr>
        <w:t>Tsuga heterophylla</w:t>
      </w:r>
      <w:r w:rsidRPr="009867C1">
        <w:t>), western red cedar (</w:t>
      </w:r>
      <w:r w:rsidRPr="009867C1">
        <w:rPr>
          <w:i/>
        </w:rPr>
        <w:t>Thuja plicata</w:t>
      </w:r>
      <w:r w:rsidRPr="009867C1">
        <w:t>), Amabilis fir (</w:t>
      </w:r>
      <w:r w:rsidRPr="009867C1">
        <w:rPr>
          <w:i/>
        </w:rPr>
        <w:t>Abies amabilis</w:t>
      </w:r>
      <w:r w:rsidRPr="009867C1">
        <w:t>), and Sitka spruce (</w:t>
      </w:r>
      <w:r w:rsidRPr="009867C1">
        <w:rPr>
          <w:i/>
        </w:rPr>
        <w:t>Picea sitchensis</w:t>
      </w:r>
      <w:r w:rsidRPr="009867C1">
        <w:t>), with red alder (</w:t>
      </w:r>
      <w:r w:rsidRPr="009867C1">
        <w:rPr>
          <w:i/>
        </w:rPr>
        <w:t>Alnus rubra</w:t>
      </w:r>
      <w:r w:rsidRPr="009867C1">
        <w:t>) on disturbed sites. The understory includes huckleberry and blueberry species (</w:t>
      </w:r>
      <w:r w:rsidRPr="009867C1">
        <w:rPr>
          <w:i/>
        </w:rPr>
        <w:t>Vaccinium parvifolium</w:t>
      </w:r>
      <w:r w:rsidRPr="00BC1EFC">
        <w:rPr>
          <w:iCs/>
        </w:rPr>
        <w:t>,</w:t>
      </w:r>
      <w:r w:rsidRPr="009867C1">
        <w:rPr>
          <w:i/>
        </w:rPr>
        <w:t xml:space="preserve"> V. alaskensae</w:t>
      </w:r>
      <w:r w:rsidRPr="00BC1EFC">
        <w:rPr>
          <w:iCs/>
        </w:rPr>
        <w:t>,</w:t>
      </w:r>
      <w:r w:rsidRPr="009867C1">
        <w:rPr>
          <w:i/>
        </w:rPr>
        <w:t xml:space="preserve"> and V. ovalifolium</w:t>
      </w:r>
      <w:r w:rsidRPr="009867C1">
        <w:t>), false azalea (</w:t>
      </w:r>
      <w:r w:rsidRPr="009867C1">
        <w:rPr>
          <w:i/>
        </w:rPr>
        <w:t>Menziesia furruginea</w:t>
      </w:r>
      <w:r w:rsidRPr="009867C1">
        <w:t>), salal (</w:t>
      </w:r>
      <w:r w:rsidRPr="009867C1">
        <w:rPr>
          <w:i/>
        </w:rPr>
        <w:t>Gaultheria shallon</w:t>
      </w:r>
      <w:r w:rsidRPr="009867C1">
        <w:t>), salmonberry (</w:t>
      </w:r>
      <w:r w:rsidRPr="009867C1">
        <w:rPr>
          <w:i/>
        </w:rPr>
        <w:t>Rubus spectabilis</w:t>
      </w:r>
      <w:r w:rsidRPr="009867C1">
        <w:t>), and devil’s club (</w:t>
      </w:r>
      <w:r w:rsidRPr="009867C1">
        <w:rPr>
          <w:i/>
        </w:rPr>
        <w:t>Oploplanax horridus</w:t>
      </w:r>
      <w:r w:rsidRPr="009867C1">
        <w:t xml:space="preserve">).  </w:t>
      </w:r>
    </w:p>
    <w:p w14:paraId="23E738E4" w14:textId="177C6698" w:rsidR="00086155" w:rsidRPr="009867C1" w:rsidRDefault="00086155" w:rsidP="00086155">
      <w:pPr>
        <w:ind w:firstLine="720"/>
      </w:pPr>
      <w:r w:rsidRPr="009867C1">
        <w:t xml:space="preserve">Regional soils are dominated by prevalently alkaline and peralkaline geochemistry </w:t>
      </w:r>
      <w:r w:rsidRPr="009867C1">
        <w:fldChar w:fldCharType="begin"/>
      </w:r>
      <w:r w:rsidR="00AC0205">
        <w:instrText xml:space="preserve"> ADDIN ZOTERO_ITEM CSL_CITATION {"citationID":"ESVUMqzn","properties":{"formattedCitation":"(Souther, 1986)","plainCitation":"(Souther, 1986)","noteIndex":0},"citationItems":[{"id":1312,"uris":["http://zotero.org/users/2189142/items/UVSFPGVJ"],"itemData":{"id":1312,"type":"article-journal","abstract":"The Anahim Volcanic Belt extends easterly across central British Columbia, where it includes three large shield volcanoes and numerous small monogenetic cones and lava flows. Potassium–argon dates on the lavas suggest that the onset of volcanic activity progressed from approximately 8 Ma in the west to less than 1 Ma in the east. A western extension of the belt into the strongly uplifted and deeply dissected Coast Mountains is defined by an east-trending zone of chemically distinctive, high-level plutons, dyke swarms, and remnants of eruptive breccia that yield K–Ar dates of 10–14 Ma. The lavas and dykes include both basic (alkali basalt and hawaiite) and salic (trachyte and sodic rhyolite) suites, which have remarkably similar major-element abundances. In addition, moderately to strongly peralkaline rocks (comendite and pantellerite) constitute a major part of the volcanic piles and a lesser proportion of the dykes. Epizonal plutons show an upward zonation from hypersolvus syenite to miarolitic, alkaline..., La ceinture volcanique d'Anahim est déployée vers l'est et traverse le centre de la Colombie-Britannique, où elle englobe trois volcans-boucliers et de nombreux petits cônes monogéniques et ainsi que des coulées de lave. Les datations des laves par potassium–argon révèlent que les épisodes d'activité volcanique sont progressivement plus jeunes d'ouest en est, soit approximativement de 8 Ma à 1 Ma. Un prolongement occidental de la ceinture dans la chaîne Côtière, largement soulevée et intensément disséquée, est défini par une zone chimiquement différente, de direction orientale, formée de plutons épizonaux, de cortèges filoniens et de résidus de brèche éruptive qui fournissent des âges K–Ar de 10–14 Ma. Les laves et les dykes incluent des séquences basiques (basalte alcalin et hawaiite) et saliques (trachyte et rhyolite sodique) qui ont des teneurs en éléments majeurs notamment semblables. En plus, les roches, modérément à fortement peralcalines (comendite et pantellérite), correspondent en majeure partie ...","container-title":"Canadian Journal of Earth Sciences","DOI":"10.1139/e86-091","ISSN":"0008-4077","issue":"6","journalAbbreviation":"Can. J. Earth Sci.","page":"895-908","source":"NRC Research Press","title":"The western Anahim Belt: root zone of a peralkaline magma system","title-short":"The western Anahim Belt","volume":"23","author":[{"family":"Souther","given":"J. G."}],"issued":{"date-parts":[["1986",6,1]]},"citation-key":"souther_1986"}}],"schema":"https://github.com/citation-style-language/schema/raw/master/csl-citation.json"} </w:instrText>
      </w:r>
      <w:r w:rsidRPr="009867C1">
        <w:fldChar w:fldCharType="separate"/>
      </w:r>
      <w:r w:rsidR="0042141C" w:rsidRPr="009867C1">
        <w:t>(Souther, 1986)</w:t>
      </w:r>
      <w:r w:rsidRPr="009867C1">
        <w:fldChar w:fldCharType="end"/>
      </w:r>
      <w:r w:rsidRPr="009867C1">
        <w:t xml:space="preserve">, and recent glacial dynamics imply that soil formation has occurred only in the last ~14,000 years </w:t>
      </w:r>
      <w:r w:rsidRPr="009867C1">
        <w:fldChar w:fldCharType="begin"/>
      </w:r>
      <w:r w:rsidR="00AC0205">
        <w:instrText xml:space="preserve"> ADDIN ZOTERO_ITEM CSL_CITATION {"citationID":"8xZOLA8v","properties":{"formattedCitation":"(Eamer et al., 2017)","plainCitation":"(Eamer et al., 2017)","noteIndex":0},"citationItems":[{"id":1700,"uris":["http://zotero.org/users/2189142/items/DR2ZSDQ2"],"itemData":{"id":1700,"type":"article-journal","container-title":"Quaternary Research","issue":"3","page":"468–481","source":"Google Scholar","title":"A glacial readvance during retreat of the Cordilleran Ice Sheet, British Columbia central coast","volume":"87","author":[{"family":"Eamer","given":"Jordan BR"},{"family":"Shugar","given":"Dan H."},{"family":"Walker","given":"Ian J."},{"family":"Lian","given":"Olav B."},{"family":"Neudorf","given":"Christina M."},{"family":"Telka","given":"Alice M."}],"issued":{"date-parts":[["2017"]]},"citation-key":"eamer_2017a"}}],"schema":"https://github.com/citation-style-language/schema/raw/master/csl-citation.json"} </w:instrText>
      </w:r>
      <w:r w:rsidRPr="009867C1">
        <w:fldChar w:fldCharType="separate"/>
      </w:r>
      <w:r w:rsidR="0042141C" w:rsidRPr="009867C1">
        <w:t>(Eamer et al., 2017)</w:t>
      </w:r>
      <w:r w:rsidRPr="009867C1">
        <w:fldChar w:fldCharType="end"/>
      </w:r>
      <w:r w:rsidRPr="009867C1">
        <w:t xml:space="preserve">. Ferro-Humic Podzols dominate the region, extending from northern Vancouver Island to Prince Rupert. The Central Coast is characterized by a narrow coastal band of Folisols that encompass the study sites </w:t>
      </w:r>
      <w:r w:rsidRPr="009867C1">
        <w:fldChar w:fldCharType="begin"/>
      </w:r>
      <w:r w:rsidR="00AC0205">
        <w:instrText xml:space="preserve"> ADDIN ZOTERO_ITEM CSL_CITATION {"citationID":"HBCR0adx","properties":{"formattedCitation":"(Carpenter et al., 2014)","plainCitation":"(Carpenter et al., 2014)","noteIndex":0},"citationItems":[{"id":904,"uris":["http://zotero.org/users/2189142/items/AWEPCWBQ"],"itemData":{"id":904,"type":"article-journal","abstract":"Temperate rainforests have high conservation and natural resource value, but the soils of this bioregion have not previously been studied as a unit. Here we examine the soils of North America's Pacific coastal temperate rainforests, utilizing databases from the United States Natural Resources Conservation Service and the Canadian Centre for Land and Biological Resources Research to (i) identify the soil taxa, (ii) evaluate the soil properties, and (iii) compare soils in temperate and tropical rainforests. There are strong climate gradients within these temperate rainforests, with the mean temperature declining from 11.7 °C to 6.1 °C and the mean annual precipitation increasing from 1500 mm to around 3000 mm from northern California (CA) to northwestern British Columbia (BC) and southeastern Alaska (AK). There is also high pedodiversity in this region, with soils representing 8 orders and 31 suborders, and, in the US portion, 65 great-groups, 142 subgroups, and 482 soil series. Twenty-six percent of described soil series are endemic to temperate rainforests in the US portion of the region, with the proportion declining with latitude. Dominant soil suborders vary along the latitudinal gradient from Humults–Udalfs/Ustalfs–Udepts–Udults in CA, to Udands–Udepts–Udands Humults in western Oregon (OR) and Washington (WA), to Orthods–Folists in BC and Cryods–Saprists in AK. The dominant diagnostic horizons are ochric/argillic (CA), umbric/cambic (OR, WA), and albic–histic/spodic (BC, AK). Whereas soils in CA, BC, and AK tend to have a mixed mineralogy, those in northern OR and WA commonly are derived from volcaniclastic materials and have a ferrihydritic or isotic mineralogy. Soils in this region are generally deep, hold abundant moisture, are not subject to deep-freezing, and are enriched in extractable Fe and Al. Organic C and total N contents are high overall, but also variable, with right-skewed distributions. Compared to tropical rainforest soils in the Pacific Basin, Pacific temperate rainforest have greater weatherable minerals, cation-exchange capacities, soil organic C, and total exchangeable base cations. However, soils of both bioregions tend to be deep, acidic Al-saturated, and can have large N reservoirs. This investigation provides a foundation for a more unified understanding of the soils of a globally significant bioregion.","container-title":"Geoderma","DOI":"10.1016/j.geoderma.2014.04.023","ISSN":"0016-7061","journalAbbreviation":"Geoderma","page":"250-264","source":"ScienceDirect","title":"Soils of temperate rainforests of the North American Pacific Coast","volume":"230–231","author":[{"family":"Carpenter","given":"Dunbar N."},{"family":"Bockheim","given":"James G."},{"family":"Reich","given":"Paul F."}],"issued":{"date-parts":[["2014",10]]},"citation-key":"carpenter_2014"}}],"schema":"https://github.com/citation-style-language/schema/raw/master/csl-citation.json"} </w:instrText>
      </w:r>
      <w:r w:rsidRPr="009867C1">
        <w:fldChar w:fldCharType="separate"/>
      </w:r>
      <w:r w:rsidR="0042141C" w:rsidRPr="009867C1">
        <w:t>(Carpenter et al., 2014)</w:t>
      </w:r>
      <w:r w:rsidRPr="009867C1">
        <w:fldChar w:fldCharType="end"/>
      </w:r>
      <w:r w:rsidRPr="009867C1">
        <w:t xml:space="preserve">. The soils found at the study sites were primarily Humic and Lignic Folisols (Organic order, Folisol great group), with the occasional Ferro-Humic Podzols (Podzolic order, Ferro-Humic great group) (n=4).  See </w:t>
      </w:r>
      <w:r w:rsidRPr="000E721D">
        <w:t xml:space="preserve">Appendix </w:t>
      </w:r>
      <w:r w:rsidRPr="009867C1">
        <w:t>A for further soil descriptions.</w:t>
      </w:r>
    </w:p>
    <w:p w14:paraId="787E3E9E" w14:textId="4969BD1C" w:rsidR="00086155" w:rsidRPr="009867C1" w:rsidRDefault="00086155" w:rsidP="00086155">
      <w:pPr>
        <w:ind w:firstLine="720"/>
      </w:pPr>
      <w:r w:rsidRPr="009867C1">
        <w:t xml:space="preserve">A total of 23 streams were included in the study, representing a gradient of salmon density (0 – 67 kg salmon per meter of stream reach per year). These streams have been well studied previously </w:t>
      </w:r>
      <w:r w:rsidRPr="009867C1">
        <w:fldChar w:fldCharType="begin"/>
      </w:r>
      <w:r w:rsidR="00AC0205">
        <w:instrText xml:space="preserve"> ADDIN ZOTERO_ITEM CSL_CITATION {"citationID":"zknEEWgk","properties":{"formattedCitation":"(Hocking &amp; Reynolds, 2011)","plainCitation":"(Hocking &amp; Reynolds, 2011)","noteIndex":0},"citationItems":[{"id":550,"uris":["http://zotero.org/users/2189142/items/JR362H46"],"itemData":{"id":550,"type":"article-journal","abstract":"The study of natural gradients in nutrient subsidies between ecosystems allows for predictions of how changes in one system can affect biodiversity in another. We performed a large-scale empirical test of the role of Pacific salmon (Oncorhynchus spp.) in structuring riparian plant communities. A comparison of 50 watersheds in the remote Great Bear Rainforest of British Columbia’s central coast in Canada shows that salmon influence nutrient loading to plants, shifting plant communities toward nutrient-rich species, which in turn decreases plant diversity. These effects are mediated by interactions between salmon density and the physical characteristics of watersheds. Predicting how salmon affect terrestrial ecosystems is central to conservation plans that aim to better integrate ecosystem values into resource management.","container-title":"Science","DOI":"10.1126/science.1201079","ISSN":"0036-8075, 1095-9203","issue":"6024","journalAbbreviation":"Science","language":"en","note":"PMID: 21442794","page":"1609-1612","source":"www.sciencemag.org.ezproxy.library.ubc.ca","title":"Impacts of Salmon on Riparian Plant Diversity","volume":"331","author":[{"family":"Hocking","given":"Morgan D."},{"family":"Reynolds","given":"John D."}],"issued":{"date-parts":[["2011",3,25]]},"citation-key":"hocking_2011"}}],"schema":"https://github.com/citation-style-language/schema/raw/master/csl-citation.json"} </w:instrText>
      </w:r>
      <w:r w:rsidRPr="009867C1">
        <w:fldChar w:fldCharType="separate"/>
      </w:r>
      <w:r w:rsidR="0042141C" w:rsidRPr="009867C1">
        <w:t>(Hocking &amp; Reynolds, 2011)</w:t>
      </w:r>
      <w:r w:rsidRPr="009867C1">
        <w:fldChar w:fldCharType="end"/>
      </w:r>
      <w:r w:rsidRPr="009867C1">
        <w:t xml:space="preserve"> and have ongoing long term (12+ years) salmon density measurements. Four of the 23 streams had waterfalls which were included as above/below comparisons. This study was intentionally conducted in July and August to be as distant annually from the salmon run as possible, and in order to emphasize long-term and legacy effects of salmon deposition. See </w:t>
      </w:r>
      <w:r w:rsidRPr="000E721D">
        <w:t xml:space="preserve">Appendix </w:t>
      </w:r>
      <w:r w:rsidRPr="009867C1">
        <w:t>A for further site descriptions.</w:t>
      </w:r>
    </w:p>
    <w:p w14:paraId="1E3531A8" w14:textId="77777777" w:rsidR="00086155" w:rsidRPr="009867C1" w:rsidRDefault="00086155" w:rsidP="00086155">
      <w:pPr>
        <w:pStyle w:val="Heading4"/>
      </w:pPr>
      <w:bookmarkStart w:id="214" w:name="_Toc99385475"/>
      <w:r w:rsidRPr="009867C1">
        <w:t>Soil sampling</w:t>
      </w:r>
      <w:bookmarkEnd w:id="214"/>
    </w:p>
    <w:p w14:paraId="2374E181" w14:textId="7D7B5002" w:rsidR="00086155" w:rsidRPr="009867C1" w:rsidRDefault="00086155" w:rsidP="00BC1EFC">
      <w:pPr>
        <w:ind w:firstLine="720"/>
      </w:pPr>
      <w:r w:rsidRPr="009867C1">
        <w:t xml:space="preserve">Two soil cores were collected from each stream, with an additional two cores above waterfalls in the five watersheds where they occurred. Samples were taken from microsites of flat, deep soil (&gt;50 cm), within 100 m of the stream mouth, and within 60 m perpendicular to the stream. At each microsite, a small soil pit was dug to 50 cm depth and the distance from the stream mouth and to the closest bank recorded. The litter layer was removed and the top 5 cm of the F and H layers were collected as a single sample (“forest floor”). The underlying 10-15 cm of organic soil was collected as a second sample (“organic”). Forest floors were generally dominated by decomposing moss and conifer needles. Deeper soils were found to match soil maps and were almost exclusively Lignic and Humic Folisols (Drw) </w:t>
      </w:r>
      <w:r w:rsidRPr="009867C1">
        <w:fldChar w:fldCharType="begin"/>
      </w:r>
      <w:r w:rsidR="00AC0205">
        <w:instrText xml:space="preserve"> ADDIN ZOTERO_ITEM CSL_CITATION {"citationID":"OK5HbqNA","properties":{"formattedCitation":"(C. A. Fox &amp; Tarnocai, 2011)","plainCitation":"(C. A. Fox &amp; Tarnocai, 2011)","noteIndex":0},"citationItems":[{"id":1292,"uris":["http://zotero.org/users/2189142/items/6SX9T85W"],"itemData":{"id":1292,"type":"article-journal","abstract":"Fox, C. A. and Tarnocai, C. 2011. Organic soils of Canada: Part 2. Upland Organic soils. Can. J. Soil Sci. 91: 823–842. Soils from upland moderately well-drained environments with thick accumulations (&gt;10 cm over lithic contact; &gt;40 cm over mineral soil) of folic materials (forest materials, branches, roots, and other non-wetland materials) are classified within the Folisol great group in the Organic Order since the 1987 revision of the Canadian System of Soil Classification. The Folisol great group correlates to Folist in Keys to Soil Taxonomy and Folic Histosol in World Reference Base for Soil Resources (FAO). Two subgroups – Hemic and Humic Folisol – account for most Folisols addressing the state of decomposition of folic materials. The Lignic and Histic Folisol subgroups identify specific kinds of folic accumulations. Folisolic soils can occur throughout Canada, in forest, heath, and alpine ecosytems with cool, moist, humid environments, but are most prominent within the Pacific Maritime Ecozone; area..., Fox, C. A. et Tarnocai, C. 2011. Sols organique au canada: Partie 2. Sols organiques des hautes terres. Can. J. Soil Sci. 91: 823–842. Depuis la révision, en 1987, du Système canadien de classification des sols, les sols des hautes terres modérément bien drainés qui se caractérisent par l'accumulation d'une couche épaisse (&gt; 10 cm sur l'assise rocheuse; &gt; 40 cm sur le sol minéral) de matériaux foliques (matériaux d'origine forestière, branches, racines et autres matériaux ne venant pas des terres humides) sont classés dans le grand groupe des folisols, de l'ordre des sols organiques. Ce groupe correspond à la catégorie « Folist » dans keys to Soil Taxonomy et à celle des Histosols Foliques dans la Base de référence mondiale pour les ressources en sols de la FAO. La plupart des Folisols se retrouvent dans deux sous-groupes (Folisols hémiques et humiques), selon le degré de décomposition des matériaux foliques. Les sous-groupes des Folisols ligniques et histiques identifient une accumulation particulière de...","container-title":"Canadian Journal of Soil Science","DOI":"10.4141/cjss10032","ISSN":"0008-4271","issue":"5","journalAbbreviation":"Can. J. Soil. Sci.","page":"823-842","source":"NRC Research Press","title":"Organic soils of Canada: Part 2. Upland Organic soils","title-short":"Organic soils of Canada","volume":"91","author":[{"family":"Fox","given":"C.A."},{"family":"Tarnocai","given":"Charles"}],"issued":{"date-parts":[["2011",1,1]]},"citation-key":"fox_2011"}}],"schema":"https://github.com/citation-style-language/schema/raw/master/csl-citation.json"} </w:instrText>
      </w:r>
      <w:r w:rsidRPr="009867C1">
        <w:fldChar w:fldCharType="separate"/>
      </w:r>
      <w:r w:rsidR="0042141C" w:rsidRPr="009867C1">
        <w:t>(C. A. Fox &amp; Tarnocai, 2011)</w:t>
      </w:r>
      <w:r w:rsidRPr="009867C1">
        <w:fldChar w:fldCharType="end"/>
      </w:r>
      <w:r w:rsidRPr="009867C1">
        <w:t xml:space="preserve">, with homogenous organic composition of down to gravel or bedrock. </w:t>
      </w:r>
    </w:p>
    <w:p w14:paraId="55FBD23A" w14:textId="77777777" w:rsidR="00086155" w:rsidRPr="009867C1" w:rsidRDefault="00086155" w:rsidP="00086155">
      <w:pPr>
        <w:pStyle w:val="Heading4"/>
      </w:pPr>
      <w:bookmarkStart w:id="215" w:name="_Toc99385476"/>
      <w:r w:rsidRPr="009867C1">
        <w:t>Plant Community and Watershed Size</w:t>
      </w:r>
      <w:bookmarkEnd w:id="215"/>
    </w:p>
    <w:p w14:paraId="38BCD609" w14:textId="77777777" w:rsidR="00086155" w:rsidRPr="009867C1" w:rsidRDefault="00086155" w:rsidP="00086155">
      <w:pPr>
        <w:ind w:firstLine="720"/>
      </w:pPr>
      <w:r w:rsidRPr="009867C1">
        <w:t xml:space="preserve">At each core, the largest tree (the “dominant tree”) was identified to species and its size and proximity to the core estimated. Trees and shrubs, and herbs and mosses, were recorded with a two-tiered nested approach. </w:t>
      </w:r>
    </w:p>
    <w:p w14:paraId="3F6BDE60" w14:textId="77777777" w:rsidR="00086155" w:rsidRPr="009867C1" w:rsidRDefault="00086155" w:rsidP="00086155">
      <w:pPr>
        <w:ind w:firstLine="720"/>
      </w:pPr>
      <w:r w:rsidRPr="009867C1">
        <w:t xml:space="preserve">First, a 5 m radius circular plot was centered on the soil core and every tree with dbh &gt; 1 cm recorded. Tree species identity, circumference, distance and relative bearing from the core were measured. To estimate the effect of each tree on the soil core, a “tree influence index” was calculated as: </w:t>
      </w:r>
    </w:p>
    <w:p w14:paraId="283EF12D" w14:textId="77777777" w:rsidR="00086155" w:rsidRPr="009867C1" w:rsidRDefault="00557CA9" w:rsidP="00086155">
      <w:pPr>
        <w:ind w:firstLine="720"/>
        <w:jc w:val="center"/>
      </w:pPr>
      <m:oMath>
        <m:sSub>
          <m:sSubPr>
            <m:ctrlPr>
              <w:rPr>
                <w:rFonts w:ascii="Cambria Math" w:hAnsi="Cambria Math"/>
                <w:i/>
              </w:rPr>
            </m:ctrlPr>
          </m:sSubPr>
          <m:e>
            <m:r>
              <w:rPr>
                <w:rFonts w:ascii="Cambria Math" w:hAnsi="Cambria Math"/>
              </w:rPr>
              <m:t>i</m:t>
            </m:r>
          </m:e>
          <m:sub>
            <m:r>
              <w:rPr>
                <w:rFonts w:ascii="Cambria Math" w:hAnsi="Cambria Math"/>
              </w:rPr>
              <m:t>tree</m:t>
            </m:r>
          </m:sub>
        </m:sSub>
        <m:r>
          <w:rPr>
            <w:rFonts w:ascii="Cambria Math" w:hAnsi="Cambria Math"/>
          </w:rPr>
          <m:t>=</m:t>
        </m:r>
        <m:f>
          <m:fPr>
            <m:ctrlPr>
              <w:rPr>
                <w:rFonts w:ascii="Cambria Math" w:hAnsi="Cambria Math"/>
                <w:i/>
              </w:rPr>
            </m:ctrlPr>
          </m:fPr>
          <m:num>
            <m:r>
              <w:rPr>
                <w:rFonts w:ascii="Cambria Math" w:hAnsi="Cambria Math"/>
              </w:rPr>
              <m:t>circumference</m:t>
            </m:r>
          </m:num>
          <m:den>
            <m:r>
              <w:rPr>
                <w:rFonts w:ascii="Cambria Math" w:hAnsi="Cambria Math"/>
              </w:rPr>
              <m:t>distance to soil core</m:t>
            </m:r>
          </m:den>
        </m:f>
        <m:r>
          <w:rPr>
            <w:rFonts w:ascii="Cambria Math" w:hAnsi="Cambria Math"/>
          </w:rPr>
          <m:t xml:space="preserve"> </m:t>
        </m:r>
      </m:oMath>
      <w:r w:rsidR="00086155" w:rsidRPr="009867C1">
        <w:t>.</w:t>
      </w:r>
    </w:p>
    <w:p w14:paraId="11B71F32" w14:textId="77777777" w:rsidR="00086155" w:rsidRPr="009867C1" w:rsidRDefault="00086155" w:rsidP="00086155">
      <w:r w:rsidRPr="009867C1">
        <w:t>Similarly, shrubs with height &gt;1 m were identified to species and their aboveground size estimated by measuring their cubic volume (</w:t>
      </w:r>
      <m:oMath>
        <m:r>
          <w:rPr>
            <w:rFonts w:ascii="Cambria Math" w:hAnsi="Cambria Math"/>
          </w:rPr>
          <m:t>h x l x w</m:t>
        </m:r>
      </m:oMath>
      <w:r w:rsidRPr="009867C1">
        <w:t>). Their distance and bearing to the core was measured, and these figures combined to estimate the effect of each shrub on the soil core as a “shrub influence index”, calculated as:</w:t>
      </w:r>
    </w:p>
    <w:p w14:paraId="39347E75" w14:textId="77777777" w:rsidR="00086155" w:rsidRPr="009867C1" w:rsidRDefault="00557CA9" w:rsidP="00086155">
      <w:pPr>
        <w:jc w:val="center"/>
      </w:pPr>
      <m:oMath>
        <m:sSub>
          <m:sSubPr>
            <m:ctrlPr>
              <w:rPr>
                <w:rFonts w:ascii="Cambria Math" w:hAnsi="Cambria Math"/>
                <w:i/>
              </w:rPr>
            </m:ctrlPr>
          </m:sSubPr>
          <m:e>
            <m:r>
              <w:rPr>
                <w:rFonts w:ascii="Cambria Math" w:hAnsi="Cambria Math"/>
              </w:rPr>
              <m:t>i</m:t>
            </m:r>
          </m:e>
          <m:sub>
            <m:r>
              <w:rPr>
                <w:rFonts w:ascii="Cambria Math" w:hAnsi="Cambria Math"/>
              </w:rPr>
              <m:t>shrub</m:t>
            </m:r>
          </m:sub>
        </m:sSub>
        <m:r>
          <w:rPr>
            <w:rFonts w:ascii="Cambria Math" w:hAnsi="Cambria Math"/>
          </w:rPr>
          <m:t>=</m:t>
        </m:r>
        <m:f>
          <m:fPr>
            <m:ctrlPr>
              <w:rPr>
                <w:rFonts w:ascii="Cambria Math" w:hAnsi="Cambria Math"/>
                <w:i/>
              </w:rPr>
            </m:ctrlPr>
          </m:fPr>
          <m:num>
            <m:r>
              <w:rPr>
                <w:rFonts w:ascii="Cambria Math" w:hAnsi="Cambria Math"/>
              </w:rPr>
              <m:t>shrub volume</m:t>
            </m:r>
          </m:num>
          <m:den>
            <m:r>
              <w:rPr>
                <w:rFonts w:ascii="Cambria Math" w:hAnsi="Cambria Math"/>
              </w:rPr>
              <m:t>distance to soil core</m:t>
            </m:r>
          </m:den>
        </m:f>
      </m:oMath>
      <w:r w:rsidR="00086155" w:rsidRPr="009867C1">
        <w:t>.</w:t>
      </w:r>
    </w:p>
    <w:p w14:paraId="2DE4184F" w14:textId="77777777" w:rsidR="00086155" w:rsidRPr="009867C1" w:rsidRDefault="00086155" w:rsidP="00086155"/>
    <w:p w14:paraId="22856552" w14:textId="77777777" w:rsidR="00086155" w:rsidRPr="009867C1" w:rsidRDefault="00086155" w:rsidP="00086155">
      <w:r w:rsidRPr="009867C1">
        <w:t xml:space="preserve">For each tree and shrub species </w:t>
      </w:r>
      <w:r w:rsidRPr="009867C1">
        <w:rPr>
          <w:i/>
        </w:rPr>
        <w:t>j,</w:t>
      </w:r>
      <w:r w:rsidRPr="009867C1">
        <w:t xml:space="preserve"> the influence indices of all individuals at each plot were summed, giving an estimate of the aggregate effect of species </w:t>
      </w:r>
      <w:r w:rsidRPr="009867C1">
        <w:rPr>
          <w:i/>
        </w:rPr>
        <w:t>j</w:t>
      </w:r>
      <w:r w:rsidRPr="009867C1">
        <w:t xml:space="preserve"> on each soil core.   </w:t>
      </w:r>
    </w:p>
    <w:p w14:paraId="728CAD5D" w14:textId="77777777" w:rsidR="00086155" w:rsidRPr="009867C1" w:rsidRDefault="00086155" w:rsidP="00086155">
      <w:r w:rsidRPr="009867C1">
        <w:t>Next, a smaller 1 m</w:t>
      </w:r>
      <w:r w:rsidRPr="009867C1">
        <w:rPr>
          <w:vertAlign w:val="superscript"/>
        </w:rPr>
        <w:t>2</w:t>
      </w:r>
      <w:r w:rsidRPr="009867C1">
        <w:t xml:space="preserve"> plot was centered on the soil core. Percent cover of each moss and herb species </w:t>
      </w:r>
      <w:r w:rsidRPr="009867C1">
        <w:rPr>
          <w:i/>
        </w:rPr>
        <w:t>j</w:t>
      </w:r>
      <w:r w:rsidRPr="009867C1">
        <w:t xml:space="preserve"> was visually assessed. This again provides an estimate for each moss and herb species </w:t>
      </w:r>
      <w:r w:rsidRPr="009867C1">
        <w:rPr>
          <w:i/>
        </w:rPr>
        <w:t xml:space="preserve">j </w:t>
      </w:r>
      <w:r w:rsidRPr="009867C1">
        <w:t xml:space="preserve">localized around the soil core in every plot. </w:t>
      </w:r>
    </w:p>
    <w:p w14:paraId="258FC03D" w14:textId="423EC722" w:rsidR="00086155" w:rsidRPr="009867C1" w:rsidRDefault="00086155" w:rsidP="000E721D">
      <w:r w:rsidRPr="009867C1">
        <w:t>Finally, dimensionality of tree influence indices, shrub influence indices, moss percent cover, and herb percent cover were each reduced via princip</w:t>
      </w:r>
      <w:r w:rsidR="00BC1EFC">
        <w:t>al</w:t>
      </w:r>
      <w:r w:rsidRPr="009867C1">
        <w:t xml:space="preserve"> component analysis (PCA) for use as explanatory variables in later analyses. This resulted in one PCA for each of the four vegetation layers. In each PCA, the variation explained and major loading for the first principle axis was: moss (36% of variation explained; positive direction - lanky moss); herbs (35%; positive – salal, deer fern; negative – false lily of the valley, spiny wood fern); shrubs (34%; positive – salal; negative – false azalea, </w:t>
      </w:r>
      <w:r w:rsidR="00BC1EFC" w:rsidRPr="00BC1EFC">
        <w:rPr>
          <w:i/>
          <w:iCs/>
        </w:rPr>
        <w:t>V</w:t>
      </w:r>
      <w:r w:rsidRPr="00BC1EFC">
        <w:rPr>
          <w:i/>
          <w:iCs/>
        </w:rPr>
        <w:t>accinium</w:t>
      </w:r>
      <w:r w:rsidRPr="009867C1">
        <w:t xml:space="preserve"> sp</w:t>
      </w:r>
      <w:r w:rsidR="00BC1EFC">
        <w:t>p</w:t>
      </w:r>
      <w:r w:rsidRPr="009867C1">
        <w:t>.); trees (39% of variation; negative – cedar) (</w:t>
      </w:r>
      <w:r w:rsidRPr="000E721D">
        <w:t xml:space="preserve">Appendix </w:t>
      </w:r>
      <w:r w:rsidRPr="009867C1">
        <w:t>C).</w:t>
      </w:r>
      <w:r w:rsidR="00BC1EFC">
        <w:t xml:space="preserve"> </w:t>
      </w:r>
      <w:r w:rsidRPr="009867C1">
        <w:t>To account for watershed size as an explanatory variable, PCA was conducted using catchment area, stream magnitude, spawning length, and bankfull width (after Wagner &amp; Reynolds 2019). The first axis accounted for 52% of the variation and was used as an explanatory variable where appropriate in downstream analysis.</w:t>
      </w:r>
    </w:p>
    <w:p w14:paraId="16CEAB92" w14:textId="77777777" w:rsidR="00086155" w:rsidRPr="009867C1" w:rsidRDefault="00086155" w:rsidP="00086155">
      <w:pPr>
        <w:pStyle w:val="NoSpacing"/>
        <w:ind w:firstLine="720"/>
        <w:rPr>
          <w:rFonts w:ascii="Times New Roman" w:hAnsi="Times New Roman" w:cs="Times New Roman"/>
        </w:rPr>
      </w:pPr>
    </w:p>
    <w:p w14:paraId="1198B77D" w14:textId="77777777" w:rsidR="00086155" w:rsidRPr="009867C1" w:rsidRDefault="00086155" w:rsidP="00086155">
      <w:pPr>
        <w:pStyle w:val="Heading4"/>
      </w:pPr>
      <w:bookmarkStart w:id="216" w:name="_Toc99385477"/>
      <w:r w:rsidRPr="009867C1">
        <w:t>Salmon density data</w:t>
      </w:r>
      <w:bookmarkEnd w:id="216"/>
    </w:p>
    <w:p w14:paraId="2AC3F9C6" w14:textId="245A8A36" w:rsidR="00086155" w:rsidRPr="009867C1" w:rsidRDefault="00086155" w:rsidP="00086155">
      <w:pPr>
        <w:ind w:firstLine="720"/>
      </w:pPr>
      <w:r w:rsidRPr="009867C1">
        <w:t>Annual fish data was contributed by the Reynolds lab at Simon Fraser University, Department of Fisheries and Oceans, and the Heiltsuk First Nation (</w:t>
      </w:r>
      <w:r w:rsidRPr="000E721D">
        <w:t xml:space="preserve">Appendix </w:t>
      </w:r>
      <w:r w:rsidRPr="009867C1">
        <w:t xml:space="preserve">B). Salmon biomass for year </w:t>
      </w:r>
      <w:r w:rsidRPr="009867C1">
        <w:rPr>
          <w:i/>
        </w:rPr>
        <w:t>t</w:t>
      </w:r>
      <w:r w:rsidRPr="009867C1">
        <w:t xml:space="preserve"> at site </w:t>
      </w:r>
      <w:r w:rsidRPr="009867C1">
        <w:rPr>
          <w:i/>
        </w:rPr>
        <w:t>j</w:t>
      </w:r>
      <w:r w:rsidRPr="009867C1">
        <w:t xml:space="preserve"> was calculated by multiplying annual salmon escapement estimates of site </w:t>
      </w:r>
      <w:r w:rsidRPr="009867C1">
        <w:rPr>
          <w:i/>
        </w:rPr>
        <w:t>j</w:t>
      </w:r>
      <w:r w:rsidRPr="009867C1">
        <w:t xml:space="preserve"> by the average biomass of the corresponding species </w:t>
      </w:r>
      <w:r w:rsidRPr="009867C1">
        <w:rPr>
          <w:i/>
        </w:rPr>
        <w:t>i</w:t>
      </w:r>
      <w:r w:rsidRPr="009867C1">
        <w:t xml:space="preserve"> at spawning time </w:t>
      </w:r>
      <m:oMath>
        <m:r>
          <w:rPr>
            <w:rFonts w:ascii="Cambria Math" w:hAnsi="Cambria Math"/>
          </w:rPr>
          <m:t>(</m:t>
        </m:r>
        <m:sSub>
          <m:sSubPr>
            <m:ctrlPr>
              <w:rPr>
                <w:rFonts w:ascii="Cambria Math" w:hAnsi="Cambria Math"/>
                <w:i/>
              </w:rPr>
            </m:ctrlPr>
          </m:sSubPr>
          <m:e>
            <m:r>
              <w:rPr>
                <w:rFonts w:ascii="Cambria Math" w:hAnsi="Cambria Math"/>
              </w:rPr>
              <m:t>estimated biomass</m:t>
            </m:r>
          </m:e>
          <m:sub>
            <m:r>
              <w:rPr>
                <w:rFonts w:ascii="Cambria Math" w:hAnsi="Cambria Math"/>
              </w:rPr>
              <m:t>tj</m:t>
            </m:r>
          </m:sub>
        </m:sSub>
        <m:r>
          <w:rPr>
            <w:rFonts w:ascii="Cambria Math" w:hAnsi="Cambria Math"/>
          </w:rPr>
          <m:t>=</m:t>
        </m:r>
        <m:nary>
          <m:naryPr>
            <m:chr m:val="∑"/>
            <m:limLoc m:val="undOvr"/>
            <m:ctrlPr>
              <w:rPr>
                <w:rFonts w:ascii="Cambria Math" w:hAnsi="Cambria Math"/>
                <w:i/>
              </w:rPr>
            </m:ctrlPr>
          </m:naryPr>
          <m:sub>
            <m:r>
              <w:rPr>
                <w:rFonts w:ascii="Cambria Math" w:hAnsi="Cambria Math"/>
              </w:rPr>
              <m:t>i=1</m:t>
            </m:r>
          </m:sub>
          <m:sup>
            <m:r>
              <w:rPr>
                <w:rFonts w:ascii="Cambria Math" w:hAnsi="Cambria Math"/>
              </w:rPr>
              <m:t>4</m:t>
            </m:r>
          </m:sup>
          <m:e>
            <m:sSub>
              <m:sSubPr>
                <m:ctrlPr>
                  <w:rPr>
                    <w:rFonts w:ascii="Cambria Math" w:hAnsi="Cambria Math"/>
                    <w:i/>
                  </w:rPr>
                </m:ctrlPr>
              </m:sSubPr>
              <m:e>
                <m:r>
                  <w:rPr>
                    <w:rFonts w:ascii="Cambria Math" w:hAnsi="Cambria Math"/>
                  </w:rPr>
                  <m:t>escapement</m:t>
                </m:r>
              </m:e>
              <m:sub>
                <m:r>
                  <w:rPr>
                    <w:rFonts w:ascii="Cambria Math" w:hAnsi="Cambria Math"/>
                  </w:rPr>
                  <m:t>tji</m:t>
                </m:r>
              </m:sub>
            </m:sSub>
            <m:r>
              <w:rPr>
                <w:rFonts w:ascii="Cambria Math" w:hAnsi="Cambria Math"/>
              </w:rPr>
              <m:t>*</m:t>
            </m:r>
            <m:sSub>
              <m:sSubPr>
                <m:ctrlPr>
                  <w:rPr>
                    <w:rFonts w:ascii="Cambria Math" w:hAnsi="Cambria Math"/>
                    <w:i/>
                  </w:rPr>
                </m:ctrlPr>
              </m:sSubPr>
              <m:e>
                <m:r>
                  <w:rPr>
                    <w:rFonts w:ascii="Cambria Math" w:hAnsi="Cambria Math"/>
                  </w:rPr>
                  <m:t>average individual biomass at spawning</m:t>
                </m:r>
              </m:e>
              <m:sub>
                <m:r>
                  <w:rPr>
                    <w:rFonts w:ascii="Cambria Math" w:hAnsi="Cambria Math"/>
                  </w:rPr>
                  <m:t xml:space="preserve"> i</m:t>
                </m:r>
              </m:sub>
            </m:sSub>
          </m:e>
        </m:nary>
      </m:oMath>
      <w:r w:rsidRPr="009867C1">
        <w:t>). Four salmon species are found in these study sites: Chum (</w:t>
      </w:r>
      <w:r w:rsidRPr="009867C1">
        <w:rPr>
          <w:i/>
        </w:rPr>
        <w:t>Oncorhynchus keta</w:t>
      </w:r>
      <w:r w:rsidRPr="009867C1">
        <w:t>), Pink (</w:t>
      </w:r>
      <w:r w:rsidRPr="009867C1">
        <w:rPr>
          <w:i/>
        </w:rPr>
        <w:t>O. gorbusha</w:t>
      </w:r>
      <w:r w:rsidRPr="009867C1">
        <w:t>), Coho (</w:t>
      </w:r>
      <w:r w:rsidRPr="009867C1">
        <w:rPr>
          <w:i/>
        </w:rPr>
        <w:t>O. kisutch</w:t>
      </w:r>
      <w:r w:rsidRPr="009867C1">
        <w:t>), and Sockeye (</w:t>
      </w:r>
      <w:r w:rsidRPr="009867C1">
        <w:rPr>
          <w:i/>
        </w:rPr>
        <w:t>O. nerka</w:t>
      </w:r>
      <w:r w:rsidRPr="009867C1">
        <w:t xml:space="preserve">); biomass estimates at spawning for Chum and Pink were taken from previous values at these sites </w:t>
      </w:r>
      <w:r w:rsidRPr="009867C1">
        <w:fldChar w:fldCharType="begin"/>
      </w:r>
      <w:r w:rsidR="00AC0205">
        <w:instrText xml:space="preserve"> ADDIN ZOTERO_ITEM CSL_CITATION {"citationID":"L2M3dHNr","properties":{"formattedCitation":"(Hocking &amp; Reynolds, 2011)","plainCitation":"(Hocking &amp; Reynolds, 2011)","noteIndex":0},"citationItems":[{"id":550,"uris":["http://zotero.org/users/2189142/items/JR362H46"],"itemData":{"id":550,"type":"article-journal","abstract":"The study of natural gradients in nutrient subsidies between ecosystems allows for predictions of how changes in one system can affect biodiversity in another. We performed a large-scale empirical test of the role of Pacific salmon (Oncorhynchus spp.) in structuring riparian plant communities. A comparison of 50 watersheds in the remote Great Bear Rainforest of British Columbia’s central coast in Canada shows that salmon influence nutrient loading to plants, shifting plant communities toward nutrient-rich species, which in turn decreases plant diversity. These effects are mediated by interactions between salmon density and the physical characteristics of watersheds. Predicting how salmon affect terrestrial ecosystems is central to conservation plans that aim to better integrate ecosystem values into resource management.","container-title":"Science","DOI":"10.1126/science.1201079","ISSN":"0036-8075, 1095-9203","issue":"6024","journalAbbreviation":"Science","language":"en","note":"PMID: 21442794","page":"1609-1612","source":"www.sciencemag.org.ezproxy.library.ubc.ca","title":"Impacts of Salmon on Riparian Plant Diversity","volume":"331","author":[{"family":"Hocking","given":"Morgan D."},{"family":"Reynolds","given":"John D."}],"issued":{"date-parts":[["2011",3,25]]},"citation-key":"hocking_2011"}}],"schema":"https://github.com/citation-style-language/schema/raw/master/csl-citation.json"} </w:instrText>
      </w:r>
      <w:r w:rsidRPr="009867C1">
        <w:fldChar w:fldCharType="separate"/>
      </w:r>
      <w:r w:rsidR="0042141C" w:rsidRPr="009867C1">
        <w:t>(Hocking &amp; Reynolds, 2011)</w:t>
      </w:r>
      <w:r w:rsidRPr="009867C1">
        <w:fldChar w:fldCharType="end"/>
      </w:r>
      <w:r w:rsidRPr="009867C1">
        <w:t xml:space="preserve">, and Coho and Sockeye were taken from the literature </w:t>
      </w:r>
      <w:r w:rsidRPr="009867C1">
        <w:fldChar w:fldCharType="begin"/>
      </w:r>
      <w:r w:rsidR="00AC0205">
        <w:instrText xml:space="preserve"> ADDIN ZOTERO_ITEM CSL_CITATION {"citationID":"S62FDKc8","properties":{"formattedCitation":"(Shaul et al., 2007)","plainCitation":"(Shaul et al., 2007)","noteIndex":0},"citationItems":[{"id":2031,"uris":["http://zotero.org/users/2189142/items/3M2FI2NH"],"itemData":{"id":2031,"type":"article-journal","container-title":"North Pacific Anadromous Fish Commission Bulletin","page":"93–104","source":"Google Scholar","title":"Trends in abundance and size of coho salmon in the Pacific Rim","volume":"4","author":[{"family":"Shaul","given":"Leon"},{"family":"Weitkamp","given":"Laurie"},{"family":"Simpson","given":"Kent"},{"family":"Sawada","given":"Joel"}],"issued":{"date-parts":[["2007"]]},"citation-key":"shaul_2007"}}],"schema":"https://github.com/citation-style-language/schema/raw/master/csl-citation.json"} </w:instrText>
      </w:r>
      <w:r w:rsidRPr="009867C1">
        <w:fldChar w:fldCharType="separate"/>
      </w:r>
      <w:r w:rsidR="0042141C" w:rsidRPr="009867C1">
        <w:t>(Shaul et al., 2007)</w:t>
      </w:r>
      <w:r w:rsidRPr="009867C1">
        <w:fldChar w:fldCharType="end"/>
      </w:r>
      <w:r w:rsidRPr="009867C1">
        <w:t>. Chum and Pink accounted for the vast majority of salmon at the sites (&gt;90% of total biomass)</w:t>
      </w:r>
      <w:r w:rsidR="009D0E16">
        <w:t>.</w:t>
      </w:r>
      <w:r w:rsidRPr="009867C1">
        <w:t xml:space="preserve"> Annual biomass measures for each stream </w:t>
      </w:r>
      <w:r w:rsidRPr="009867C1">
        <w:rPr>
          <w:i/>
        </w:rPr>
        <w:t>j</w:t>
      </w:r>
      <w:r w:rsidRPr="009867C1">
        <w:t xml:space="preserve"> were estimated with a 3-year moving average.  From these biomass estimates, density indices were calculated by dividing estimated biomass by the length of spawning reach of each watershed </w:t>
      </w:r>
      <m:oMath>
        <m:r>
          <w:rPr>
            <w:rFonts w:ascii="Cambria Math" w:hAnsi="Cambria Math"/>
          </w:rPr>
          <m:t>(density=</m:t>
        </m:r>
        <m:f>
          <m:fPr>
            <m:ctrlPr>
              <w:rPr>
                <w:rFonts w:ascii="Cambria Math" w:hAnsi="Cambria Math"/>
                <w:i/>
              </w:rPr>
            </m:ctrlPr>
          </m:fPr>
          <m:num>
            <m:r>
              <w:rPr>
                <w:rFonts w:ascii="Cambria Math" w:hAnsi="Cambria Math"/>
              </w:rPr>
              <m:t>estimated biomass</m:t>
            </m:r>
          </m:num>
          <m:den>
            <m:r>
              <w:rPr>
                <w:rFonts w:ascii="Cambria Math" w:hAnsi="Cambria Math"/>
              </w:rPr>
              <m:t>length of spawning reach</m:t>
            </m:r>
          </m:den>
        </m:f>
        <m:r>
          <w:rPr>
            <w:rFonts w:ascii="Cambria Math" w:hAnsi="Cambria Math"/>
          </w:rPr>
          <m:t xml:space="preserve"> )</m:t>
        </m:r>
      </m:oMath>
      <w:r w:rsidRPr="009867C1">
        <w:t xml:space="preserve"> and is henceforth referred to as “salmon density”. Its units are thus </w:t>
      </w:r>
      <m:oMath>
        <m:f>
          <m:fPr>
            <m:ctrlPr>
              <w:rPr>
                <w:rFonts w:ascii="Cambria Math" w:hAnsi="Cambria Math"/>
                <w:i/>
              </w:rPr>
            </m:ctrlPr>
          </m:fPr>
          <m:num>
            <m:r>
              <w:rPr>
                <w:rFonts w:ascii="Cambria Math" w:hAnsi="Cambria Math"/>
              </w:rPr>
              <m:t>(kg of salmon)</m:t>
            </m:r>
          </m:num>
          <m:den>
            <m:r>
              <w:rPr>
                <w:rFonts w:ascii="Cambria Math" w:hAnsi="Cambria Math"/>
              </w:rPr>
              <m:t>(m of stream reach)(year)</m:t>
            </m:r>
          </m:den>
        </m:f>
      </m:oMath>
      <w:r w:rsidRPr="009867C1">
        <w:t xml:space="preserve">(see </w:t>
      </w:r>
      <w:r w:rsidRPr="000E721D">
        <w:t xml:space="preserve">Appendix </w:t>
      </w:r>
      <w:r w:rsidRPr="009867C1">
        <w:t xml:space="preserve">B for further information). </w:t>
      </w:r>
    </w:p>
    <w:p w14:paraId="3B51DFB8" w14:textId="67EF3141" w:rsidR="00086155" w:rsidRPr="009867C1" w:rsidRDefault="00086155" w:rsidP="00086155">
      <w:pPr>
        <w:pStyle w:val="Heading4"/>
      </w:pPr>
      <w:bookmarkStart w:id="217" w:name="_Toc99385478"/>
      <w:r w:rsidRPr="009867C1">
        <w:t>Molecular analysis</w:t>
      </w:r>
      <w:bookmarkEnd w:id="217"/>
      <w:r w:rsidRPr="009867C1">
        <w:t xml:space="preserve"> </w:t>
      </w:r>
    </w:p>
    <w:p w14:paraId="4F0077ED" w14:textId="67DCDD92" w:rsidR="00086155" w:rsidRPr="009867C1" w:rsidRDefault="00086155" w:rsidP="00086155">
      <w:pPr>
        <w:ind w:firstLine="720"/>
      </w:pPr>
      <w:r w:rsidRPr="009867C1">
        <w:t>DNA was extracted from 0.5 mg of wet soil gathered from four locations in the bulk soil sample using the Powersoil DNA isolation kit (MoBio Laboratories Inc., Carlsbad, CA, USA). DNA concentration and quality was quantified using a NanoDrop 2000 (Thermo Fisher Scientific Inc, Wilmington, DE, USA) and</w:t>
      </w:r>
      <w:r w:rsidR="009D0E16">
        <w:t xml:space="preserve"> a </w:t>
      </w:r>
      <w:r w:rsidRPr="009867C1">
        <w:t>Quantus fluorometer (Promega, Madison, WI, USA) using the Qubit dsDNA HS assay kit (Thermo Fisher Scientific Inc, Wilmington, DE, USA). DNA was diluted to 10 ng/</w:t>
      </w:r>
      <w:r w:rsidR="009D0E16">
        <w:t>µ</w:t>
      </w:r>
      <w:r w:rsidRPr="009867C1">
        <w:t xml:space="preserve">l and PCR amplicons created and quality control conducted by BC Cancer Genome Science Center (Vancouver, BC). The V3V4 portion of the 16S rRNA region was targeted using primers 341F (CCTACGGGNGGCWGCAG) and 805R (GACTACHVGGGTATCTAATCC) </w:t>
      </w:r>
      <w:r w:rsidRPr="009867C1">
        <w:fldChar w:fldCharType="begin"/>
      </w:r>
      <w:r w:rsidR="00AC0205">
        <w:instrText xml:space="preserve"> ADDIN ZOTERO_ITEM CSL_CITATION {"citationID":"Zue1oXNV","properties":{"formattedCitation":"(Herlemann et al., 2011; Qiu et al., 2020)","plainCitation":"(Herlemann et al., 2011; Qiu et al., 2020)","noteIndex":0},"citationItems":[{"id":"Mdw2eqP8/y2uqdCmY","uris":["http://zotero.org/users/2189142/items/55B532QG"],"itemData":{"id":6952,"type":"article-journal","abstract":"Salinity is a major factor controlling the distribution of biota in aquatic systems, and most aquatic multicellular organisms are either adapted to life in saltwater or freshwater conditions. Consequently, the saltwater–freshwater mixing zones in coastal or estuarine areas are characterized by limited faunal and floral diversity. Although changes in diversity and decline in species richness in brackish waters is well documented in aquatic ecology, it is unknown to what extent this applies to bacterial communities. Here, we report a first detailed bacterial inventory from vertical profiles of 60 sampling stations distributed along the salinity gradient of the Baltic Sea, one of world's largest brackish water environments, generated using 454 pyrosequencing of partial (400 bp) 16S rRNA genes. Within the salinity gradient, bacterial community composition altered at broad and finer-scale phylogenetic levels. Analogous to faunal communities within brackish conditions, we identified a bacterial brackish water community comprising a diverse combination of freshwater and marine groups, along with populations unique to this environment. As water residence times in the Baltic Sea exceed 3 years, the observed bacterial community cannot be the result of mixing of fresh water and saltwater, but our study represents the first detailed description of an autochthonous brackish microbiome. In contrast to the decline in the diversity of multicellular organisms, reduced bacterial diversity at brackish conditions could not be established. It is possible that the rapid adaptation rate of bacteria has enabled a variety of lineages to fill what for higher organisms remains a challenging and relatively unoccupied ecological niche.","container-title":"The ISME Journal","DOI":"10.1038/ismej.2011.41","ISSN":"1751-7370","issue":"10","language":"en","note":"number: 10\npublisher: Nature Publishing Group","page":"1571-1579","source":"www.nature.com","title":"Transitions in bacterial communities along the 2000 km salinity gradient of the Baltic Sea","volume":"5","author":[{"family":"Herlemann","given":"Daniel PR"},{"family":"Labrenz","given":"Matthias"},{"family":"Jürgens","given":"Klaus"},{"family":"Bertilsson","given":"Stefan"},{"family":"Waniek","given":"Joanna J."},{"family":"Andersson","given":"Anders F."}],"issued":{"date-parts":[["2011",10]]}}},{"id":2309,"uris":["http://zotero.org/users/2189142/items/7VSNGZYS"],"itemData":{"id":2309,"type":"article-journal","abstract":"The microbial communities associated with plants (the plant microbiome) play critical roles in regulating plant health and productivity. Because of this, in recent years, there have been significant increase in studies targeting the plant microbiome. Amplicon sequencing is widely used to investigate the plant microbiome and to develop sustainable microbial agricultural tools. However, performing large microbiome surveys at the regional and global scales pose several logistic challenges. One of these challenges is related with the preservation of plant materials for sequencing aiming to maintain the integrity of the original diversity and community composition of the plant microbiome. Another significant challenge involves the existence of multiple primer sets used in amplicon sequencing that, especially for bacterial communities, hampers the comparability of datasets across studies. Here, we aimed to examine the effect of different preservation approaches (snap freezing, fresh and kept on ice, and air drying) on the bacterial and fungal diversity and community composition on plant leaves, stems and roots from seven plant species from contrasting functional groups. Another major challenge comes when comparing plant to soil microbiomes, as different primers sets are often used for plant vs. soil microbiomes. Thus, we also investigated if widely used 16S rRNA primer set (779F/1193R) for plant microbiome studies provides comparable data to those often used for soil microbiomes (341F/805R) using 86 soil samples. We found that the community composition and diversity of bacteria or fungi were robust to contrasting preservation methods. The primer sets often used for plants provided similar results to those often used for soil studies suggesting that simultaneous studies on plant and soil microbiomes are possible. Our findings provide novel evidence that preservation approaches do not significantly impact plant microbiome data interpretation and primer differences do not impact the treatment effect, which has significant implication for future large-scale and global surveys of plant microbiomes.","container-title":"Frontiers in Plant Science","DOI":"10.3389/fpls.2020.00993","ISSN":"1664-462X","journalAbbreviation":"Front. Plant Sci.","language":"English","note":"publisher: Frontiers","source":"Frontiers","title":"Plant Microbiomes: Do Different Preservation Approaches and Primer Sets Alter Our Capacity to Assess Microbial Diversity and Community Composition?","title-short":"Plant Microbiomes","URL":"https://www.frontiersin.org/articles/10.3389/fpls.2020.00993/full","volume":"11","author":[{"family":"Qiu","given":"Zhiguang"},{"family":"Wang","given":"Juntao"},{"family":"Delgado-Baquerizo","given":"Manuel"},{"family":"Trivedi","given":"Pankaj"},{"family":"Egidi","given":"Eleonora"},{"family":"Chen","given":"Yi-Min"},{"family":"Zhang","given":"Haiyang"},{"family":"Singh","given":"Brajesh K."}],"accessed":{"date-parts":[["2020",11,24]]},"issued":{"date-parts":[["2020"]]},"citation-key":"qiu_2020"}}],"schema":"https://github.com/citation-style-language/schema/raw/master/csl-citation.json"} </w:instrText>
      </w:r>
      <w:r w:rsidRPr="009867C1">
        <w:fldChar w:fldCharType="separate"/>
      </w:r>
      <w:r w:rsidR="0042141C" w:rsidRPr="009867C1">
        <w:t>(Herlemann et al., 2011; Qiu et al., 2020)</w:t>
      </w:r>
      <w:r w:rsidRPr="009867C1">
        <w:fldChar w:fldCharType="end"/>
      </w:r>
      <w:r w:rsidRPr="009867C1">
        <w:t xml:space="preserve">. Amplified regions were then pooled by template, Direct Seq libraries constructed, and libraries pooled to be sequenced in a single Illumina MiSeq 250 base PET run with v3 chemistry. </w:t>
      </w:r>
    </w:p>
    <w:p w14:paraId="60059005" w14:textId="77777777" w:rsidR="00086155" w:rsidRPr="009867C1" w:rsidRDefault="00086155" w:rsidP="00086155">
      <w:pPr>
        <w:pStyle w:val="Heading4"/>
      </w:pPr>
      <w:bookmarkStart w:id="218" w:name="_Toc99385479"/>
      <w:r w:rsidRPr="009867C1">
        <w:t>Bioinformatics</w:t>
      </w:r>
      <w:bookmarkEnd w:id="218"/>
    </w:p>
    <w:p w14:paraId="5072F040" w14:textId="663A99A3" w:rsidR="00086155" w:rsidRPr="009867C1" w:rsidRDefault="00086155" w:rsidP="00086155">
      <w:pPr>
        <w:ind w:firstLine="720"/>
      </w:pPr>
      <w:r w:rsidRPr="009867C1">
        <w:t xml:space="preserve">Microbiome bioinformatics was performed with QIIME2 V.2019.7 </w:t>
      </w:r>
      <w:r w:rsidRPr="009867C1">
        <w:fldChar w:fldCharType="begin"/>
      </w:r>
      <w:r w:rsidR="00AC0205">
        <w:instrText xml:space="preserve"> ADDIN ZOTERO_ITEM CSL_CITATION {"citationID":"4RUulaSp","properties":{"formattedCitation":"(Bolyen et al., 2019)","plainCitation":"(Bolyen et al., 2019)","noteIndex":0},"citationItems":[{"id":2608,"uris":["http://zotero.org/users/2189142/items/JCU5ZRKU"],"itemData":{"id":2608,"type":"article-journal","container-title":"Nature Biotechnology","DOI":"10.1038/s41587-019-0209-9","ISSN":"1546-1696","issue":"8","journalAbbreviation":"Nat Biotechnol","language":"en","page":"852-857","source":"www.nature.com","title":"Reproducible, interactive, scalable and extensible microbiome data science using QIIME 2","volume":"37","author":[{"family":"Bolyen","given":"Evan"},{"family":"Rideout","given":"Jai Ram"},{"family":"Dillon","given":"Matthew R."},{"family":"Bokulich","given":"Nicholas A."},{"family":"Abnet","given":"Christian C."},{"family":"Al-Ghalith","given":"Gabriel A."},{"family":"Alexander","given":"Harriet"},{"family":"Alm","given":"Eric J."},{"family":"Arumugam","given":"Manimozhiyan"},{"family":"Asnicar","given":"Francesco"},{"family":"Bai","given":"Yang"},{"family":"Bisanz","given":"Jordan E."},{"family":"Bittinger","given":"Kyle"},{"family":"Brejnrod","given":"Asker"},{"family":"Brislawn","given":"Colin J."},{"family":"Brown","given":"C. Titus"},{"family":"Callahan","given":"Ben J."},{"family":"Caraballo-Rodríguez","given":"Andrés Mauricio"},{"family":"Chase","given":"John"},{"family":"Cope","given":"Emily K."},{"family":"Silva","given":"Ricardo Da"},{"family":"Diener","given":"Christian"},{"family":"Dorrestein","given":"Pieter C."},{"family":"Douglas","given":"Gavin M."},{"family":"Durall","given":"Daniel M."},{"family":"Duvallet","given":"Claire"},{"family":"Edwardson","given":"Christian F."},{"family":"Ernst","given":"Madeleine"},{"family":"Estaki","given":"Mehrbod"},{"family":"Fouquier","given":"Jennifer"},{"family":"Gauglitz","given":"Julia M."},{"family":"Gibbons","given":"Sean M."},{"family":"Gibson","given":"Deanna L."},{"family":"Gonzalez","given":"Antonio"},{"family":"Gorlick","given":"Kestrel"},{"family":"Guo","given":"Jiarong"},{"family":"Hillmann","given":"Benjamin"},{"family":"Holmes","given":"Susan"},{"family":"Holste","given":"Hannes"},{"family":"Huttenhower","given":"Curtis"},{"family":"Huttley","given":"Gavin A."},{"family":"Janssen","given":"Stefan"},{"family":"Jarmusch","given":"Alan K."},{"family":"Jiang","given":"Lingjing"},{"family":"Kaehler","given":"Benjamin D."},{"family":"Kang","given":"Kyo Bin"},{"family":"Keefe","given":"Christopher R."},{"family":"Keim","given":"Paul"},{"family":"Kelley","given":"Scott T."},{"family":"Knights","given":"Dan"},{"family":"Koester","given":"Irina"},{"family":"Kosciolek","given":"Tomasz"},{"family":"Kreps","given":"Jorden"},{"family":"Langille","given":"Morgan G. I."},{"family":"Lee","given":"Joslynn"},{"family":"Ley","given":"Ruth"},{"family":"Liu","given":"Yong-Xin"},{"family":"Loftfield","given":"Erikka"},{"family":"Lozupone","given":"Catherine"},{"family":"Maher","given":"Massoud"},{"family":"Marotz","given":"Clarisse"},{"family":"Martin","given":"Bryan D."},{"family":"McDonald","given":"Daniel"},{"family":"McIver","given":"Lauren J."},{"family":"Melnik","given":"Alexey V."},{"family":"Metcalf","given":"Jessica L."},{"family":"Morgan","given":"Sydney C."},{"family":"Morton","given":"Jamie T."},{"family":"Naimey","given":"Ahmad Turan"},{"family":"Navas-Molina","given":"Jose A."},{"family":"Nothias","given":"Louis Felix"},{"family":"Orchanian","given":"Stephanie B."},{"family":"Pearson","given":"Talima"},{"family":"Peoples","given":"Samuel L."},{"family":"Petras","given":"Daniel"},{"family":"Preuss","given":"Mary Lai"},{"family":"Pruesse","given":"Elmar"},{"family":"Rasmussen","given":"Lasse Buur"},{"family":"Rivers","given":"Adam"},{"family":"Robeson","given":"Michael S."},{"family":"Rosenthal","given":"Patrick"},{"family":"Segata","given":"Nicola"},{"family":"Shaffer","given":"Michael"},{"family":"Shiffer","given":"Arron"},{"family":"Sinha","given":"Rashmi"},{"family":"Song","given":"Se Jin"},{"family":"Spear","given":"John R."},{"family":"Swafford","given":"Austin D."},{"family":"Thompson","given":"Luke R."},{"family":"Torres","given":"Pedro J."},{"family":"Trinh","given":"Pauline"},{"family":"Tripathi","given":"Anupriya"},{"family":"Turnbaugh","given":"Peter J."},{"family":"Ul-Hasan","given":"Sabah"},{"family":"Hooft","given":"Justin J. J.","dropping-particle":"van der"},{"family":"Vargas","given":"Fernando"},{"family":"Vázquez-Baeza","given":"Yoshiki"},{"family":"Vogtmann","given":"Emily"},{"family":"Hippel","given":"Max","dropping-particle":"von"},{"family":"Walters","given":"William"},{"family":"Wan","given":"Yunhu"},{"family":"Wang","given":"Mingxun"},{"family":"Warren","given":"Jonathan"},{"family":"Weber","given":"Kyle C."},{"family":"Williamson","given":"Charles H. D."},{"family":"Willis","given":"Amy D."},{"family":"Xu","given":"Zhenjiang Zech"},{"family":"Zaneveld","given":"Jesse R."},{"family":"Zhang","given":"Yilong"},{"family":"Zhu","given":"Qiyun"},{"family":"Knight","given":"Rob"},{"family":"Caporaso","given":"J. Gregory"}],"issued":{"date-parts":[["2019",8]]},"citation-key":"bolyen_2019"}}],"schema":"https://github.com/citation-style-language/schema/raw/master/csl-citation.json"} </w:instrText>
      </w:r>
      <w:r w:rsidRPr="009867C1">
        <w:fldChar w:fldCharType="separate"/>
      </w:r>
      <w:r w:rsidR="0042141C" w:rsidRPr="009867C1">
        <w:t>(Bolyen et al., 2019)</w:t>
      </w:r>
      <w:r w:rsidRPr="009867C1">
        <w:fldChar w:fldCharType="end"/>
      </w:r>
      <w:r w:rsidRPr="009867C1">
        <w:t xml:space="preserve">. To control for read-through Illumina errors, the ‘sliding window’ function from Trimmomatic V0.39 was used to truncate reads when the average quality score on a 4-base moving average fell below 20 </w:t>
      </w:r>
      <w:r w:rsidRPr="009867C1">
        <w:fldChar w:fldCharType="begin"/>
      </w:r>
      <w:r w:rsidR="00AC0205">
        <w:instrText xml:space="preserve"> ADDIN ZOTERO_ITEM CSL_CITATION {"citationID":"7iV0zK8X","properties":{"formattedCitation":"(Bolger et al., 2014)","plainCitation":"(Bolger et al., 2014)","noteIndex":0},"citationItems":[{"id":1705,"uris":["http://zotero.org/users/2189142/items/GLQRSEUR"],"itemData":{"id":1705,"type":"article-journal","abstract":"Abstract.  Motivation: Although many next-generation sequencing (NGS) read preprocessing tools already existed, we could not find any tool or combination of too","container-title":"Bioinformatics","DOI":"10.1093/bioinformatics/btu170","ISSN":"1367-4803","issue":"15","journalAbbreviation":"Bioinformatics","language":"en","page":"2114-2120","source":"academic.oup.com","title":"Trimmomatic: a flexible trimmer for Illumina sequence data","title-short":"Trimmomatic","volume":"30","author":[{"family":"Bolger","given":"Anthony M."},{"family":"Lohse","given":"Marc"},{"family":"Usadel","given":"Bjoern"}],"issued":{"date-parts":[["2014",8,1]]},"citation-key":"bolger_2014"}}],"schema":"https://github.com/citation-style-language/schema/raw/master/csl-citation.json"} </w:instrText>
      </w:r>
      <w:r w:rsidRPr="009867C1">
        <w:fldChar w:fldCharType="separate"/>
      </w:r>
      <w:r w:rsidR="0042141C" w:rsidRPr="009867C1">
        <w:t>(Bolger et al., 2014)</w:t>
      </w:r>
      <w:r w:rsidRPr="009867C1">
        <w:fldChar w:fldCharType="end"/>
      </w:r>
      <w:r w:rsidRPr="009867C1">
        <w:t xml:space="preserve">. Sequences were demultiplexed and quality filtered with the q2-demux plugin, and then filtered, denoised, and had chimeras removed via DADA2 </w:t>
      </w:r>
      <w:r w:rsidRPr="009867C1">
        <w:fldChar w:fldCharType="begin"/>
      </w:r>
      <w:r w:rsidR="00AC0205">
        <w:instrText xml:space="preserve"> ADDIN ZOTERO_ITEM CSL_CITATION {"citationID":"TuX4yCqK","properties":{"formattedCitation":"(Callahan, McMurdie, et al., 2016)","plainCitation":"(Callahan, McMurdie, et al., 2016)","noteIndex":0},"citationItems":[{"id":2609,"uris":["http://zotero.org/users/2189142/items/H9GQK4QH"],"itemData":{"id":2609,"type":"article-journal","abstract":"We present the open-source software package DADA2 for modeling and correcting Illumina-sequenced amplicon errors (https://github.com/benjjneb/dada2). DADA2 infers sample sequences exactly and resolves differences of as little as 1 nucleotide. In several mock communities, DADA2 identified more real variants and output fewer spurious sequences than other methods. We applied DADA2 to vaginal samples from a cohort of pregnant women, revealing a diversity of previously undetected Lactobacillus crispatus variants.","container-title":"Nature Methods","DOI":"10.1038/nmeth.3869","ISSN":"1548-7105","issue":"7","language":"en","page":"581-583","source":"www-nature-com.ezproxy.library.ubc.ca","title":"DADA2: High-resolution sample inference from Illumina amplicon data","title-short":"DADA2","volume":"13","author":[{"family":"Callahan","given":"Ben J."},{"family":"McMurdie","given":"Paul J."},{"family":"Rosen","given":"Michael J."},{"family":"Han","given":"Andrew W."},{"family":"Johnson","given":"Amy Jo A."},{"family":"Holmes","given":"Susan P."}],"issued":{"date-parts":[["2016",7]]},"citation-key":"callahan_2016b"}}],"schema":"https://github.com/citation-style-language/schema/raw/master/csl-citation.json"} </w:instrText>
      </w:r>
      <w:r w:rsidRPr="009867C1">
        <w:fldChar w:fldCharType="separate"/>
      </w:r>
      <w:r w:rsidR="0042141C" w:rsidRPr="009867C1">
        <w:t>(Callahan, McMurdie, et al., 2016)</w:t>
      </w:r>
      <w:r w:rsidRPr="009867C1">
        <w:fldChar w:fldCharType="end"/>
      </w:r>
      <w:r w:rsidRPr="009867C1">
        <w:t xml:space="preserve">. Taxonomic assignments were made using a naïve Bayes classifier </w:t>
      </w:r>
      <w:r w:rsidRPr="009867C1">
        <w:fldChar w:fldCharType="begin"/>
      </w:r>
      <w:r w:rsidR="00AC0205">
        <w:instrText xml:space="preserve"> ADDIN ZOTERO_ITEM CSL_CITATION {"citationID":"RVDVOjkx","properties":{"formattedCitation":"(Bokulich et al., 2018)","plainCitation":"(Bokulich et al., 2018)","noteIndex":0},"citationItems":[{"id":1707,"uris":["http://zotero.org/users/2189142/items/RMJQ6W2A"],"itemData":{"id":1707,"type":"article-journal","abstract":"Taxonomic classification of marker-gene sequences is an important step in microbiome analysis.","container-title":"Microbiome","DOI":"10.1186/s40168-018-0470-z","ISSN":"2049-2618","issue":"1","journalAbbreviation":"Microbiome","page":"90","source":"BioMed Central","title":"Optimizing taxonomic classification of marker-gene amplicon sequences with QIIME 2’s q2-feature-classifier plugin","volume":"6","author":[{"family":"Bokulich","given":"Nicholas A."},{"family":"Kaehler","given":"Benjamin D."},{"family":"Rideout","given":"Jai Ram"},{"family":"Dillon","given":"Matthew"},{"family":"Bolyen","given":"Evan"},{"family":"Knight","given":"Rob"},{"family":"Huttley","given":"Gavin A."},{"family":"Gregory Caporaso","given":"J."}],"issued":{"date-parts":[["2018",5,17]]},"citation-key":"bokulich_2018a"}}],"schema":"https://github.com/citation-style-language/schema/raw/master/csl-citation.json"} </w:instrText>
      </w:r>
      <w:r w:rsidRPr="009867C1">
        <w:fldChar w:fldCharType="separate"/>
      </w:r>
      <w:r w:rsidR="0042141C" w:rsidRPr="009867C1">
        <w:t>(Bokulich et al., 2018)</w:t>
      </w:r>
      <w:r w:rsidRPr="009867C1">
        <w:fldChar w:fldCharType="end"/>
      </w:r>
      <w:r w:rsidRPr="009867C1">
        <w:t xml:space="preserve"> trained on the SILVA v.132_99 </w:t>
      </w:r>
      <w:r w:rsidRPr="009867C1">
        <w:fldChar w:fldCharType="begin"/>
      </w:r>
      <w:r w:rsidR="00AC0205">
        <w:instrText xml:space="preserve"> ADDIN ZOTERO_ITEM CSL_CITATION {"citationID":"Wm9JWs1y","properties":{"formattedCitation":"(Quast et al., 2013)","plainCitation":"(Quast et al., 2013)","noteIndex":0},"citationItems":[{"id":2311,"uris":["http://zotero.org/users/2189142/items/ED4LZ9N5"],"itemData":{"id":2311,"type":"article-journal","abstract":"Abstract. SILVA (from Latin silva, forest, http://www.arb-silva.de) is a comprehensive web resource for up to date, quality-controlled databases of aligned ribo","container-title":"Nucleic Acids Research","DOI":"10.1093/nar/gks1219","ISSN":"0305-1048","issue":"D1","journalAbbreviation":"Nucleic Acids Res","language":"en","note":"publisher: Oxford Academic","page":"D590-D596","source":"academic-oup-com.ezproxy.library.ubc.ca","title":"The SILVA ribosomal RNA gene database project: improved data processing and web-based tools","title-short":"The SILVA ribosomal RNA gene database project","volume":"41","author":[{"family":"Quast","given":"Christian"},{"family":"Pruesse","given":"Elmar"},{"family":"Yilmaz","given":"Pelin"},{"family":"Gerken","given":"Jan"},{"family":"Schweer","given":"Timmy"},{"family":"Yarza","given":"Pablo"},{"family":"Peplies","given":"Jörg"},{"family":"Glöckner","given":"Frank Oliver"}],"issued":{"date-parts":[["2013",1,1]]},"citation-key":"quast_2013"}}],"schema":"https://github.com/citation-style-language/schema/raw/master/csl-citation.json"} </w:instrText>
      </w:r>
      <w:r w:rsidRPr="009867C1">
        <w:fldChar w:fldCharType="separate"/>
      </w:r>
      <w:r w:rsidR="0042141C" w:rsidRPr="009867C1">
        <w:t>(Quast et al., 2013)</w:t>
      </w:r>
      <w:r w:rsidRPr="009867C1">
        <w:fldChar w:fldCharType="end"/>
      </w:r>
      <w:r w:rsidRPr="009867C1">
        <w:t xml:space="preserve"> database. </w:t>
      </w:r>
    </w:p>
    <w:p w14:paraId="64779852" w14:textId="77777777" w:rsidR="00086155" w:rsidRPr="009867C1" w:rsidRDefault="00086155" w:rsidP="00086155"/>
    <w:p w14:paraId="5B1B7028" w14:textId="37778276" w:rsidR="00086155" w:rsidRPr="009867C1" w:rsidRDefault="00086155" w:rsidP="00086155">
      <w:pPr>
        <w:pStyle w:val="Heading4"/>
      </w:pPr>
      <w:bookmarkStart w:id="219" w:name="_Toc99385480"/>
      <w:r w:rsidRPr="009867C1">
        <w:t>Statistical Analysis</w:t>
      </w:r>
      <w:bookmarkEnd w:id="219"/>
      <w:r w:rsidRPr="009867C1">
        <w:t xml:space="preserve"> </w:t>
      </w:r>
    </w:p>
    <w:p w14:paraId="46AA9DBA" w14:textId="0926D9EE" w:rsidR="00086155" w:rsidRPr="009867C1" w:rsidRDefault="00086155" w:rsidP="00086155">
      <w:pPr>
        <w:ind w:firstLine="720"/>
      </w:pPr>
      <w:r w:rsidRPr="009867C1">
        <w:t>Two datasets were considered in this study: one along a regional gradient of salmon density (‘regional gradient data’) and the other a comparison between sites above and below salmon-blocking waterfalls (‘above/below’ data). Each sample consisted of two soil depths (forest floor, FF, and organic, O</w:t>
      </w:r>
      <w:r w:rsidR="00170047">
        <w:t>)</w:t>
      </w:r>
      <w:r w:rsidRPr="009867C1">
        <w:t xml:space="preserve">. To visualize total amplicon read and taxonomic distribution, heat trees were plotted using the R packages </w:t>
      </w:r>
      <w:r w:rsidRPr="009867C1">
        <w:rPr>
          <w:i/>
        </w:rPr>
        <w:t xml:space="preserve">phyloseq </w:t>
      </w:r>
      <w:r w:rsidRPr="009867C1">
        <w:fldChar w:fldCharType="begin"/>
      </w:r>
      <w:r w:rsidR="00AC0205">
        <w:instrText xml:space="preserve"> ADDIN ZOTERO_ITEM CSL_CITATION {"citationID":"kqv2c6Yk","properties":{"formattedCitation":"(McMurdie &amp; Holmes, 2013)","plainCitation":"(McMurdie &amp; Holmes, 2013)","noteIndex":0},"citationItems":[{"id":2166,"uris":["http://zotero.org/users/2189142/items/NG9WI296"],"itemData":{"id":2166,"type":"article-journal","abstract":"Background The analysis of microbial communities through DNA sequencing brings many challenges: the integration of different types of data with methods from ecology, genetics, phylogenetics, multivariate statistics, visualization and testing. With the increased breadth of experimental designs now being pursued, project-specific statistical analyses are often needed, and these analyses are often difficult (or impossible) for peer researchers to independently reproduce. The vast majority of the requisite tools for performing these analyses reproducibly are already implemented in R and its extensions (packages), but with limited support for high throughput microbiome census data. Results Here we describe a software project, phyloseq, dedicated to the object-oriented representation and analysis of microbiome census data in R. It supports importing data from a variety of common formats, as well as many analysis techniques. These include calibration, filtering, subsetting, agglomeration, multi-table comparisons, diversity analysis, parallelized Fast UniFrac, ordination methods, and production of publication-quality graphics; all in a manner that is easy to document, share, and modify. We show how to apply functions from other R packages to phyloseq-represented data, illustrating the availability of a large number of open source analysis techniques. We discuss the use of phyloseq with tools for reproducible research, a practice common in other fields but still rare in the analysis of highly parallel microbiome census data. We have made available all of the materials necessary to completely reproduce the analysis and figures included in this article, an example of best practices for reproducible research. Conclusions The phyloseq project for R is a new open-source software package, freely available on the web from both GitHub and Bioconductor.","container-title":"PLOS ONE","DOI":"10.1371/journal.pone.0061217","ISSN":"1932-6203","issue":"4","journalAbbreviation":"PLOS ONE","language":"en","note":"publisher: Public Library of Science","page":"e61217","source":"PLoS Journals","title":"phyloseq: An R Package for Reproducible Interactive Analysis and Graphics of Microbiome Census Data","title-short":"phyloseq","volume":"8","author":[{"family":"McMurdie","given":"Paul J."},{"family":"Holmes","given":"Susan"}],"issued":{"date-parts":[["2013",4,22]]},"citation-key":"mcmurdie_2013"}}],"schema":"https://github.com/citation-style-language/schema/raw/master/csl-citation.json"} </w:instrText>
      </w:r>
      <w:r w:rsidRPr="009867C1">
        <w:fldChar w:fldCharType="separate"/>
      </w:r>
      <w:r w:rsidR="0042141C" w:rsidRPr="009867C1">
        <w:t>(McMurdie &amp; Holmes, 2013)</w:t>
      </w:r>
      <w:r w:rsidRPr="009867C1">
        <w:fldChar w:fldCharType="end"/>
      </w:r>
      <w:r w:rsidRPr="009867C1">
        <w:t xml:space="preserve">, </w:t>
      </w:r>
      <w:r w:rsidRPr="009867C1">
        <w:rPr>
          <w:i/>
        </w:rPr>
        <w:t>taxa</w:t>
      </w:r>
      <w:r w:rsidRPr="009867C1">
        <w:t xml:space="preserve"> </w:t>
      </w:r>
      <w:r w:rsidRPr="009867C1">
        <w:fldChar w:fldCharType="begin"/>
      </w:r>
      <w:r w:rsidR="00AC0205">
        <w:instrText xml:space="preserve"> ADDIN ZOTERO_ITEM CSL_CITATION {"citationID":"Mhkiynuq","properties":{"formattedCitation":"(Z. S. Foster et al., 2018)","plainCitation":"(Z. S. Foster et al., 2018)","noteIndex":0},"citationItems":[{"id":2165,"uris":["http://zotero.org/users/2189142/items/JKPVRFB2"],"itemData":{"id":2165,"type":"article-journal","container-title":"F1000Research","note":"publisher: Faculty of 1000 Ltd","source":"Google Scholar","title":"Taxa: An R package implementing data standards and methods for taxonomic data","title-short":"Taxa","volume":"7","author":[{"family":"Foster","given":"Zachary SL"},{"family":"Chamberlain","given":"Scott"},{"family":"Grünwald","given":"Niklaus J."}],"issued":{"date-parts":[["2018"]]},"citation-key":"foster_2018"}}],"schema":"https://github.com/citation-style-language/schema/raw/master/csl-citation.json"} </w:instrText>
      </w:r>
      <w:r w:rsidRPr="009867C1">
        <w:fldChar w:fldCharType="separate"/>
      </w:r>
      <w:r w:rsidR="0042141C" w:rsidRPr="009867C1">
        <w:t>(Z. S. Foster et al., 2018)</w:t>
      </w:r>
      <w:r w:rsidRPr="009867C1">
        <w:fldChar w:fldCharType="end"/>
      </w:r>
      <w:r w:rsidRPr="009867C1">
        <w:t xml:space="preserve"> and </w:t>
      </w:r>
      <w:r w:rsidRPr="009867C1">
        <w:rPr>
          <w:i/>
        </w:rPr>
        <w:t>metacodeR</w:t>
      </w:r>
      <w:r w:rsidRPr="009867C1">
        <w:t xml:space="preserve"> </w:t>
      </w:r>
      <w:r w:rsidRPr="009867C1">
        <w:fldChar w:fldCharType="begin"/>
      </w:r>
      <w:r w:rsidR="00AC0205">
        <w:instrText xml:space="preserve"> ADDIN ZOTERO_ITEM CSL_CITATION {"citationID":"DO6q34ao","properties":{"formattedCitation":"(Z. S. Foster et al., 2017)","plainCitation":"(Z. S. Foster et al., 2017)","noteIndex":0},"citationItems":[{"id":2318,"uris":["http://zotero.org/users/2189142/items/Z8EKZM8C"],"itemData":{"id":2318,"type":"article-journal","container-title":"PLoS computational biology","issue":"2","note":"publisher: Public Library of Science","page":"e1005404","source":"Google Scholar","title":"Metacoder: an R package for visualization and manipulation of community taxonomic diversity data","title-short":"Metacoder","volume":"13","author":[{"family":"Foster","given":"Zachary SL"},{"family":"Sharpton","given":"Thomas J."},{"family":"Grünwald","given":"Niklaus J."}],"issued":{"date-parts":[["2017"]]},"citation-key":"foster_2017"}}],"schema":"https://github.com/citation-style-language/schema/raw/master/csl-citation.json"} </w:instrText>
      </w:r>
      <w:r w:rsidRPr="009867C1">
        <w:fldChar w:fldCharType="separate"/>
      </w:r>
      <w:r w:rsidR="0042141C" w:rsidRPr="009867C1">
        <w:t>(Z. S. Foster et al., 2017)</w:t>
      </w:r>
      <w:r w:rsidRPr="009867C1">
        <w:fldChar w:fldCharType="end"/>
      </w:r>
      <w:r w:rsidRPr="009867C1">
        <w:t>.</w:t>
      </w:r>
    </w:p>
    <w:p w14:paraId="1A71B154" w14:textId="4E85D0B9" w:rsidR="00086155" w:rsidRPr="009867C1" w:rsidRDefault="00F83010" w:rsidP="00086155">
      <w:pPr>
        <w:ind w:firstLine="720"/>
      </w:pPr>
      <w:r>
        <w:t>Three</w:t>
      </w:r>
      <w:r w:rsidR="00086155" w:rsidRPr="009867C1">
        <w:t xml:space="preserve"> community metrics were chosen as response variables to compare bacterial communities: species richness, Shannon’s diversity index, and phylogenetic dispersion. Three approaches were used to examine these relationships: i. simple bivariate comparisons; ii. hypothesis testing via a GLM approach, which allowed for the consideration of a subset of covariates chosen from consideration of past work at these sites; and iii. an exploratory approach using random forest models with a wider set of covariates. </w:t>
      </w:r>
    </w:p>
    <w:p w14:paraId="16ACA54E" w14:textId="77777777" w:rsidR="00086155" w:rsidRPr="009867C1" w:rsidRDefault="00086155" w:rsidP="00086155">
      <w:pPr>
        <w:ind w:firstLine="720"/>
      </w:pPr>
      <w:r w:rsidRPr="009867C1">
        <w:t>First, to most directly examine the effects of salmon density in the regional data on bacterial communities, response variables were plotted against salmon density and loess curves drawn to visualize trends.  Above/below data was visualized with Tukey boxplots and hypothesis testing performed by paired Wilcoxon tests.</w:t>
      </w:r>
    </w:p>
    <w:p w14:paraId="784E673E" w14:textId="5F796489" w:rsidR="00086155" w:rsidRPr="009867C1" w:rsidRDefault="00086155" w:rsidP="00086155">
      <w:pPr>
        <w:ind w:firstLine="720"/>
      </w:pPr>
      <w:r w:rsidRPr="009867C1">
        <w:t xml:space="preserve">Second, hypothesis testing was accomplished using a GLM model-averaging framework. GLMs were constructed with the equation </w:t>
      </w:r>
      <m:oMath>
        <m:sSub>
          <m:sSubPr>
            <m:ctrlPr>
              <w:rPr>
                <w:rFonts w:ascii="Cambria Math" w:hAnsi="Cambria Math"/>
                <w:i/>
              </w:rPr>
            </m:ctrlPr>
          </m:sSubPr>
          <m:e>
            <m:r>
              <w:rPr>
                <w:rFonts w:ascii="Cambria Math" w:hAnsi="Cambria Math"/>
              </w:rPr>
              <m:t>Community metric</m:t>
            </m:r>
          </m:e>
          <m:sub>
            <m:r>
              <w:rPr>
                <w:rFonts w:ascii="Cambria Math" w:hAnsi="Cambria Math"/>
              </w:rPr>
              <m:t>i</m:t>
            </m:r>
          </m:sub>
        </m:sSub>
        <m:r>
          <w:rPr>
            <w:rFonts w:ascii="Cambria Math" w:hAnsi="Cambria Math"/>
          </w:rPr>
          <m:t xml:space="preserve"> ~ salmon density+soil type+ nearest focal tree+moss percent cover PCA1+</m:t>
        </m:r>
        <m:r>
          <w:rPr>
            <w:rFonts w:ascii="Cambria Math" w:hAnsi="Cambria Math"/>
          </w:rPr>
          <m:t>herb percent cover PCA1+shrub</m:t>
        </m:r>
        <m:r>
          <w:rPr>
            <w:rFonts w:ascii="Cambria Math" w:eastAsiaTheme="minorEastAsia" w:hAnsi="Cambria Math"/>
          </w:rPr>
          <m:t xml:space="preserve"> influence index PCA1+tree influence index PCA1</m:t>
        </m:r>
      </m:oMath>
      <w:r w:rsidRPr="009867C1">
        <w:rPr>
          <w:rFonts w:eastAsiaTheme="minorEastAsia"/>
        </w:rPr>
        <w:t xml:space="preserve"> for every taxonomic group </w:t>
      </w:r>
      <w:r w:rsidRPr="009867C1">
        <w:rPr>
          <w:rFonts w:eastAsiaTheme="minorEastAsia"/>
          <w:i/>
        </w:rPr>
        <w:t>i</w:t>
      </w:r>
      <w:r w:rsidRPr="009867C1">
        <w:rPr>
          <w:rFonts w:eastAsiaTheme="minorEastAsia"/>
        </w:rPr>
        <w:t>.</w:t>
      </w:r>
      <w:r w:rsidRPr="009867C1">
        <w:t xml:space="preserve">  Gaussian and Gamma families were considered, and identity, log, and inverse link functions chosen where appropriate on domain and model fit. Collinearity and model assumptions were checked visually using the R packages </w:t>
      </w:r>
      <w:r w:rsidRPr="009867C1">
        <w:rPr>
          <w:i/>
        </w:rPr>
        <w:t>DHARMa</w:t>
      </w:r>
      <w:r w:rsidRPr="009867C1">
        <w:t xml:space="preserve"> </w:t>
      </w:r>
      <w:r w:rsidRPr="009867C1">
        <w:fldChar w:fldCharType="begin"/>
      </w:r>
      <w:r w:rsidR="00AC0205">
        <w:instrText xml:space="preserve"> ADDIN ZOTERO_ITEM CSL_CITATION {"citationID":"SRqtEYQi","properties":{"formattedCitation":"(Hartig, 2020)","plainCitation":"(Hartig, 2020)","noteIndex":0},"citationItems":[{"id":2555,"uris":["http://zotero.org/users/2189142/items/J6SKBW6A"],"itemData":{"id":2555,"type":"book","title":"DHARMa: Residual Diagnostics for Hierarchical (Multi-Level / Mixed) Regression Models","URL":"https://CRAN.R-project.org/package=DHARMa","author":[{"family":"Hartig","given":"Florian"}],"issued":{"date-parts":[["2020"]]},"citation-key":"hartig_2020"}}],"schema":"https://github.com/citation-style-language/schema/raw/master/csl-citation.json"} </w:instrText>
      </w:r>
      <w:r w:rsidRPr="009867C1">
        <w:fldChar w:fldCharType="separate"/>
      </w:r>
      <w:r w:rsidR="0042141C" w:rsidRPr="009867C1">
        <w:t>(Hartig, 2020)</w:t>
      </w:r>
      <w:r w:rsidRPr="009867C1">
        <w:fldChar w:fldCharType="end"/>
      </w:r>
      <w:r w:rsidRPr="009867C1">
        <w:t xml:space="preserve"> and </w:t>
      </w:r>
      <w:r w:rsidRPr="009867C1">
        <w:rPr>
          <w:i/>
        </w:rPr>
        <w:t>performance</w:t>
      </w:r>
      <w:r w:rsidRPr="009867C1">
        <w:t xml:space="preserve"> </w:t>
      </w:r>
      <w:r w:rsidRPr="009867C1">
        <w:fldChar w:fldCharType="begin"/>
      </w:r>
      <w:r w:rsidR="00AC0205">
        <w:instrText xml:space="preserve"> ADDIN ZOTERO_ITEM CSL_CITATION {"citationID":"vIZNQjy9","properties":{"formattedCitation":"(L\\uc0\\u252{}decke et al., 2020)","plainCitation":"(Lüdecke et al., 2020)","noteIndex":0},"citationItems":[{"id":2556,"uris":["http://zotero.org/users/2189142/items/BWU2HGKS"],"itemData":{"id":2556,"type":"article-journal","container-title":"CRAN","DOI":"10.5281/zenodo.3952174","title":"performance: Assessment of Regression Models Performance","URL":"https://easystats.github.io/performance/","author":[{"family":"Lüdecke","given":"Daniel"},{"family":"Makowski","given":"Dominique"},{"family":"Waggoner","given":"Philip"},{"family":"Patil","given":"Indrajeet"}],"issued":{"date-parts":[["2020"]]},"citation-key":"ludecke_2020"}}],"schema":"https://github.com/citation-style-language/schema/raw/master/csl-citation.json"} </w:instrText>
      </w:r>
      <w:r w:rsidRPr="009867C1">
        <w:fldChar w:fldCharType="separate"/>
      </w:r>
      <w:r w:rsidR="0042141C" w:rsidRPr="009867C1">
        <w:t>(Lüdecke et al., 2020)</w:t>
      </w:r>
      <w:r w:rsidRPr="009867C1">
        <w:fldChar w:fldCharType="end"/>
      </w:r>
      <w:r w:rsidRPr="009867C1">
        <w:t xml:space="preserve">. Since </w:t>
      </w:r>
      <w:r w:rsidR="00F42F77">
        <w:t>I was</w:t>
      </w:r>
      <w:r w:rsidRPr="009867C1">
        <w:t xml:space="preserve"> concerned primarily with the sign and direction of effects, a m</w:t>
      </w:r>
      <w:r w:rsidRPr="009867C1">
        <w:rPr>
          <w:rFonts w:eastAsiaTheme="minorEastAsia"/>
        </w:rPr>
        <w:t xml:space="preserve">odel averaging approach was used using the MuMIn package in R </w:t>
      </w:r>
      <w:r w:rsidRPr="009867C1">
        <w:rPr>
          <w:rFonts w:eastAsiaTheme="minorEastAsia"/>
        </w:rPr>
        <w:fldChar w:fldCharType="begin"/>
      </w:r>
      <w:r w:rsidR="00AC0205">
        <w:rPr>
          <w:rFonts w:eastAsiaTheme="minorEastAsia"/>
        </w:rPr>
        <w:instrText xml:space="preserve"> ADDIN ZOTERO_ITEM CSL_CITATION {"citationID":"eQDXIVUZ","properties":{"formattedCitation":"(Barton, 2020)","plainCitation":"(Barton, 2020)","noteIndex":0},"citationItems":[{"id":2612,"uris":["http://zotero.org/users/2189142/items/XEQ99PYQ"],"itemData":{"id":2612,"type":"book","title":"MuMIn: Multi-Model Inference","URL":"https://CRAN.R-project.org/package=MuMIn","author":[{"family":"Barton","given":"Kamil"}],"issued":{"date-parts":[["2020"]]},"citation-key":"barton_2020"}}],"schema":"https://github.com/citation-style-language/schema/raw/master/csl-citation.json"} </w:instrText>
      </w:r>
      <w:r w:rsidRPr="009867C1">
        <w:rPr>
          <w:rFonts w:eastAsiaTheme="minorEastAsia"/>
        </w:rPr>
        <w:fldChar w:fldCharType="separate"/>
      </w:r>
      <w:r w:rsidR="0042141C" w:rsidRPr="009867C1">
        <w:t>(Barton, 2020)</w:t>
      </w:r>
      <w:r w:rsidRPr="009867C1">
        <w:rPr>
          <w:rFonts w:eastAsiaTheme="minorEastAsia"/>
        </w:rPr>
        <w:fldChar w:fldCharType="end"/>
      </w:r>
      <w:r w:rsidRPr="009867C1">
        <w:rPr>
          <w:rFonts w:eastAsiaTheme="minorEastAsia"/>
        </w:rPr>
        <w:t xml:space="preserve">. All models were included in final coefficient estimates, weighted in proportion to their AICc values using conditional averaging </w:t>
      </w:r>
      <w:r w:rsidRPr="009867C1">
        <w:rPr>
          <w:rFonts w:eastAsiaTheme="minorEastAsia"/>
        </w:rPr>
        <w:fldChar w:fldCharType="begin"/>
      </w:r>
      <w:r w:rsidR="00AC0205">
        <w:rPr>
          <w:rFonts w:eastAsiaTheme="minorEastAsia"/>
        </w:rPr>
        <w:instrText xml:space="preserve"> ADDIN ZOTERO_ITEM CSL_CITATION {"citationID":"o1CcYpxC","properties":{"formattedCitation":"(Galipaud et al., 2014)","plainCitation":"(Galipaud et al., 2014)","noteIndex":0},"citationItems":[{"id":1652,"uris":["http://zotero.org/users/2189142/items/B7S9ZVCA"],"itemData":{"id":1652,"type":"article-journal","abstract":"Information-theory procedures are powerful tools for multimodel inference and are now standard methods in ecology. When performing model averaging on a given set of models, the importance of a predictor variable is commonly estimated by summing the weights of models where the variable appears, the so-called sum of weights (SW). However, SWs have received little methodological attention and are frequently misinterpreted. We assessed the reliability of SW by performing model selection and averaging on simulated data sets including variables strongly and weakly correlated to the response variable and a variable unrelated to the response. Our aim was to investigate how useful SWs are to inform about the relative importance of predictor variables. SW can take a wide range of possible values, even for predictor variables unrelated to the response. As a consequence, SW with intermediate values cannot be confidently interpreted as denoting importance for the considered predictor variable. Increasing sample size using an alternative information criterion for model selection or using only a subset of candidate models for model averaging did not qualitatively change our results: a variable of a given effect size can take a wide range of SW values. Contrary to what is assumed in many ecological studies, it seems hazardous to define a threshold for SW above which a variable is considered as having a statistical effect on the response and SW is not a measure of effect size. Although we did not consider every possible condition of analysis, it is likely that in most situations, SW is a poor estimate of variable's importance.","container-title":"Methods in Ecology and Evolution","DOI":"10.1111/2041-210X.12251","ISSN":"2041-210X","issue":"10","language":"en","page":"983-991","source":"Wiley Online Library","title":"Ecologists overestimate the importance of predictor variables in model averaging: a plea for cautious interpretations","title-short":"Ecologists o</w:instrText>
      </w:r>
      <w:r w:rsidR="00AC0205">
        <w:rPr>
          <w:rFonts w:eastAsiaTheme="minorEastAsia" w:hint="eastAsia"/>
        </w:rPr>
        <w:instrText>verestimate the importance of predictor variables in model averaging","volume":"5","author":[{"family":"Galipaud","given":"Matthias"},{"family":"Gillingham","given":"Mark A. F."},{"family":"David","given":"Morgan"},{"family":"Dechaume</w:instrText>
      </w:r>
      <w:r w:rsidR="00AC0205">
        <w:rPr>
          <w:rFonts w:eastAsiaTheme="minorEastAsia" w:hint="eastAsia"/>
        </w:rPr>
        <w:instrText>‐</w:instrText>
      </w:r>
      <w:r w:rsidR="00AC0205">
        <w:rPr>
          <w:rFonts w:eastAsiaTheme="minorEastAsia" w:hint="eastAsia"/>
        </w:rPr>
        <w:instrText>Moncharmont","given"</w:instrText>
      </w:r>
      <w:r w:rsidR="00AC0205">
        <w:rPr>
          <w:rFonts w:eastAsiaTheme="minorEastAsia"/>
        </w:rPr>
        <w:instrText xml:space="preserve">:"François-Xavier"}],"issued":{"date-parts":[["2014"]]},"citation-key":"galipaud_2014"}}],"schema":"https://github.com/citation-style-language/schema/raw/master/csl-citation.json"} </w:instrText>
      </w:r>
      <w:r w:rsidRPr="009867C1">
        <w:rPr>
          <w:rFonts w:eastAsiaTheme="minorEastAsia"/>
        </w:rPr>
        <w:fldChar w:fldCharType="separate"/>
      </w:r>
      <w:r w:rsidR="0042141C" w:rsidRPr="009867C1">
        <w:t>(Galipaud et al., 2014)</w:t>
      </w:r>
      <w:r w:rsidRPr="009867C1">
        <w:rPr>
          <w:rFonts w:eastAsiaTheme="minorEastAsia"/>
        </w:rPr>
        <w:fldChar w:fldCharType="end"/>
      </w:r>
      <w:r w:rsidRPr="009867C1">
        <w:rPr>
          <w:rFonts w:eastAsiaTheme="minorEastAsia"/>
        </w:rPr>
        <w:t>. All explanatory variables were standardized prior to regression to account for differences in scale and units, and s</w:t>
      </w:r>
      <w:r w:rsidRPr="009867C1">
        <w:t xml:space="preserve">tandardized coefficients and their confidence intervals visualized via forestplots </w:t>
      </w:r>
      <w:r w:rsidRPr="009867C1">
        <w:fldChar w:fldCharType="begin"/>
      </w:r>
      <w:r w:rsidR="00AC0205">
        <w:instrText xml:space="preserve"> ADDIN ZOTERO_ITEM CSL_CITATION {"citationID":"Xw4rJwHs","properties":{"formattedCitation":"(Scheinin et al., 2021)","plainCitation":"(Scheinin et al., 2021)","noteIndex":0},"citationItems":[{"id":2553,"uris":["http://zotero.org/users/2189142/items/C58KCMU9"],"itemData":{"id":2553,"type":"book","title":"ggforestplot: Forestplots of Measures of Effects and Their Confidence Intervals","author":[{"family":"Scheinin","given":"Ilari"},{"family":"Kalimeri","given":"Maria"},{"family":"Jagerroos","given":"Vilma"},{"family":"Parkkinen","given":"Juuso"},{"family":"Tikkanen","given":"Emmi"},{"family":"Würtz","given":"Peter"},{"family":"Kangas","given":"Antti"}],"issued":{"date-parts":[["2021"]]},"citation-key":"scheinin_2021"}}],"schema":"https://github.com/citation-style-language/schema/raw/master/csl-citation.json"} </w:instrText>
      </w:r>
      <w:r w:rsidRPr="009867C1">
        <w:fldChar w:fldCharType="separate"/>
      </w:r>
      <w:r w:rsidR="0042141C" w:rsidRPr="009867C1">
        <w:t>(Scheinin et al., 2021)</w:t>
      </w:r>
      <w:r w:rsidRPr="009867C1">
        <w:fldChar w:fldCharType="end"/>
      </w:r>
      <w:r w:rsidRPr="009867C1">
        <w:t xml:space="preserve">. Finally, interpretation of coefficients was aided through inspection of marginal effects with the aid of the </w:t>
      </w:r>
      <w:r w:rsidRPr="009867C1">
        <w:rPr>
          <w:i/>
        </w:rPr>
        <w:t>visreg</w:t>
      </w:r>
      <w:r w:rsidRPr="009867C1">
        <w:t xml:space="preserve"> package </w:t>
      </w:r>
      <w:r w:rsidRPr="009867C1">
        <w:fldChar w:fldCharType="begin"/>
      </w:r>
      <w:r w:rsidR="00AC0205">
        <w:instrText xml:space="preserve"> ADDIN ZOTERO_ITEM CSL_CITATION {"citationID":"SLxLxIhk","properties":{"formattedCitation":"(Breheny &amp; Burchett, 2017)","plainCitation":"(Breheny &amp; Burchett, 2017)","noteIndex":0},"citationItems":[{"id":1581,"uris":["http://zotero.org/users/2189142/items/LPVSCQYU"],"itemData":{"id":1581,"type":"article-journal","abstract":"Regression models allow one to isolate the relationship between the outcome and an explanatory variable while the other variables are held constant. Here, we introduce an R package, visreg, for the convenient visualization of this relationship via short, simple function calls. In addition to estimates of this relationship, the package also provides pointwise conﬁdence bands and partial residuals to allow assessment of variability as well as outliers and other deviations from modeling assumptions. The package provides several options for visualizing models with interactions, including lattice plots, contour plots, and both static and interactive perspective plots. The implementation of the package is designed to be fully object-oriented and interface seamlessly with R’s rich collection of model classes, allowing a consistent interface for visualizing not only linear models, but generalized linear models, proportional hazards models, generalized additive models, robust regression models, and many more.","container-title":"The R Journal","DOI":"10.32614/RJ-2017-046","ISSN":"2073-4859","issue":"2","journalAbbreviation":"The R Journal","language":"en","page":"56","source":"DOI.org (Crossref)","title":"Visualization of Regression Models Using visreg","volume":"9","author":[{"family":"Breheny","given":"Patrick"},{"family":"Burchett","given":"Woodrow"}],"issued":{"date-parts":[["2017"]]},"citation-key":"breheny_2017a"}}],"schema":"https://github.com/citation-style-language/schema/raw/master/csl-citation.json"} </w:instrText>
      </w:r>
      <w:r w:rsidRPr="009867C1">
        <w:fldChar w:fldCharType="separate"/>
      </w:r>
      <w:r w:rsidR="0042141C" w:rsidRPr="009867C1">
        <w:t>(Breheny &amp; Burchett, 2017)</w:t>
      </w:r>
      <w:r w:rsidRPr="009867C1">
        <w:fldChar w:fldCharType="end"/>
      </w:r>
      <w:r w:rsidRPr="009867C1">
        <w:t xml:space="preserve">. </w:t>
      </w:r>
    </w:p>
    <w:p w14:paraId="72DBA16B" w14:textId="35FC07D4" w:rsidR="00086155" w:rsidRPr="009867C1" w:rsidRDefault="00086155" w:rsidP="00086155">
      <w:pPr>
        <w:ind w:firstLine="720"/>
      </w:pPr>
      <w:r w:rsidRPr="009867C1">
        <w:t xml:space="preserve"> Third, t</w:t>
      </w:r>
      <w:r w:rsidRPr="009867C1">
        <w:rPr>
          <w:rFonts w:eastAsiaTheme="minorEastAsia"/>
        </w:rPr>
        <w:t>o assess the relative importance of environmental and soil factors on community response variables, a suite of physical variables (</w:t>
      </w:r>
      <w:r w:rsidR="009D0E16">
        <w:rPr>
          <w:rFonts w:eastAsiaTheme="minorEastAsia"/>
        </w:rPr>
        <w:t>four</w:t>
      </w:r>
      <w:r w:rsidRPr="009867C1">
        <w:rPr>
          <w:rFonts w:eastAsiaTheme="minorEastAsia"/>
        </w:rPr>
        <w:t xml:space="preserve"> variables, including salmon density), chemical variables (21 variables), and vegetation variables (16 variables) (</w:t>
      </w:r>
      <w:r w:rsidR="000E721D" w:rsidRPr="000E721D">
        <w:rPr>
          <w:rFonts w:eastAsiaTheme="minorEastAsia"/>
        </w:rPr>
        <w:t>C</w:t>
      </w:r>
      <w:r w:rsidRPr="000E721D">
        <w:rPr>
          <w:rFonts w:eastAsiaTheme="minorEastAsia"/>
        </w:rPr>
        <w:t>hapter 2</w:t>
      </w:r>
      <w:r w:rsidRPr="009867C1">
        <w:rPr>
          <w:rFonts w:eastAsiaTheme="minorEastAsia"/>
        </w:rPr>
        <w:t xml:space="preserve">) were included in random forest models constructed in R with the </w:t>
      </w:r>
      <w:r w:rsidRPr="009867C1">
        <w:rPr>
          <w:rFonts w:eastAsiaTheme="minorEastAsia"/>
          <w:i/>
        </w:rPr>
        <w:t>caret</w:t>
      </w:r>
      <w:r w:rsidRPr="009867C1">
        <w:rPr>
          <w:rFonts w:eastAsiaTheme="minorEastAsia"/>
        </w:rPr>
        <w:t xml:space="preserve"> and </w:t>
      </w:r>
      <w:r w:rsidRPr="009867C1">
        <w:rPr>
          <w:rFonts w:eastAsiaTheme="minorEastAsia"/>
          <w:i/>
        </w:rPr>
        <w:t>randomForest</w:t>
      </w:r>
      <w:r w:rsidRPr="009867C1">
        <w:rPr>
          <w:rFonts w:eastAsiaTheme="minorEastAsia"/>
        </w:rPr>
        <w:t xml:space="preserve"> packages </w:t>
      </w:r>
      <w:r w:rsidRPr="009867C1">
        <w:rPr>
          <w:rFonts w:eastAsiaTheme="minorEastAsia"/>
        </w:rPr>
        <w:fldChar w:fldCharType="begin"/>
      </w:r>
      <w:r w:rsidR="00AC0205">
        <w:rPr>
          <w:rFonts w:eastAsiaTheme="minorEastAsia"/>
        </w:rPr>
        <w:instrText xml:space="preserve"> ADDIN ZOTERO_ITEM CSL_CITATION {"citationID":"RfrhG5OO","properties":{"formattedCitation":"(Kuhn, 2008; Liaw &amp; Wiener, 2002)","plainCitation":"(Kuhn, 2008; Liaw &amp; Wiener, 2002)","noteIndex":0},"citationItems":[{"id":8,"uris":["http://zotero.org/users/2189142/items/3XNZDZ29"],"itemData":{"id":8,"type":"article-journal","container-title":"Journal of Statistical Software","DOI":"10.18637/jss.v028.i05","ISSN":"1548-7660","issue":"1","language":"en","note":"number: 1","page":"1-26","source":"www.jstatsoft.org","title":"Building Predictive Models in R Using the caret Package","volume":"28","author":[{"family":"Kuhn","given":"Max"}],"issued":{"date-parts":[["2008",11,10]]},"citation-key":"kuhn_2008"}},{"id":7,"uris":["http://zotero.org/users/2189142/items/F4A4NN58"],"itemData":{"id":7,"type":"article-journal","container-title":"R news","issue":"3","page":"18–22","source":"Google Scholar","title":"Classification and regression by randomForest","volume":"2","author":[{"family":"Liaw","given":"Andy"},{"family":"Wiener","given":"Matthew"}],"issued":{"date-parts":[["2002"]]},"citation-key":"liaw_2002"}}],"schema":"https://github.com/citation-style-language/schema/raw/master/csl-citation.json"} </w:instrText>
      </w:r>
      <w:r w:rsidRPr="009867C1">
        <w:rPr>
          <w:rFonts w:eastAsiaTheme="minorEastAsia"/>
        </w:rPr>
        <w:fldChar w:fldCharType="separate"/>
      </w:r>
      <w:r w:rsidR="0042141C" w:rsidRPr="009867C1">
        <w:t>(Kuhn, 2008; Liaw &amp; Wiener, 2002)</w:t>
      </w:r>
      <w:r w:rsidRPr="009867C1">
        <w:rPr>
          <w:rFonts w:eastAsiaTheme="minorEastAsia"/>
        </w:rPr>
        <w:fldChar w:fldCharType="end"/>
      </w:r>
      <w:r w:rsidRPr="009867C1">
        <w:rPr>
          <w:rFonts w:eastAsiaTheme="minorEastAsia"/>
        </w:rPr>
        <w:t xml:space="preserve">. Standardized importance coefficients of these explanatory variables were then visualized via heatmaps. </w:t>
      </w:r>
    </w:p>
    <w:p w14:paraId="6ECC7549" w14:textId="2356F4DB" w:rsidR="00086155" w:rsidRPr="009867C1" w:rsidRDefault="00086155" w:rsidP="00086155">
      <w:pPr>
        <w:ind w:firstLine="720"/>
      </w:pPr>
      <w:r w:rsidRPr="009867C1">
        <w:t xml:space="preserve">Beta diversity was visualized with NDMS plots using standardized Bray-Curtis distance and separate ordinations for each soil depth </w:t>
      </w:r>
      <w:r w:rsidRPr="009867C1">
        <w:fldChar w:fldCharType="begin"/>
      </w:r>
      <w:r w:rsidR="00AC0205">
        <w:instrText xml:space="preserve"> ADDIN ZOTERO_ITEM CSL_CITATION {"citationID":"imr6FSlk","properties":{"formattedCitation":"(Legendre &amp; Legendre, 2012; Lozupone et al., 2011)","plainCitation":"(Legendre &amp; Legendre, 2012; Lozupone et al., 2011)","noteIndex":0},"citationItems":[{"id":141,"uris":["http://zotero.org/users/2189142/items/TR22582P"],"itemData":{"id":141,"type":"book","abstract":"The book describes and discusses the numerical methods which are successfully being used for analysing ecological data, using a clear and comprehensive approach. These methods are derived from the fields of mathematical physics, parametric and nonparametric statistics, information theory, numerical taxonomy, archaeology, psychometry, sociometry, econometry and others.An updated, 3rd English edition of the most widely cited book on quantitative analysis of multivariate ecological dataRelates ecological questions to methods of statistical analysis, with a clear description of complex numerical methodsAll methods are illustrated by examples from the ecological literature so that ecologists clearly see how to use the methods and approaches in their own researchAll calculations are available in R language functions","edition":"3 edition","event-place":"Amsterdam","ISBN":"978-0-444-53868-0","language":"English","number-of-pages":"1006","publisher":"Elsevier","publisher-place":"Amsterdam","source":"Amazon","title":"Numerical Ecology","author":[{"family":"Legendre","given":"Pierre"},{"family":"Legendre","given":"Loic F. J."}],"issued":{"date-parts":[["2012",8,20]]},"citation-key":"legendre_2012"}},{"id":2181,"uris":["http://zotero.org/users/2189142/items/VXH4FLBK"],"itemData":{"id":2181,"type":"article-journal","container-title":"The ISME journal","DOI":"10.1038/ismej.2010.133","ISSN":"1751-7362","issue":"2","journalAbbreviation":"ISME J","note":"PMID: 20827291\nPMCID: PMC3105689","page":"169-172","source":"PubMed Central","title":"UniFrac: an effective distance metric for microbial community comparison","title-short":"UniFrac","volume":"5","author":[{"family":"Lozupone","given":"Catherine"},{"family":"Lladser","given":"Manuel E"},{"family":"Knights","given":"Dan"},{"family":"Stombaugh","given":"Jesse"},{"family":"Knight","given":"Rob"}],"issued":{"date-parts":[["2011",2]]},"citation-key":"lozupone_2011"}}],"schema":"https://github.com/citation-style-language/schema/raw/master/csl-citation.json"} </w:instrText>
      </w:r>
      <w:r w:rsidRPr="009867C1">
        <w:fldChar w:fldCharType="separate"/>
      </w:r>
      <w:r w:rsidR="0042141C" w:rsidRPr="009867C1">
        <w:t>(Legendre &amp; Legendre, 2012; Lozupone et al., 2011)</w:t>
      </w:r>
      <w:r w:rsidRPr="009867C1">
        <w:fldChar w:fldCharType="end"/>
      </w:r>
      <w:r w:rsidRPr="009867C1">
        <w:t xml:space="preserve"> (</w:t>
      </w:r>
      <w:r w:rsidRPr="009867C1">
        <w:fldChar w:fldCharType="begin"/>
      </w:r>
      <w:r w:rsidRPr="009867C1">
        <w:instrText xml:space="preserve"> REF _Ref62037302 \h </w:instrText>
      </w:r>
      <w:r w:rsidR="009867C1">
        <w:instrText xml:space="preserve"> \* MERGEFORMAT </w:instrText>
      </w:r>
      <w:r w:rsidRPr="009867C1">
        <w:fldChar w:fldCharType="separate"/>
      </w:r>
      <w:r w:rsidR="000667DB" w:rsidRPr="009867C1">
        <w:t xml:space="preserve">Figure </w:t>
      </w:r>
      <w:r w:rsidR="000667DB">
        <w:rPr>
          <w:noProof/>
        </w:rPr>
        <w:t>5</w:t>
      </w:r>
      <w:r w:rsidR="000667DB">
        <w:rPr>
          <w:noProof/>
        </w:rPr>
        <w:noBreakHyphen/>
        <w:t>7</w:t>
      </w:r>
      <w:r w:rsidRPr="009867C1">
        <w:fldChar w:fldCharType="end"/>
      </w:r>
      <w:r w:rsidRPr="009867C1">
        <w:t>). NMDS was calculated using 20 iterations and collapsed to</w:t>
      </w:r>
      <w:r w:rsidR="009D0E16">
        <w:t xml:space="preserve"> two</w:t>
      </w:r>
      <w:r w:rsidRPr="009867C1">
        <w:t xml:space="preserve"> dimensions. Significance testing was performed using analysis of variance of distance matrices as implemented in the “adonis2” method in the R package </w:t>
      </w:r>
      <w:r w:rsidRPr="009867C1">
        <w:rPr>
          <w:i/>
        </w:rPr>
        <w:t>vegan</w:t>
      </w:r>
      <w:r w:rsidRPr="009867C1">
        <w:t xml:space="preserve"> </w:t>
      </w:r>
      <w:r w:rsidRPr="009867C1">
        <w:fldChar w:fldCharType="begin"/>
      </w:r>
      <w:r w:rsidR="00AC0205">
        <w:instrText xml:space="preserve"> ADDIN ZOTERO_ITEM CSL_CITATION {"citationID":"DNCsTCDv","properties":{"formattedCitation":"(Oksanen et al., 2013)","plainCitation":"(Oksanen et al., 2013)","noteIndex":0},"citationItems":[{"id":12,"uris":["http://zotero.org/users/2189142/items/UDASSLXM"],"itemData":{"id":12,"type":"article-journal","container-title":"Community ecology package, version","issue":"9","page":"1–295","source":"Google Scholar","title":"Package ‘vegan’","volume":"2","author":[{"family":"Oksanen","given":"Jari"},{"family":"Blanchet","given":"F. Guillaume"},{"family":"Kindt","given":"Roeland"},{"family":"Legendre","given":"Pierre"},{"family":"Minchin","given":"Peter R."},{"family":"O’hara","given":"R. B."},{"family":"Simpson","given":"Gavin L."},{"family":"Solymos","given":"Peter"},{"family":"Stevens","given":"M. Henry H."},{"family":"Wagner","given":"Helene"}],"issued":{"date-parts":[["2013"]]},"citation-key":"oksanen_2013"}}],"schema":"https://github.com/citation-style-language/schema/raw/master/csl-citation.json"} </w:instrText>
      </w:r>
      <w:r w:rsidRPr="009867C1">
        <w:fldChar w:fldCharType="separate"/>
      </w:r>
      <w:r w:rsidR="0042141C" w:rsidRPr="009867C1">
        <w:t>(Oksanen et al., 2013)</w:t>
      </w:r>
      <w:r w:rsidRPr="009867C1">
        <w:fldChar w:fldCharType="end"/>
      </w:r>
      <w:r w:rsidRPr="009867C1">
        <w:t xml:space="preserve">. Effects in the regional gradient data were modelled with the equation  </w:t>
      </w:r>
      <m:oMath>
        <m:r>
          <w:rPr>
            <w:rFonts w:ascii="Cambria Math" w:hAnsi="Cambria Math"/>
          </w:rPr>
          <m:t>Y~ Salmon density+Watershed size PCA1+ Nearest Tree Species</m:t>
        </m:r>
      </m:oMath>
      <w:r w:rsidRPr="009867C1">
        <w:rPr>
          <w:rFonts w:eastAsiaTheme="minorEastAsia"/>
        </w:rPr>
        <w:t>,</w:t>
      </w:r>
      <w:r w:rsidRPr="009867C1">
        <w:t xml:space="preserve"> </w:t>
      </w:r>
      <w:r w:rsidRPr="009867C1">
        <w:rPr>
          <w:rFonts w:eastAsiaTheme="minorEastAsia"/>
        </w:rPr>
        <w:t xml:space="preserve">while for above/below data the formula  </w:t>
      </w:r>
      <m:oMath>
        <m:r>
          <w:rPr>
            <w:rFonts w:ascii="Cambria Math" w:hAnsi="Cambria Math"/>
          </w:rPr>
          <m:t>Y~ Above or below waterfall+ Nearest Tree Species+Soil Type</m:t>
        </m:r>
      </m:oMath>
      <w:r w:rsidRPr="009867C1">
        <w:rPr>
          <w:rFonts w:eastAsiaTheme="minorEastAsia"/>
        </w:rPr>
        <w:t xml:space="preserve"> was used</w:t>
      </w:r>
      <w:r w:rsidRPr="009867C1">
        <w:t xml:space="preserve">. To account for model uncertainty and collinearity between salmon density and watershed size, these analyses were repeated with salmon density or waterfall placed last in the model.  </w:t>
      </w:r>
    </w:p>
    <w:p w14:paraId="34BC759E" w14:textId="2DD48742" w:rsidR="00086155" w:rsidRPr="009867C1" w:rsidRDefault="008B2297" w:rsidP="00086155">
      <w:pPr>
        <w:ind w:firstLine="720"/>
      </w:pPr>
      <w:r w:rsidRPr="009867C1">
        <w:t xml:space="preserve">Differential composition analysis was conducted using the </w:t>
      </w:r>
      <w:r>
        <w:rPr>
          <w:i/>
        </w:rPr>
        <w:t xml:space="preserve">MaAsLin2 </w:t>
      </w:r>
      <w:r>
        <w:t>package</w:t>
      </w:r>
      <w:r w:rsidRPr="009867C1">
        <w:t xml:space="preserve"> </w:t>
      </w:r>
      <w:r>
        <w:fldChar w:fldCharType="begin"/>
      </w:r>
      <w:r w:rsidR="00AC0205">
        <w:instrText xml:space="preserve"> ADDIN ZOTERO_ITEM CSL_CITATION {"citationID":"YimJgl0Y","properties":{"formattedCitation":"(Mallick et al., 2021)","plainCitation":"(Mallick et al., 2021)","noteIndex":0},"citationItems":[{"id":10623,"uris":["http://zotero.org/users/2189142/items/TBLCB33H"],"itemData":{"id":10623,"type":"report","abstract":"It is challenging to associate features such as human health outcomes, diet, environmental conditions, or other metadata to microbial community measurements, due in part to their quantitative properties. Microbiome multi-omics are typically noisy, sparse (zero-inflated), high-dimensional, extremely non-normal, and often in the form of count or compositional measurements. Here we introduce an optimized combination of novel and established methodology to assess multivariable association of microbial community features with complex metadata in population-scale observational studies. Our approach, MaAsLin 2 (Microbiome Multivariable Associations with Linear Models), uses general linear models to accommodate a wide variety of modern epidemiological studies, including cross-sectional and longitudinal designs, as well as a variety of data types (e.g. counts and relative abundances) with or without covariates and repeated measurements. To construct this method, we conducted a large-scale evaluation of a broad range of scenarios under which straightforward identification of meta-omics associations can be challenging. These simulation studies reveal that MaAsLin 2’s linear model preserves statistical power in the presence of repeated measures and multiple covariates, while accounting for the nuances of meta-omics features and controlling false discovery. We also applied MaAsLin 2 to a microbial multi-omics dataset from the Integrative Human Microbiome (HMP2) project which, in addition to reproducing established results, revealed a unique, integrated landscape of inflammatory bowel disease (IBD) across multiple time points and omics profiles.","language":"en","note":"Company: Cold Spring Harbor Laboratory\nDOI: 10.1101/2021.01.20.427420\nDistributor: Cold Spring Harbor Laboratory\nLabel: Cold Spring Harbor Laboratory\nsection: New Results\ntype: article","page":"2021.01.20.427420","source":"bioRxiv","title":"Multivariable Association Discovery in Population-scale Meta-omics Studies","URL":"https://www.biorxiv.org/content/10.1101/2021.01.20.427420v1","author":[{"family":"Mallick","given":"Himel"},{"family":"Rahnavard","given":"Ali"},{"family":"McIver","given":"Lauren J."},{"family":"Ma","given":"Siyuan"},{"family":"Zhang","given":"Yancong"},{"family":"Nguyen","given":"Long H."},{"family":"Tickle","given":"Timothy L."},{"family":"Weingart","given":"George"},{"family":"Ren","given":"Boyu"},{"family":"Schwager","given":"Emma H."},{"family":"Chatterjee","given":"Suvo"},{"family":"Thompson","given":"Kelsey N."},{"family":"Wilkinson","given":"Jeremy E."},{"family":"Subramanian","given":"Ayshwarya"},{"family":"Lu","given":"Yiren"},{"family":"Waldron","given":"Levi"},{"family":"Paulson","given":"Joseph N."},{"family":"Franzosa","given":"Eric A."},{"family":"Bravo","given":"Hector Corrada"},{"family":"Huttenhower","given":"Curtis"}],"accessed":{"date-parts":[["2021",10,19]]},"issued":{"date-parts":[["2021",1,20]]},"citation-key":"mallick_2021"}}],"schema":"https://github.com/citation-style-language/schema/raw/master/csl-citation.json"} </w:instrText>
      </w:r>
      <w:r>
        <w:fldChar w:fldCharType="separate"/>
      </w:r>
      <w:r w:rsidRPr="00E80CC8">
        <w:t>(Mallick et al., 2021)</w:t>
      </w:r>
      <w:r>
        <w:fldChar w:fldCharType="end"/>
      </w:r>
      <w:r>
        <w:t xml:space="preserve">. </w:t>
      </w:r>
      <w:r w:rsidR="00067572" w:rsidRPr="009867C1">
        <w:t xml:space="preserve">ASV tables were filtered by removing all taxa in fewer than 5% of samples and abundance fewer than 10 reads across all samples </w:t>
      </w:r>
      <w:r w:rsidR="00067572" w:rsidRPr="009867C1">
        <w:fldChar w:fldCharType="begin"/>
      </w:r>
      <w:r w:rsidR="00AC0205">
        <w:instrText xml:space="preserve"> ADDIN ZOTERO_ITEM CSL_CITATION {"citationID":"cd2B3NS7","properties":{"formattedCitation":"(Callahan, Sankaran, et al., 2016)","plainCitation":"(Callahan, Sankaran, et al., 2016)","noteIndex":0},"citationItems":[{"id":2211,"uris":["http://zotero.org/users/2189142/items/YNS4JRQQ"],"itemData":{"id":2211,"type":"article-journal","abstract":"High-throughput sequencing of PCR-amplified taxonomic markers (like the 16S rRNA gene) has enabled a new level of analysis of complex bacterial communities known as microbiomes. Many tools exist to quantify and compare abundance levels or OTU composition of communities in different conditions. The sequencing reads have to be denoised and assigned to the closest taxa from a reference database. Common approaches use a notion of 97% similarity and normalize the data by subsampling to equalize library sizes. In this paper, we show that statistical models allow more accurate abundance estimates. By providing a complete workflow in R, we enable the user to do sophisticated downstream statistical analyses, whether parametric or nonparametric. We provide examples of using the R packages dada2, phyloseq, DESeq2, ggplot2 and vegan to filter, visualize and test microbiome data. We also provide examples of supervised analyses using random forests and nonparametric testing using community networks and the ggnetwork package.","container-title":"F1000Research","DOI":"10.12688/f1000research.8986.2","ISSN":"2046-1402","journalAbbreviation":"F1000Res","language":"en","page":"1492","source":"DOI.org (Crossref)","title":"Bioconductor Workflow for Microbiome Data Analysis: from raw reads to community analyses","title-short":"Bioconductor Workflow for Microbiome Data Analysis","volume":"5","author":[{"family":"Callahan","given":"Ben J."},{"family":"Sankaran","given":"Kris"},{"family":"Fukuyama","given":"Julia A."},{"family":"McMurdie","given":"Paul J."},{"family":"Holmes","given":"Susan P."}],"issued":{"date-parts":[["2016",11,2]]},"citation-key":"callahan_2016"}}],"schema":"https://github.com/citation-style-language/schema/raw/master/csl-citation.json"} </w:instrText>
      </w:r>
      <w:r w:rsidR="00067572" w:rsidRPr="009867C1">
        <w:fldChar w:fldCharType="separate"/>
      </w:r>
      <w:r w:rsidR="00067572" w:rsidRPr="009867C1">
        <w:t>(Callahan, Sankaran, et al., 2016)</w:t>
      </w:r>
      <w:r w:rsidR="00067572" w:rsidRPr="009867C1">
        <w:fldChar w:fldCharType="end"/>
      </w:r>
      <w:r w:rsidR="00067572" w:rsidRPr="009867C1">
        <w:t>.</w:t>
      </w:r>
      <w:r w:rsidR="00067572">
        <w:t xml:space="preserve"> </w:t>
      </w:r>
      <w:r w:rsidR="00067572" w:rsidRPr="009867C1">
        <w:t xml:space="preserve">Gradient data was modelled as a </w:t>
      </w:r>
      <w:r w:rsidR="00067572">
        <w:t>linear</w:t>
      </w:r>
      <w:r w:rsidR="00067572" w:rsidRPr="009867C1">
        <w:t xml:space="preserve"> function of salmon density, and above/below data as a function of being above or below the respective waterfall, using </w:t>
      </w:r>
      <w:r w:rsidR="00067572">
        <w:t xml:space="preserve">centered </w:t>
      </w:r>
      <w:r w:rsidR="00067572" w:rsidRPr="009867C1">
        <w:t xml:space="preserve">log-transform </w:t>
      </w:r>
      <w:r w:rsidR="00067572">
        <w:t xml:space="preserve">(CLT) on ASV reads </w:t>
      </w:r>
      <w:r w:rsidR="00067572" w:rsidRPr="009867C1">
        <w:t>for each case.</w:t>
      </w:r>
      <w:r w:rsidR="00067572">
        <w:t xml:space="preserve"> </w:t>
      </w:r>
      <w:r w:rsidRPr="009867C1">
        <w:t>Forest floor and organic soils were treated separately</w:t>
      </w:r>
      <w:r w:rsidR="00067572">
        <w:t>, resulting in four</w:t>
      </w:r>
      <w:r w:rsidRPr="009867C1">
        <w:t xml:space="preserve"> final models. Since </w:t>
      </w:r>
      <w:r w:rsidRPr="00774B95">
        <w:rPr>
          <w:i/>
          <w:iCs/>
        </w:rPr>
        <w:t>MaAsLin2</w:t>
      </w:r>
      <w:r>
        <w:t xml:space="preserve"> </w:t>
      </w:r>
      <w:r w:rsidRPr="009867C1">
        <w:t xml:space="preserve">assigns coefficients on the ASV level, coefficients for non-tip taxa as well as taxa that were represented by multiple ASVs were constructed by taking the average of the coefficients of contributing ASVs weighted by the </w:t>
      </w:r>
      <w:r>
        <w:t>relative</w:t>
      </w:r>
      <w:r w:rsidRPr="009867C1">
        <w:t xml:space="preserve"> abundance among significant taxa.</w:t>
      </w:r>
      <w:r w:rsidR="00086155" w:rsidRPr="009867C1">
        <w:t xml:space="preserve"> Finally, coefficients were again visualized in their phylogenetic context via heat trees using the </w:t>
      </w:r>
      <w:r w:rsidR="00086155" w:rsidRPr="009867C1">
        <w:rPr>
          <w:i/>
        </w:rPr>
        <w:t>metacodeR</w:t>
      </w:r>
      <w:r w:rsidR="00086155" w:rsidRPr="009867C1">
        <w:t xml:space="preserve"> package </w:t>
      </w:r>
      <w:r w:rsidR="00086155" w:rsidRPr="009867C1">
        <w:fldChar w:fldCharType="begin"/>
      </w:r>
      <w:r w:rsidR="00AC0205">
        <w:instrText xml:space="preserve"> ADDIN ZOTERO_ITEM CSL_CITATION {"citationID":"yvGPT8p7","properties":{"formattedCitation":"(Z. S. Foster et al., 2017)","plainCitation":"(Z. S. Foster et al., 2017)","noteIndex":0},"citationItems":[{"id":2318,"uris":["http://zotero.org/users/2189142/items/Z8EKZM8C"],"itemData":{"id":2318,"type":"article-journal","container-title":"PLoS computational biology","issue":"2","note":"publisher: Public Library of Science","page":"e1005404","source":"Google Scholar","title":"Metacoder: an R package for visualization and manipulation of community taxonomic diversity data","title-short":"Metacoder","volume":"13","author":[{"family":"Foster","given":"Zachary SL"},{"family":"Sharpton","given":"Thomas J."},{"family":"Grünwald","given":"Niklaus J."}],"issued":{"date-parts":[["2017"]]},"citation-key":"foster_2017"}}],"schema":"https://github.com/citation-style-language/schema/raw/master/csl-citation.json"} </w:instrText>
      </w:r>
      <w:r w:rsidR="00086155" w:rsidRPr="009867C1">
        <w:fldChar w:fldCharType="separate"/>
      </w:r>
      <w:r w:rsidR="0042141C" w:rsidRPr="009867C1">
        <w:t>(Z. S. Foster et al., 2017)</w:t>
      </w:r>
      <w:r w:rsidR="00086155" w:rsidRPr="009867C1">
        <w:fldChar w:fldCharType="end"/>
      </w:r>
      <w:r w:rsidR="00086155" w:rsidRPr="009867C1">
        <w:t xml:space="preserve">. </w:t>
      </w:r>
    </w:p>
    <w:p w14:paraId="3CF9113B" w14:textId="77777777" w:rsidR="00086155" w:rsidRPr="009867C1" w:rsidRDefault="00086155" w:rsidP="00086155"/>
    <w:p w14:paraId="3A16CE50" w14:textId="77777777" w:rsidR="00086155" w:rsidRPr="009867C1" w:rsidRDefault="00086155" w:rsidP="00086155">
      <w:pPr>
        <w:pStyle w:val="Heading3"/>
        <w:rPr>
          <w:lang w:val="en-CA"/>
        </w:rPr>
      </w:pPr>
      <w:bookmarkStart w:id="220" w:name="_Toc99385481"/>
      <w:r w:rsidRPr="009867C1">
        <w:rPr>
          <w:lang w:val="en-CA"/>
        </w:rPr>
        <w:t>Results</w:t>
      </w:r>
      <w:bookmarkEnd w:id="220"/>
    </w:p>
    <w:p w14:paraId="17F5B0A7" w14:textId="77777777" w:rsidR="00086155" w:rsidRPr="009867C1" w:rsidRDefault="00086155" w:rsidP="00086155">
      <w:pPr>
        <w:pStyle w:val="Heading4"/>
      </w:pPr>
      <w:bookmarkStart w:id="221" w:name="_Toc99385482"/>
      <w:r w:rsidRPr="009867C1">
        <w:t>Sequencing and community composition</w:t>
      </w:r>
      <w:bookmarkEnd w:id="221"/>
    </w:p>
    <w:p w14:paraId="4786A520" w14:textId="7652A86D" w:rsidR="00086155" w:rsidRPr="009867C1" w:rsidRDefault="00086155" w:rsidP="00086155">
      <w:pPr>
        <w:ind w:firstLine="720"/>
        <w:rPr>
          <w:rFonts w:eastAsia="Times New Roman"/>
          <w:color w:val="000000"/>
          <w:lang w:eastAsia="en-CA"/>
        </w:rPr>
      </w:pPr>
      <w:r w:rsidRPr="009867C1">
        <w:t xml:space="preserve">A total of 1,298,822 double-stranded Illumina reads were obtained after demultiplexing; after dada2 filtering this resulted in 149,697 reads representing 1750 </w:t>
      </w:r>
      <w:r w:rsidRPr="009867C1">
        <w:rPr>
          <w:rFonts w:eastAsia="Times New Roman"/>
          <w:color w:val="000000"/>
          <w:lang w:eastAsia="en-CA"/>
        </w:rPr>
        <w:t xml:space="preserve">ASVs. Of these 275 were singletons. A total of 1544 (88%) of these ASVs were identified at the kingdom level; 1455 (83%) at the phylum level; 1477 (83%) at the class level; 1396 (80%) at the order level; 1281 (73%) at the family level, 1058 (60%) at the genus level, and 599 (34%) to the species level. At the kingdom level, Bacteria represented </w:t>
      </w:r>
      <w:r w:rsidR="002339BB">
        <w:rPr>
          <w:rFonts w:eastAsia="Times New Roman"/>
          <w:color w:val="000000"/>
          <w:lang w:eastAsia="en-CA"/>
        </w:rPr>
        <w:t>89</w:t>
      </w:r>
      <w:r w:rsidRPr="009867C1">
        <w:rPr>
          <w:rFonts w:eastAsia="Times New Roman"/>
          <w:color w:val="000000"/>
          <w:lang w:eastAsia="en-CA"/>
        </w:rPr>
        <w:t>% of taxa, Arch</w:t>
      </w:r>
      <w:r w:rsidR="005809A4">
        <w:rPr>
          <w:rFonts w:eastAsia="Times New Roman"/>
          <w:color w:val="000000"/>
          <w:lang w:eastAsia="en-CA"/>
        </w:rPr>
        <w:t>a</w:t>
      </w:r>
      <w:r w:rsidRPr="009867C1">
        <w:rPr>
          <w:rFonts w:eastAsia="Times New Roman"/>
          <w:color w:val="000000"/>
          <w:lang w:eastAsia="en-CA"/>
        </w:rPr>
        <w:t>ea 10%, and Eukaryotes 1%. The top phyla represented</w:t>
      </w:r>
      <w:r w:rsidR="002339BB">
        <w:rPr>
          <w:rFonts w:eastAsia="Times New Roman"/>
          <w:color w:val="000000"/>
          <w:lang w:eastAsia="en-CA"/>
        </w:rPr>
        <w:t xml:space="preserve"> by relative abundance</w:t>
      </w:r>
      <w:r w:rsidRPr="009867C1">
        <w:rPr>
          <w:rFonts w:eastAsia="Times New Roman"/>
          <w:color w:val="000000"/>
          <w:lang w:eastAsia="en-CA"/>
        </w:rPr>
        <w:t xml:space="preserve"> were </w:t>
      </w:r>
      <w:r w:rsidRPr="009867C1">
        <w:rPr>
          <w:rFonts w:eastAsia="Times New Roman"/>
          <w:i/>
          <w:iCs/>
          <w:color w:val="000000"/>
          <w:lang w:eastAsia="en-CA"/>
        </w:rPr>
        <w:t>Acidobacteria</w:t>
      </w:r>
      <w:r w:rsidRPr="009867C1">
        <w:rPr>
          <w:rFonts w:eastAsia="Times New Roman"/>
          <w:color w:val="000000"/>
          <w:lang w:eastAsia="en-CA"/>
        </w:rPr>
        <w:t xml:space="preserve"> (</w:t>
      </w:r>
      <w:r w:rsidR="002339BB">
        <w:rPr>
          <w:rFonts w:eastAsia="Times New Roman"/>
          <w:color w:val="000000"/>
          <w:lang w:eastAsia="en-CA"/>
        </w:rPr>
        <w:t>42.9</w:t>
      </w:r>
      <w:r w:rsidRPr="009867C1">
        <w:rPr>
          <w:rFonts w:eastAsia="Times New Roman"/>
          <w:color w:val="000000"/>
          <w:lang w:eastAsia="en-CA"/>
        </w:rPr>
        <w:t xml:space="preserve">%), </w:t>
      </w:r>
      <w:r w:rsidRPr="009867C1">
        <w:rPr>
          <w:rFonts w:eastAsia="Times New Roman"/>
          <w:i/>
          <w:iCs/>
          <w:color w:val="000000"/>
          <w:lang w:eastAsia="en-CA"/>
        </w:rPr>
        <w:t xml:space="preserve">Proteobacteria </w:t>
      </w:r>
      <w:r w:rsidRPr="009867C1">
        <w:rPr>
          <w:rFonts w:eastAsia="Times New Roman"/>
          <w:color w:val="000000"/>
          <w:lang w:eastAsia="en-CA"/>
        </w:rPr>
        <w:t>(19</w:t>
      </w:r>
      <w:r w:rsidR="002339BB">
        <w:rPr>
          <w:rFonts w:eastAsia="Times New Roman"/>
          <w:color w:val="000000"/>
          <w:lang w:eastAsia="en-CA"/>
        </w:rPr>
        <w:t>.0</w:t>
      </w:r>
      <w:r w:rsidRPr="009867C1">
        <w:rPr>
          <w:rFonts w:eastAsia="Times New Roman"/>
          <w:color w:val="000000"/>
          <w:lang w:eastAsia="en-CA"/>
        </w:rPr>
        <w:t xml:space="preserve">%), </w:t>
      </w:r>
      <w:r w:rsidRPr="009867C1">
        <w:rPr>
          <w:rFonts w:eastAsia="Times New Roman"/>
          <w:i/>
          <w:iCs/>
          <w:color w:val="000000"/>
          <w:lang w:eastAsia="en-CA"/>
        </w:rPr>
        <w:t>Bacteroidetes</w:t>
      </w:r>
      <w:r w:rsidRPr="009867C1">
        <w:rPr>
          <w:rFonts w:eastAsia="Times New Roman"/>
          <w:color w:val="000000"/>
          <w:lang w:eastAsia="en-CA"/>
        </w:rPr>
        <w:t xml:space="preserve"> (8</w:t>
      </w:r>
      <w:r w:rsidR="002339BB">
        <w:rPr>
          <w:rFonts w:eastAsia="Times New Roman"/>
          <w:color w:val="000000"/>
          <w:lang w:eastAsia="en-CA"/>
        </w:rPr>
        <w:t>.4</w:t>
      </w:r>
      <w:r w:rsidRPr="009867C1">
        <w:rPr>
          <w:rFonts w:eastAsia="Times New Roman"/>
          <w:color w:val="000000"/>
          <w:lang w:eastAsia="en-CA"/>
        </w:rPr>
        <w:t xml:space="preserve">%), </w:t>
      </w:r>
      <w:r w:rsidRPr="009867C1">
        <w:rPr>
          <w:rFonts w:eastAsia="Times New Roman"/>
          <w:i/>
          <w:iCs/>
          <w:color w:val="000000"/>
          <w:lang w:eastAsia="en-CA"/>
        </w:rPr>
        <w:t>Verrucomicrobia</w:t>
      </w:r>
      <w:r w:rsidRPr="009867C1">
        <w:rPr>
          <w:rFonts w:eastAsia="Times New Roman"/>
          <w:color w:val="000000"/>
          <w:lang w:eastAsia="en-CA"/>
        </w:rPr>
        <w:t xml:space="preserve"> (</w:t>
      </w:r>
      <w:r w:rsidR="002339BB">
        <w:rPr>
          <w:rFonts w:eastAsia="Times New Roman"/>
          <w:color w:val="000000"/>
          <w:lang w:eastAsia="en-CA"/>
        </w:rPr>
        <w:t>7</w:t>
      </w:r>
      <w:r w:rsidRPr="009867C1">
        <w:rPr>
          <w:rFonts w:eastAsia="Times New Roman"/>
          <w:color w:val="000000"/>
          <w:lang w:eastAsia="en-CA"/>
        </w:rPr>
        <w:t>.</w:t>
      </w:r>
      <w:r w:rsidR="002339BB">
        <w:rPr>
          <w:rFonts w:eastAsia="Times New Roman"/>
          <w:color w:val="000000"/>
          <w:lang w:eastAsia="en-CA"/>
        </w:rPr>
        <w:t>0</w:t>
      </w:r>
      <w:r w:rsidRPr="009867C1">
        <w:rPr>
          <w:rFonts w:eastAsia="Times New Roman"/>
          <w:color w:val="000000"/>
          <w:lang w:eastAsia="en-CA"/>
        </w:rPr>
        <w:t xml:space="preserve">%), </w:t>
      </w:r>
      <w:r w:rsidR="002339BB" w:rsidRPr="009867C1">
        <w:rPr>
          <w:rFonts w:eastAsia="Times New Roman"/>
          <w:i/>
          <w:iCs/>
          <w:color w:val="000000"/>
          <w:lang w:eastAsia="en-CA"/>
        </w:rPr>
        <w:t>Planctomycetes</w:t>
      </w:r>
      <w:r w:rsidR="002339BB" w:rsidRPr="009867C1">
        <w:rPr>
          <w:rFonts w:eastAsia="Times New Roman"/>
          <w:color w:val="000000"/>
          <w:lang w:eastAsia="en-CA"/>
        </w:rPr>
        <w:t xml:space="preserve"> (5.</w:t>
      </w:r>
      <w:r w:rsidR="002339BB">
        <w:rPr>
          <w:rFonts w:eastAsia="Times New Roman"/>
          <w:color w:val="000000"/>
          <w:lang w:eastAsia="en-CA"/>
        </w:rPr>
        <w:t>4</w:t>
      </w:r>
      <w:r w:rsidR="002339BB" w:rsidRPr="009867C1">
        <w:rPr>
          <w:rFonts w:eastAsia="Times New Roman"/>
          <w:color w:val="000000"/>
          <w:lang w:eastAsia="en-CA"/>
        </w:rPr>
        <w:t>%)</w:t>
      </w:r>
      <w:r w:rsidR="002339BB">
        <w:rPr>
          <w:rFonts w:eastAsia="Times New Roman"/>
          <w:color w:val="000000"/>
          <w:lang w:eastAsia="en-CA"/>
        </w:rPr>
        <w:t xml:space="preserve">, </w:t>
      </w:r>
      <w:r w:rsidRPr="009867C1">
        <w:rPr>
          <w:rFonts w:eastAsia="Times New Roman"/>
          <w:i/>
          <w:iCs/>
          <w:color w:val="000000"/>
          <w:lang w:eastAsia="en-CA"/>
        </w:rPr>
        <w:t>Euryarchaeota</w:t>
      </w:r>
      <w:r w:rsidRPr="009867C1">
        <w:rPr>
          <w:rFonts w:eastAsia="Times New Roman"/>
          <w:color w:val="000000"/>
          <w:lang w:eastAsia="en-CA"/>
        </w:rPr>
        <w:t xml:space="preserve"> (</w:t>
      </w:r>
      <w:r w:rsidR="002339BB">
        <w:rPr>
          <w:rFonts w:eastAsia="Times New Roman"/>
          <w:color w:val="000000"/>
          <w:lang w:eastAsia="en-CA"/>
        </w:rPr>
        <w:t>4.9</w:t>
      </w:r>
      <w:r w:rsidRPr="009867C1">
        <w:rPr>
          <w:rFonts w:eastAsia="Times New Roman"/>
          <w:color w:val="000000"/>
          <w:lang w:eastAsia="en-CA"/>
        </w:rPr>
        <w:t xml:space="preserve">%), </w:t>
      </w:r>
      <w:r w:rsidR="002339BB" w:rsidRPr="009867C1">
        <w:rPr>
          <w:rFonts w:eastAsia="Times New Roman"/>
          <w:i/>
          <w:iCs/>
          <w:color w:val="000000"/>
          <w:lang w:eastAsia="en-CA"/>
        </w:rPr>
        <w:t xml:space="preserve">Thaumarchaeota </w:t>
      </w:r>
      <w:r w:rsidR="002339BB" w:rsidRPr="009867C1">
        <w:rPr>
          <w:rFonts w:eastAsia="Times New Roman"/>
          <w:color w:val="000000"/>
          <w:lang w:eastAsia="en-CA"/>
        </w:rPr>
        <w:t>(4.</w:t>
      </w:r>
      <w:r w:rsidR="002339BB">
        <w:rPr>
          <w:rFonts w:eastAsia="Times New Roman"/>
          <w:color w:val="000000"/>
          <w:lang w:eastAsia="en-CA"/>
        </w:rPr>
        <w:t>0</w:t>
      </w:r>
      <w:r w:rsidR="002339BB" w:rsidRPr="009867C1">
        <w:rPr>
          <w:rFonts w:eastAsia="Times New Roman"/>
          <w:color w:val="000000"/>
          <w:lang w:eastAsia="en-CA"/>
        </w:rPr>
        <w:t>%)</w:t>
      </w:r>
      <w:r w:rsidR="002339BB">
        <w:rPr>
          <w:rFonts w:eastAsia="Times New Roman"/>
          <w:color w:val="000000"/>
          <w:lang w:eastAsia="en-CA"/>
        </w:rPr>
        <w:t>, and</w:t>
      </w:r>
      <w:r w:rsidR="002339BB" w:rsidRPr="009867C1">
        <w:rPr>
          <w:rFonts w:eastAsia="Times New Roman"/>
          <w:color w:val="000000"/>
          <w:lang w:eastAsia="en-CA"/>
        </w:rPr>
        <w:t xml:space="preserve"> </w:t>
      </w:r>
      <w:r w:rsidRPr="009867C1">
        <w:rPr>
          <w:rFonts w:eastAsia="Times New Roman"/>
          <w:i/>
          <w:iCs/>
          <w:color w:val="000000"/>
          <w:lang w:eastAsia="en-CA"/>
        </w:rPr>
        <w:t>Actinobacteria</w:t>
      </w:r>
      <w:r w:rsidRPr="009867C1">
        <w:rPr>
          <w:rFonts w:eastAsia="Times New Roman"/>
          <w:color w:val="000000"/>
          <w:lang w:eastAsia="en-CA"/>
        </w:rPr>
        <w:t xml:space="preserve"> (</w:t>
      </w:r>
      <w:r w:rsidR="002339BB">
        <w:rPr>
          <w:rFonts w:eastAsia="Times New Roman"/>
          <w:color w:val="000000"/>
          <w:lang w:eastAsia="en-CA"/>
        </w:rPr>
        <w:t>4.0</w:t>
      </w:r>
      <w:r w:rsidRPr="009867C1">
        <w:rPr>
          <w:rFonts w:eastAsia="Times New Roman"/>
          <w:color w:val="000000"/>
          <w:lang w:eastAsia="en-CA"/>
        </w:rPr>
        <w:t>%) (</w:t>
      </w:r>
      <w:r w:rsidRPr="009867C1">
        <w:rPr>
          <w:rFonts w:eastAsia="Times New Roman"/>
          <w:color w:val="000000"/>
          <w:lang w:eastAsia="en-CA"/>
        </w:rPr>
        <w:fldChar w:fldCharType="begin"/>
      </w:r>
      <w:r w:rsidRPr="009867C1">
        <w:rPr>
          <w:rFonts w:eastAsia="Times New Roman"/>
          <w:color w:val="000000"/>
          <w:lang w:eastAsia="en-CA"/>
        </w:rPr>
        <w:instrText xml:space="preserve"> REF _Ref61874294 \h </w:instrText>
      </w:r>
      <w:r w:rsidR="009867C1">
        <w:rPr>
          <w:rFonts w:eastAsia="Times New Roman"/>
          <w:color w:val="000000"/>
          <w:lang w:eastAsia="en-CA"/>
        </w:rPr>
        <w:instrText xml:space="preserve"> \* MERGEFORMAT </w:instrText>
      </w:r>
      <w:r w:rsidRPr="009867C1">
        <w:rPr>
          <w:rFonts w:eastAsia="Times New Roman"/>
          <w:color w:val="000000"/>
          <w:lang w:eastAsia="en-CA"/>
        </w:rPr>
      </w:r>
      <w:r w:rsidRPr="009867C1">
        <w:rPr>
          <w:rFonts w:eastAsia="Times New Roman"/>
          <w:color w:val="000000"/>
          <w:lang w:eastAsia="en-CA"/>
        </w:rPr>
        <w:fldChar w:fldCharType="separate"/>
      </w:r>
      <w:r w:rsidR="000667DB" w:rsidRPr="009867C1">
        <w:t xml:space="preserve">Figure </w:t>
      </w:r>
      <w:r w:rsidR="000667DB">
        <w:rPr>
          <w:noProof/>
        </w:rPr>
        <w:t>4</w:t>
      </w:r>
      <w:r w:rsidR="000667DB">
        <w:rPr>
          <w:noProof/>
        </w:rPr>
        <w:noBreakHyphen/>
        <w:t>1</w:t>
      </w:r>
      <w:r w:rsidRPr="009867C1">
        <w:rPr>
          <w:rFonts w:eastAsia="Times New Roman"/>
          <w:color w:val="000000"/>
          <w:lang w:eastAsia="en-CA"/>
        </w:rPr>
        <w:fldChar w:fldCharType="end"/>
      </w:r>
      <w:r w:rsidRPr="009867C1">
        <w:rPr>
          <w:rFonts w:eastAsia="Times New Roman"/>
          <w:color w:val="000000"/>
          <w:lang w:eastAsia="en-CA"/>
        </w:rPr>
        <w:t xml:space="preserve">). On the ASV level, most identified taxa were rare: for example, filtering ASVs by removing all reads with less than 5% prevalence and less than 10 total reads removed 94% of sequences. </w:t>
      </w:r>
      <w:r w:rsidRPr="009867C1">
        <w:t xml:space="preserve">Phylogenetic distribution of identified amplicon abundance </w:t>
      </w:r>
      <w:r w:rsidR="00E70C95">
        <w:t>is</w:t>
      </w:r>
      <w:r w:rsidRPr="009867C1">
        <w:t xml:space="preserve"> visualized in </w:t>
      </w:r>
      <w:r w:rsidRPr="009867C1">
        <w:fldChar w:fldCharType="begin"/>
      </w:r>
      <w:r w:rsidRPr="009867C1">
        <w:instrText xml:space="preserve"> REF _Ref61874294 \h </w:instrText>
      </w:r>
      <w:r w:rsidR="009867C1">
        <w:instrText xml:space="preserve"> \* MERGEFORMAT </w:instrText>
      </w:r>
      <w:r w:rsidRPr="009867C1">
        <w:fldChar w:fldCharType="separate"/>
      </w:r>
      <w:r w:rsidR="000667DB" w:rsidRPr="009867C1">
        <w:t xml:space="preserve">Figure </w:t>
      </w:r>
      <w:r w:rsidR="000667DB">
        <w:rPr>
          <w:noProof/>
        </w:rPr>
        <w:t>4</w:t>
      </w:r>
      <w:r w:rsidR="000667DB">
        <w:rPr>
          <w:noProof/>
        </w:rPr>
        <w:noBreakHyphen/>
        <w:t>1</w:t>
      </w:r>
      <w:r w:rsidRPr="009867C1">
        <w:fldChar w:fldCharType="end"/>
      </w:r>
      <w:r w:rsidRPr="009867C1">
        <w:t>.</w:t>
      </w:r>
    </w:p>
    <w:p w14:paraId="137987C8" w14:textId="77777777" w:rsidR="00086155" w:rsidRPr="009867C1" w:rsidRDefault="00086155" w:rsidP="00086155">
      <w:pPr>
        <w:pStyle w:val="Heading4"/>
        <w:rPr>
          <w:lang w:eastAsia="en-CA"/>
        </w:rPr>
      </w:pPr>
      <w:bookmarkStart w:id="222" w:name="_Toc99385483"/>
      <w:r w:rsidRPr="009867C1">
        <w:rPr>
          <w:lang w:eastAsia="en-CA"/>
        </w:rPr>
        <w:t>Community metrics</w:t>
      </w:r>
      <w:bookmarkEnd w:id="222"/>
    </w:p>
    <w:p w14:paraId="115D2288" w14:textId="77777777" w:rsidR="00086155" w:rsidRPr="009867C1" w:rsidRDefault="00086155" w:rsidP="00086155">
      <w:pPr>
        <w:pStyle w:val="Heading5"/>
        <w:rPr>
          <w:lang w:eastAsia="en-CA"/>
        </w:rPr>
      </w:pPr>
      <w:bookmarkStart w:id="223" w:name="_Toc99385484"/>
      <w:r w:rsidRPr="009867C1">
        <w:rPr>
          <w:lang w:eastAsia="en-CA"/>
        </w:rPr>
        <w:t>Species Richness</w:t>
      </w:r>
      <w:bookmarkEnd w:id="223"/>
    </w:p>
    <w:p w14:paraId="3D026B83" w14:textId="6E788373" w:rsidR="00086155" w:rsidRPr="009867C1" w:rsidRDefault="00086155" w:rsidP="00086155">
      <w:pPr>
        <w:ind w:firstLine="720"/>
        <w:rPr>
          <w:lang w:eastAsia="en-CA"/>
        </w:rPr>
      </w:pPr>
      <w:r w:rsidRPr="009867C1">
        <w:rPr>
          <w:lang w:eastAsia="en-CA"/>
        </w:rPr>
        <w:t>Bivariate plots showed no response in species richness to salmon density, either in the regional gradient data or above/below falls (</w:t>
      </w:r>
      <w:r w:rsidRPr="009867C1">
        <w:rPr>
          <w:lang w:eastAsia="en-CA"/>
        </w:rPr>
        <w:fldChar w:fldCharType="begin"/>
      </w:r>
      <w:r w:rsidRPr="009867C1">
        <w:rPr>
          <w:lang w:eastAsia="en-CA"/>
        </w:rPr>
        <w:instrText xml:space="preserve"> REF _Ref64663977 \h </w:instrText>
      </w:r>
      <w:r w:rsidR="009867C1">
        <w:rPr>
          <w:lang w:eastAsia="en-CA"/>
        </w:rPr>
        <w:instrText xml:space="preserve"> \* MERGEFORMAT </w:instrText>
      </w:r>
      <w:r w:rsidRPr="009867C1">
        <w:rPr>
          <w:lang w:eastAsia="en-CA"/>
        </w:rPr>
      </w:r>
      <w:r w:rsidRPr="009867C1">
        <w:rPr>
          <w:lang w:eastAsia="en-CA"/>
        </w:rPr>
        <w:fldChar w:fldCharType="separate"/>
      </w:r>
      <w:r w:rsidR="000667DB" w:rsidRPr="009867C1">
        <w:t xml:space="preserve">Figure </w:t>
      </w:r>
      <w:r w:rsidR="000667DB">
        <w:rPr>
          <w:noProof/>
        </w:rPr>
        <w:t>5</w:t>
      </w:r>
      <w:r w:rsidR="000667DB">
        <w:rPr>
          <w:noProof/>
        </w:rPr>
        <w:noBreakHyphen/>
        <w:t>2</w:t>
      </w:r>
      <w:r w:rsidRPr="009867C1">
        <w:rPr>
          <w:lang w:eastAsia="en-CA"/>
        </w:rPr>
        <w:fldChar w:fldCharType="end"/>
      </w:r>
      <w:r w:rsidRPr="009867C1">
        <w:rPr>
          <w:lang w:eastAsia="en-CA"/>
        </w:rPr>
        <w:t>). The GLM results showed a positive trend with salmon on species richness, and significant effects from nearest tree species (</w:t>
      </w:r>
      <w:r w:rsidRPr="009867C1">
        <w:rPr>
          <w:lang w:eastAsia="en-CA"/>
        </w:rPr>
        <w:fldChar w:fldCharType="begin"/>
      </w:r>
      <w:r w:rsidRPr="009867C1">
        <w:rPr>
          <w:lang w:eastAsia="en-CA"/>
        </w:rPr>
        <w:instrText xml:space="preserve"> REF _Ref64663876 \h </w:instrText>
      </w:r>
      <w:r w:rsidR="009867C1">
        <w:rPr>
          <w:lang w:eastAsia="en-CA"/>
        </w:rPr>
        <w:instrText xml:space="preserve"> \* MERGEFORMAT </w:instrText>
      </w:r>
      <w:r w:rsidRPr="009867C1">
        <w:rPr>
          <w:lang w:eastAsia="en-CA"/>
        </w:rPr>
      </w:r>
      <w:r w:rsidRPr="009867C1">
        <w:rPr>
          <w:lang w:eastAsia="en-CA"/>
        </w:rPr>
        <w:fldChar w:fldCharType="separate"/>
      </w:r>
      <w:r w:rsidR="000667DB" w:rsidRPr="009867C1">
        <w:t xml:space="preserve">Figure </w:t>
      </w:r>
      <w:r w:rsidR="000667DB">
        <w:rPr>
          <w:noProof/>
        </w:rPr>
        <w:t>5</w:t>
      </w:r>
      <w:r w:rsidR="000667DB">
        <w:rPr>
          <w:noProof/>
        </w:rPr>
        <w:noBreakHyphen/>
        <w:t>5</w:t>
      </w:r>
      <w:r w:rsidRPr="009867C1">
        <w:rPr>
          <w:lang w:eastAsia="en-CA"/>
        </w:rPr>
        <w:fldChar w:fldCharType="end"/>
      </w:r>
      <w:r w:rsidRPr="009867C1">
        <w:rPr>
          <w:lang w:eastAsia="en-CA"/>
        </w:rPr>
        <w:t xml:space="preserve">). Soil type and moss, herb, and tree community also had large but non-significant effects. </w:t>
      </w:r>
    </w:p>
    <w:p w14:paraId="20E34B98" w14:textId="45FF0570" w:rsidR="00086155" w:rsidRPr="009867C1" w:rsidRDefault="00086155" w:rsidP="00086155">
      <w:pPr>
        <w:ind w:firstLine="720"/>
        <w:rPr>
          <w:lang w:eastAsia="en-CA"/>
        </w:rPr>
      </w:pPr>
      <w:r w:rsidRPr="009867C1">
        <w:rPr>
          <w:lang w:eastAsia="en-CA"/>
        </w:rPr>
        <w:t>The exploratory analysis attributed high importance to</w:t>
      </w:r>
      <w:r w:rsidR="000D668A">
        <w:rPr>
          <w:lang w:eastAsia="en-CA"/>
        </w:rPr>
        <w:t xml:space="preserve"> copper, potassium, and </w:t>
      </w:r>
      <w:r w:rsidRPr="009867C1">
        <w:rPr>
          <w:lang w:eastAsia="en-CA"/>
        </w:rPr>
        <w:t>moss PCA1</w:t>
      </w:r>
      <w:r w:rsidR="000D668A">
        <w:rPr>
          <w:lang w:eastAsia="en-CA"/>
        </w:rPr>
        <w:t xml:space="preserve">. </w:t>
      </w:r>
      <w:r w:rsidRPr="009867C1">
        <w:rPr>
          <w:lang w:eastAsia="en-CA"/>
        </w:rPr>
        <w:t xml:space="preserve"> </w:t>
      </w:r>
      <w:r w:rsidR="000D668A">
        <w:rPr>
          <w:lang w:eastAsia="en-CA"/>
        </w:rPr>
        <w:t>T</w:t>
      </w:r>
      <w:r w:rsidRPr="009867C1">
        <w:rPr>
          <w:lang w:eastAsia="en-CA"/>
        </w:rPr>
        <w:t>ree PCA2, which contains</w:t>
      </w:r>
      <w:r w:rsidR="000D668A">
        <w:rPr>
          <w:lang w:eastAsia="en-CA"/>
        </w:rPr>
        <w:t xml:space="preserve"> a</w:t>
      </w:r>
      <w:r w:rsidRPr="009867C1">
        <w:rPr>
          <w:lang w:eastAsia="en-CA"/>
        </w:rPr>
        <w:t xml:space="preserve"> high weight</w:t>
      </w:r>
      <w:r w:rsidR="000D668A">
        <w:rPr>
          <w:lang w:eastAsia="en-CA"/>
        </w:rPr>
        <w:t>ing</w:t>
      </w:r>
      <w:r w:rsidRPr="009867C1">
        <w:rPr>
          <w:lang w:eastAsia="en-CA"/>
        </w:rPr>
        <w:t xml:space="preserve"> of snags and stumps</w:t>
      </w:r>
      <w:r w:rsidR="000D668A">
        <w:rPr>
          <w:lang w:eastAsia="en-CA"/>
        </w:rPr>
        <w:t>, and</w:t>
      </w:r>
      <w:r w:rsidRPr="009867C1">
        <w:rPr>
          <w:lang w:eastAsia="en-CA"/>
        </w:rPr>
        <w:t xml:space="preserve"> Class-4 coarse woody debris, were also important (</w:t>
      </w:r>
      <w:r w:rsidRPr="009867C1">
        <w:rPr>
          <w:lang w:eastAsia="en-CA"/>
        </w:rPr>
        <w:fldChar w:fldCharType="begin"/>
      </w:r>
      <w:r w:rsidRPr="009867C1">
        <w:rPr>
          <w:lang w:eastAsia="en-CA"/>
        </w:rPr>
        <w:instrText xml:space="preserve"> REF _Ref63337875 \h </w:instrText>
      </w:r>
      <w:r w:rsidR="009867C1">
        <w:rPr>
          <w:lang w:eastAsia="en-CA"/>
        </w:rPr>
        <w:instrText xml:space="preserve"> \* MERGEFORMAT </w:instrText>
      </w:r>
      <w:r w:rsidRPr="009867C1">
        <w:rPr>
          <w:lang w:eastAsia="en-CA"/>
        </w:rPr>
      </w:r>
      <w:r w:rsidRPr="009867C1">
        <w:rPr>
          <w:lang w:eastAsia="en-CA"/>
        </w:rPr>
        <w:fldChar w:fldCharType="separate"/>
      </w:r>
      <w:r w:rsidR="000667DB" w:rsidRPr="009867C1">
        <w:t xml:space="preserve">Figure </w:t>
      </w:r>
      <w:r w:rsidR="000667DB">
        <w:rPr>
          <w:noProof/>
        </w:rPr>
        <w:t>5</w:t>
      </w:r>
      <w:r w:rsidR="000667DB">
        <w:rPr>
          <w:noProof/>
        </w:rPr>
        <w:noBreakHyphen/>
        <w:t>6</w:t>
      </w:r>
      <w:r w:rsidRPr="009867C1">
        <w:rPr>
          <w:lang w:eastAsia="en-CA"/>
        </w:rPr>
        <w:fldChar w:fldCharType="end"/>
      </w:r>
      <w:r w:rsidRPr="009867C1">
        <w:rPr>
          <w:lang w:eastAsia="en-CA"/>
        </w:rPr>
        <w:t>).</w:t>
      </w:r>
    </w:p>
    <w:p w14:paraId="55B5DCE4" w14:textId="77777777" w:rsidR="00086155" w:rsidRPr="009867C1" w:rsidRDefault="00086155" w:rsidP="00086155">
      <w:pPr>
        <w:pStyle w:val="Heading5"/>
      </w:pPr>
      <w:bookmarkStart w:id="224" w:name="_Toc99385485"/>
      <w:r w:rsidRPr="009867C1">
        <w:t>Shannon diversity</w:t>
      </w:r>
      <w:bookmarkEnd w:id="224"/>
    </w:p>
    <w:p w14:paraId="3CE7E79A" w14:textId="7F47617C" w:rsidR="00086155" w:rsidRPr="009867C1" w:rsidRDefault="00086155" w:rsidP="00086155">
      <w:pPr>
        <w:ind w:firstLine="720"/>
      </w:pPr>
      <w:r w:rsidRPr="009867C1">
        <w:t>Similar to richness, Shannon diversity showed no response in bivariate plots of either the gradient or above/below data (</w:t>
      </w:r>
      <w:r w:rsidRPr="009867C1">
        <w:fldChar w:fldCharType="begin"/>
      </w:r>
      <w:r w:rsidRPr="009867C1">
        <w:instrText xml:space="preserve"> REF _Ref61877862 \h </w:instrText>
      </w:r>
      <w:r w:rsidR="009867C1">
        <w:instrText xml:space="preserve"> \* MERGEFORMAT </w:instrText>
      </w:r>
      <w:r w:rsidRPr="009867C1">
        <w:fldChar w:fldCharType="separate"/>
      </w:r>
      <w:r w:rsidR="000667DB" w:rsidRPr="009867C1">
        <w:t xml:space="preserve">Figure </w:t>
      </w:r>
      <w:r w:rsidR="000667DB">
        <w:rPr>
          <w:noProof/>
        </w:rPr>
        <w:t>4</w:t>
      </w:r>
      <w:r w:rsidR="000667DB">
        <w:rPr>
          <w:noProof/>
        </w:rPr>
        <w:noBreakHyphen/>
        <w:t>5</w:t>
      </w:r>
      <w:r w:rsidRPr="009867C1">
        <w:fldChar w:fldCharType="end"/>
      </w:r>
      <w:r w:rsidRPr="009867C1">
        <w:t>). No response to salmon was also borne out in the GLM analysis, although also similar to species richness soil type, nearest tree species, and moss and tree PCAs were important.</w:t>
      </w:r>
    </w:p>
    <w:p w14:paraId="27ACD171" w14:textId="59F1BACB" w:rsidR="00086155" w:rsidRPr="009867C1" w:rsidRDefault="00086155" w:rsidP="00086155">
      <w:pPr>
        <w:ind w:firstLine="720"/>
      </w:pPr>
      <w:r w:rsidRPr="009867C1">
        <w:t xml:space="preserve">Random forest models attributed high importance to total N, </w:t>
      </w:r>
      <w:r w:rsidR="000D668A">
        <w:t>phosphorus, and moss PCA1</w:t>
      </w:r>
      <w:r w:rsidRPr="009867C1">
        <w:t xml:space="preserve"> in determining Shannon diversity, with </w:t>
      </w:r>
      <w:r w:rsidR="000D668A">
        <w:t>potassium and CEC</w:t>
      </w:r>
      <w:r w:rsidRPr="009867C1">
        <w:t xml:space="preserve"> also being important (</w:t>
      </w:r>
      <w:r w:rsidRPr="009867C1">
        <w:fldChar w:fldCharType="begin"/>
      </w:r>
      <w:r w:rsidRPr="009867C1">
        <w:instrText xml:space="preserve"> REF _Ref63337875 \h </w:instrText>
      </w:r>
      <w:r w:rsidR="009867C1">
        <w:instrText xml:space="preserve"> \* MERGEFORMAT </w:instrText>
      </w:r>
      <w:r w:rsidRPr="009867C1">
        <w:fldChar w:fldCharType="separate"/>
      </w:r>
      <w:r w:rsidR="000667DB" w:rsidRPr="009867C1">
        <w:t xml:space="preserve">Figure </w:t>
      </w:r>
      <w:r w:rsidR="000667DB">
        <w:rPr>
          <w:noProof/>
        </w:rPr>
        <w:t>5</w:t>
      </w:r>
      <w:r w:rsidR="000667DB">
        <w:rPr>
          <w:noProof/>
        </w:rPr>
        <w:noBreakHyphen/>
        <w:t>6</w:t>
      </w:r>
      <w:r w:rsidRPr="009867C1">
        <w:fldChar w:fldCharType="end"/>
      </w:r>
      <w:r w:rsidRPr="009867C1">
        <w:t xml:space="preserve">).  </w:t>
      </w:r>
    </w:p>
    <w:p w14:paraId="2BEBB55E" w14:textId="77777777" w:rsidR="00086155" w:rsidRPr="009867C1" w:rsidRDefault="00086155" w:rsidP="00086155">
      <w:pPr>
        <w:pStyle w:val="Heading5"/>
      </w:pPr>
      <w:bookmarkStart w:id="225" w:name="_Toc99385486"/>
      <w:r w:rsidRPr="009867C1">
        <w:t>Phylogenetic Dispersion</w:t>
      </w:r>
      <w:bookmarkEnd w:id="225"/>
    </w:p>
    <w:p w14:paraId="0C999E69" w14:textId="2E5CE935" w:rsidR="00086155" w:rsidRPr="009867C1" w:rsidRDefault="00086155" w:rsidP="00086155">
      <w:pPr>
        <w:ind w:firstLine="720"/>
      </w:pPr>
      <w:r w:rsidRPr="009867C1">
        <w:t xml:space="preserve">Bacterial communities were underdispersed relative to random assortment (negative values of PDI, </w:t>
      </w:r>
      <w:r w:rsidRPr="009867C1">
        <w:fldChar w:fldCharType="begin"/>
      </w:r>
      <w:r w:rsidRPr="009867C1">
        <w:instrText xml:space="preserve"> REF _Ref62472323 \h </w:instrText>
      </w:r>
      <w:r w:rsidR="009867C1">
        <w:instrText xml:space="preserve"> \* MERGEFORMAT </w:instrText>
      </w:r>
      <w:r w:rsidRPr="009867C1">
        <w:fldChar w:fldCharType="separate"/>
      </w:r>
      <w:r w:rsidR="000667DB" w:rsidRPr="009867C1">
        <w:t xml:space="preserve">Figure </w:t>
      </w:r>
      <w:r w:rsidR="000667DB">
        <w:rPr>
          <w:noProof/>
        </w:rPr>
        <w:t>4</w:t>
      </w:r>
      <w:r w:rsidR="000667DB">
        <w:rPr>
          <w:noProof/>
        </w:rPr>
        <w:noBreakHyphen/>
        <w:t>6</w:t>
      </w:r>
      <w:r w:rsidRPr="009867C1">
        <w:fldChar w:fldCharType="end"/>
      </w:r>
      <w:r w:rsidRPr="009867C1">
        <w:t>). Salmon again had no effect, with bivariate plots showing no relationship with PDI in either the gradient or above/below data (</w:t>
      </w:r>
      <w:r w:rsidRPr="009867C1">
        <w:fldChar w:fldCharType="begin"/>
      </w:r>
      <w:r w:rsidRPr="009867C1">
        <w:instrText xml:space="preserve"> REF _Ref62472323 \h </w:instrText>
      </w:r>
      <w:r w:rsidR="009867C1">
        <w:instrText xml:space="preserve"> \* MERGEFORMAT </w:instrText>
      </w:r>
      <w:r w:rsidRPr="009867C1">
        <w:fldChar w:fldCharType="separate"/>
      </w:r>
      <w:r w:rsidR="000667DB" w:rsidRPr="009867C1">
        <w:t xml:space="preserve">Figure </w:t>
      </w:r>
      <w:r w:rsidR="000667DB">
        <w:rPr>
          <w:noProof/>
        </w:rPr>
        <w:t>4</w:t>
      </w:r>
      <w:r w:rsidR="000667DB">
        <w:rPr>
          <w:noProof/>
        </w:rPr>
        <w:noBreakHyphen/>
        <w:t>6</w:t>
      </w:r>
      <w:r w:rsidRPr="009867C1">
        <w:fldChar w:fldCharType="end"/>
      </w:r>
      <w:r w:rsidRPr="009867C1">
        <w:t>).  GLM modelling results showed no effect from salmon, with the only significant effect being from the moss community with nearest tree species and herb PCA1 also being important (</w:t>
      </w:r>
      <w:r w:rsidRPr="009867C1">
        <w:fldChar w:fldCharType="begin"/>
      </w:r>
      <w:r w:rsidRPr="009867C1">
        <w:instrText xml:space="preserve"> REF _Ref64663876 \h </w:instrText>
      </w:r>
      <w:r w:rsidR="009867C1">
        <w:instrText xml:space="preserve"> \* MERGEFORMAT </w:instrText>
      </w:r>
      <w:r w:rsidRPr="009867C1">
        <w:fldChar w:fldCharType="separate"/>
      </w:r>
      <w:r w:rsidR="000667DB" w:rsidRPr="009867C1">
        <w:t xml:space="preserve">Figure </w:t>
      </w:r>
      <w:r w:rsidR="000667DB">
        <w:rPr>
          <w:noProof/>
        </w:rPr>
        <w:t>5</w:t>
      </w:r>
      <w:r w:rsidR="000667DB">
        <w:rPr>
          <w:noProof/>
        </w:rPr>
        <w:noBreakHyphen/>
        <w:t>5</w:t>
      </w:r>
      <w:r w:rsidRPr="009867C1">
        <w:fldChar w:fldCharType="end"/>
      </w:r>
      <w:r w:rsidRPr="009867C1">
        <w:t>).</w:t>
      </w:r>
    </w:p>
    <w:p w14:paraId="7C5ECBA7" w14:textId="4A66AA71" w:rsidR="00086155" w:rsidRPr="009867C1" w:rsidRDefault="00086155" w:rsidP="00086155">
      <w:pPr>
        <w:ind w:firstLine="720"/>
      </w:pPr>
      <w:r w:rsidRPr="009867C1">
        <w:t>Similar to species richness, phylogenetic dispersion was strongly related to tree PCA2 and moss PCA1 (</w:t>
      </w:r>
      <w:r w:rsidRPr="009867C1">
        <w:fldChar w:fldCharType="begin"/>
      </w:r>
      <w:r w:rsidRPr="009867C1">
        <w:instrText xml:space="preserve"> REF _Ref63337875 \h </w:instrText>
      </w:r>
      <w:r w:rsidR="009867C1">
        <w:instrText xml:space="preserve"> \* MERGEFORMAT </w:instrText>
      </w:r>
      <w:r w:rsidRPr="009867C1">
        <w:fldChar w:fldCharType="separate"/>
      </w:r>
      <w:r w:rsidR="000667DB" w:rsidRPr="009867C1">
        <w:t xml:space="preserve">Figure </w:t>
      </w:r>
      <w:r w:rsidR="000667DB">
        <w:rPr>
          <w:noProof/>
        </w:rPr>
        <w:t>5</w:t>
      </w:r>
      <w:r w:rsidR="000667DB">
        <w:rPr>
          <w:noProof/>
        </w:rPr>
        <w:noBreakHyphen/>
        <w:t>6</w:t>
      </w:r>
      <w:r w:rsidRPr="009867C1">
        <w:fldChar w:fldCharType="end"/>
      </w:r>
      <w:r w:rsidRPr="009867C1">
        <w:t xml:space="preserve">). Also of high importance was the distance to the stream, </w:t>
      </w:r>
      <w:r w:rsidR="000D668A">
        <w:t>potassium</w:t>
      </w:r>
      <w:r w:rsidRPr="009867C1">
        <w:t>, and ergosterol</w:t>
      </w:r>
      <w:r w:rsidR="000D668A">
        <w:t xml:space="preserve"> concentrations</w:t>
      </w:r>
      <w:r w:rsidRPr="009867C1">
        <w:t xml:space="preserve">. </w:t>
      </w:r>
    </w:p>
    <w:p w14:paraId="320CA655" w14:textId="77777777" w:rsidR="00086155" w:rsidRPr="009867C1" w:rsidRDefault="00086155" w:rsidP="00086155">
      <w:pPr>
        <w:pStyle w:val="Heading4"/>
      </w:pPr>
      <w:bookmarkStart w:id="226" w:name="_Toc99385487"/>
      <w:r w:rsidRPr="009867C1">
        <w:t>Beta diversity</w:t>
      </w:r>
      <w:bookmarkEnd w:id="226"/>
    </w:p>
    <w:p w14:paraId="2A55D49C" w14:textId="533192B1" w:rsidR="00086155" w:rsidRPr="009867C1" w:rsidRDefault="000D668A" w:rsidP="00086155">
      <w:pPr>
        <w:ind w:firstLine="720"/>
      </w:pPr>
      <w:r>
        <w:t>I</w:t>
      </w:r>
      <w:r w:rsidR="00086155" w:rsidRPr="009867C1">
        <w:t xml:space="preserve"> found that salmon addition had some role in structuring forest floor communities between sites, but not organic soil</w:t>
      </w:r>
      <w:r>
        <w:t xml:space="preserve"> communities</w:t>
      </w:r>
      <w:r w:rsidR="00086155" w:rsidRPr="009867C1">
        <w:t>. Salmon was significant in forest floor ADONIS tests, but only when placed after both watershed size and closest dominant tree in the model, indicating that there was some interaction between tree species and salmon addition. The same pattern was found in above/below forest floors, where waterfalls were significant but only when placed after closest dominant tree species. Organic soils showed no significance of salmon addition, but tree species did drive bacterial communities. Stress for all NDMS plots was low (maximum = 0.25).</w:t>
      </w:r>
    </w:p>
    <w:p w14:paraId="39CA3452" w14:textId="77777777" w:rsidR="00086155" w:rsidRPr="009867C1" w:rsidRDefault="00086155" w:rsidP="00086155"/>
    <w:p w14:paraId="1D460ADA" w14:textId="77777777" w:rsidR="00086155" w:rsidRPr="009867C1" w:rsidRDefault="00086155" w:rsidP="00086155">
      <w:pPr>
        <w:pStyle w:val="Heading4"/>
      </w:pPr>
      <w:bookmarkStart w:id="227" w:name="_Toc99385488"/>
      <w:r w:rsidRPr="009867C1">
        <w:t>Compositional changes along salmon gradient</w:t>
      </w:r>
      <w:bookmarkEnd w:id="227"/>
    </w:p>
    <w:p w14:paraId="231B179A" w14:textId="64AB5FA1" w:rsidR="00086155" w:rsidRPr="009867C1" w:rsidRDefault="006A3C5A" w:rsidP="00086155">
      <w:pPr>
        <w:ind w:firstLine="720"/>
      </w:pPr>
      <w:r>
        <w:rPr>
          <w:i/>
        </w:rPr>
        <w:t xml:space="preserve">MaAsLin2 </w:t>
      </w:r>
      <w:r>
        <w:t>models showed minimal significant taxonomic responses to salmon inputs</w:t>
      </w:r>
      <w:r w:rsidRPr="009867C1">
        <w:t xml:space="preserve"> </w:t>
      </w:r>
      <w:r>
        <w:t>(</w:t>
      </w:r>
      <w:r w:rsidR="00086155" w:rsidRPr="009867C1">
        <w:t>visualized in</w:t>
      </w:r>
      <w:r>
        <w:t xml:space="preserve"> </w:t>
      </w:r>
      <w:r>
        <w:fldChar w:fldCharType="begin"/>
      </w:r>
      <w:r>
        <w:instrText xml:space="preserve"> REF _Ref86762396 \h </w:instrText>
      </w:r>
      <w:r>
        <w:fldChar w:fldCharType="separate"/>
      </w:r>
      <w:r w:rsidR="000667DB" w:rsidRPr="009867C1">
        <w:t xml:space="preserve">Figure </w:t>
      </w:r>
      <w:r w:rsidR="000667DB">
        <w:rPr>
          <w:noProof/>
        </w:rPr>
        <w:t>5</w:t>
      </w:r>
      <w:r w:rsidR="000667DB">
        <w:noBreakHyphen/>
      </w:r>
      <w:r w:rsidR="000667DB">
        <w:rPr>
          <w:noProof/>
        </w:rPr>
        <w:t>8</w:t>
      </w:r>
      <w:r>
        <w:fldChar w:fldCharType="end"/>
      </w:r>
      <w:r>
        <w:t>)</w:t>
      </w:r>
      <w:r w:rsidR="00086155" w:rsidRPr="009867C1">
        <w:t xml:space="preserve">. </w:t>
      </w:r>
      <w:r>
        <w:t>No responses were seen in forest floors, but in organic soil an uncultured Proteobacterium in the RCP2-54 clade increased along the salmon gradient</w:t>
      </w:r>
      <w:r w:rsidR="008E6730">
        <w:t xml:space="preserve">. Below falls sites had higher levels of </w:t>
      </w:r>
      <w:r w:rsidR="008E6730" w:rsidRPr="008E6730">
        <w:rPr>
          <w:i/>
          <w:iCs/>
        </w:rPr>
        <w:t>Acidothermus</w:t>
      </w:r>
      <w:r w:rsidR="008E6730">
        <w:t xml:space="preserve">, a decrease in </w:t>
      </w:r>
      <w:r w:rsidR="008E6730" w:rsidRPr="008E6730">
        <w:rPr>
          <w:i/>
          <w:iCs/>
        </w:rPr>
        <w:t>Acidibacter</w:t>
      </w:r>
      <w:r w:rsidR="008E6730">
        <w:t xml:space="preserve">, and an increase in one Acidobacteriia Subgroup 2 clade and a decrease in another. </w:t>
      </w:r>
      <w:r>
        <w:t xml:space="preserve"> </w:t>
      </w:r>
    </w:p>
    <w:p w14:paraId="61653095" w14:textId="77777777" w:rsidR="00086155" w:rsidRPr="009867C1" w:rsidRDefault="00086155" w:rsidP="00086155"/>
    <w:p w14:paraId="0205A278" w14:textId="77777777" w:rsidR="00086155" w:rsidRPr="009867C1" w:rsidRDefault="00086155" w:rsidP="00086155">
      <w:pPr>
        <w:pStyle w:val="Heading3"/>
        <w:rPr>
          <w:lang w:val="en-CA"/>
        </w:rPr>
      </w:pPr>
      <w:bookmarkStart w:id="228" w:name="_Toc99385489"/>
      <w:r w:rsidRPr="009867C1">
        <w:rPr>
          <w:lang w:val="en-CA"/>
        </w:rPr>
        <w:t>Discussion</w:t>
      </w:r>
      <w:bookmarkEnd w:id="228"/>
    </w:p>
    <w:p w14:paraId="2D367D02" w14:textId="77777777" w:rsidR="00086155" w:rsidRPr="009867C1" w:rsidRDefault="00086155" w:rsidP="00086155">
      <w:pPr>
        <w:pStyle w:val="Heading4"/>
      </w:pPr>
      <w:bookmarkStart w:id="229" w:name="_Toc99385490"/>
      <w:r w:rsidRPr="009867C1">
        <w:t>Bacteria communities of the Central Coast</w:t>
      </w:r>
      <w:bookmarkEnd w:id="229"/>
    </w:p>
    <w:p w14:paraId="1E667E09" w14:textId="76E3AE51" w:rsidR="00086155" w:rsidRPr="009867C1" w:rsidRDefault="00086155" w:rsidP="00086155">
      <w:pPr>
        <w:ind w:firstLine="720"/>
      </w:pPr>
      <w:r w:rsidRPr="009867C1">
        <w:t xml:space="preserve">The first goal of this study was to characterize and quantify the bacterial microbiomes at these sites. At the phylum level, communities were dominated by </w:t>
      </w:r>
      <w:r w:rsidRPr="009867C1">
        <w:rPr>
          <w:i/>
          <w:iCs/>
        </w:rPr>
        <w:t xml:space="preserve">Acidobacteria </w:t>
      </w:r>
      <w:r w:rsidRPr="009867C1">
        <w:t xml:space="preserve">and </w:t>
      </w:r>
      <w:r w:rsidRPr="009867C1">
        <w:rPr>
          <w:i/>
          <w:iCs/>
        </w:rPr>
        <w:t>Proteobacteria</w:t>
      </w:r>
      <w:r w:rsidRPr="009867C1">
        <w:t xml:space="preserve">, two phyla that are categorized as common in ‘low-pH’ clusters internationally in the International Soil Microbiome Atlas </w:t>
      </w:r>
      <w:r w:rsidRPr="009867C1">
        <w:fldChar w:fldCharType="begin"/>
      </w:r>
      <w:r w:rsidR="00AC0205">
        <w:instrText xml:space="preserve"> ADDIN ZOTERO_ITEM CSL_CITATION {"citationID":"FPMLRaDZ","properties":{"formattedCitation":"(Delgado-Baquerizo et al., 2018)","plainCitation":"(Delgado-Baquerizo et al., 2018)","noteIndex":0},"citationItems":[{"id":51,"uris":["http://zotero.org/users/2189142/items/H9NXE7QF"],"itemData":{"id":51,"type":"article-journal","abstract":"A global map of soil bacteria\nSoil bacteria play key roles in regulating terrestrial carbon dynamics, nutrient cycles, and plant productivity. However, the natural histories and distributions of these organisms remain largely undocumented. Delgado-Baquerizo et al. provide a survey of the dominant bacterial taxa found around the world. In soil collections from six continents, they found that only 2% of bacterial taxa account for nearly half of the soil bacterial communities across the globe. These dominant taxa could be clustered into ecological groups of co-occurring bacteria that share habitat preferences. The findings will allow for a more predictive understanding of soil bacterial diversity and distribution.\nScience, this issue p. 320\nThe immense diversity of soil bacterial communities has stymied efforts to characterize individual taxa and document their global distributions. We analyzed soils from 237 locations across six continents and found that only 2% of bacterial phylotypes (~500 phylotypes) consistently accounted for almost half of the soil bacterial communities worldwide. Despite the overwhelming diversity of bacterial communities, relatively few bacterial taxa are abundant in soils globally. We clustered these dominant taxa into ecological groups to build the first global atlas of soil bacterial taxa. Our study narrows down the immense number of bacterial taxa to a “most wanted” list that will be fruitful targets for genomic and cultivation-based efforts aimed at improving our understanding of soil microbes and their contributions to ecosystem functioning.\nRelatively few soil bacterial taxa dominate terrestrial ecosystems worldwide, with predictable distributions and ecology.\nRelatively few soil bacterial taxa dominate terrestrial ecosystems worldwide, with predictable distributions and ecology.","container-title":"Science","DOI":"10.1126/science.aap9516","ISSN":"0036-8075, 1095-9203","issue":"6373","language":"en","note":"publisher: American Association for the Advancement of Science\nsection: Report\nPMID: 29348236","page":"320-325","source":"science-sciencemag-org.ezproxy.library.ubc.ca","title":"A global atlas of the dominant bacteria found in soil","volume":"359","author":[{"family":"Delgado-Baquerizo","given":"Manuel"},{"family":"Oliverio","given":"Angela M."},{"family":"Brewer","given":"Tess E."},{"family":"Benavent-González","given":"Alberto"},{"family":"Eldridge","given":"David J."},{"family":"Bardgett","given":"Richard D."},{"family":"Maestre","given":"Fernando T."},{"family":"Singh","given":"Brajesh K."},{"family":"Fierer","given":"Noah"}],"issued":{"date-parts":[["2018",1,19]]},"citation-key":"delgado-baquerizo_2018"}}],"schema":"https://github.com/citation-style-language/schema/raw/master/csl-citation.json"} </w:instrText>
      </w:r>
      <w:r w:rsidRPr="009867C1">
        <w:fldChar w:fldCharType="separate"/>
      </w:r>
      <w:r w:rsidR="0042141C" w:rsidRPr="009867C1">
        <w:t>(Delgado-Baquerizo et al., 2018)</w:t>
      </w:r>
      <w:r w:rsidRPr="009867C1">
        <w:fldChar w:fldCharType="end"/>
      </w:r>
      <w:r w:rsidRPr="009867C1">
        <w:t xml:space="preserve">. This is </w:t>
      </w:r>
      <w:r w:rsidR="00170047">
        <w:t>reflective</w:t>
      </w:r>
      <w:r w:rsidRPr="009867C1">
        <w:t xml:space="preserve"> </w:t>
      </w:r>
      <w:r w:rsidR="00170047">
        <w:t xml:space="preserve">of </w:t>
      </w:r>
      <w:r w:rsidRPr="009867C1">
        <w:t>the low pH and high organic matter content of the soils at these sites (</w:t>
      </w:r>
      <w:r w:rsidR="00F534F7">
        <w:t>C</w:t>
      </w:r>
      <w:r w:rsidRPr="00F534F7">
        <w:t>hapter 2</w:t>
      </w:r>
      <w:r w:rsidRPr="009867C1">
        <w:t xml:space="preserve">) and generally in the Pacific Northwest </w:t>
      </w:r>
      <w:r w:rsidRPr="009867C1">
        <w:fldChar w:fldCharType="begin"/>
      </w:r>
      <w:r w:rsidR="00AC0205">
        <w:instrText xml:space="preserve"> ADDIN ZOTERO_ITEM CSL_CITATION {"citationID":"uBoryATn","properties":{"formattedCitation":"(Buotte et al., 2020; Oliver et al., 2017)","plainCitation":"(Buotte et al., 2020; Oliver et al., 2017)","noteIndex":0},"citationItems":[{"id":177,"uris":["http://zotero.org/users/2189142/items/33XGMGXK"],"itemData":{"id":177,"type":"article-journal","abstract":"Forest carbon sequestration via forest preservation can be a viable climate change mitigation strategy. Here, we identify forests in the western conterminous United States with high potential carbon sequestration and low vulnerability to future drought and fire, as simulated using the Community Land Model and two high carbon emission scenario (RCP 8.5) climate models. High-productivity, low-vulnerability forests have the potential to sequester up to 5,450 Tg CO2 equivalent (1,485 Tg C) by 2099, which is up to 20% of the global mitigation potential previously identified for all temperate and boreal forests, or up to 6 yr of current regional fossil fuel emissions. Additionally, these forests currently have high above- and belowground carbon density, high tree species richness, and a high proportion of critical habitat for endangered vertebrate species, indicating a strong potential to support biodiversity into the future and promote ecosystem resilience to climate change. We stress that some forest lands have low carbon sequestration potential but high biodiversity, underscoring the need to consider multiple criteria when designing a land preservation portfolio. Our work demonstrates how process models and ecological criteria can be used to prioritize landscape preservation for mitigating greenhouse gas emissions and preserving biodiversity in a rapidly changing climate.","container-title":"Ecological Applications","DOI":"10.1002/eap.2039","ISSN":"1939-5582","issue":"2","language":"en","note":"_eprint: https://onlinelibrary.wiley.com/doi/pdf/10.1002/eap.2039","page":"e02039","source":"Wiley Online Library","title":"Carbon sequestration and biodiversity co-benefits of preserving forests in the western United States","volume":"30","author":[{"family":"Buotte","given":"Polly C."},{"family":"Law","given":"Beverly E."},{"family":"Ripple","given":"William J."},{"family":"Berner","given":"Logan T."}],"issued":{"date-parts":[["2020"]]},"citation-key":"buotte_2020"}},{"id":1696,"uris":["http://zotero.org/users/2189142/items/K3YQ6QXN"],"itemData":{"id":1696,"type":"article-journal","abstract":"&lt;p&gt;&lt;strong&gt;Abstract.&lt;/strong&gt; The perhumid region of the coastal temperate rainforest (CTR) of Pacific North America is one of the wettest places on Earth and contains numerous small catchments that discharge freshwater and high concentrations of dissolved organic carbon (DOC) directly to the coastal ocean. However, empirical data on the flux and composition of DOC exported from these watersheds are scarce. We established monitoring stations at the outlets of seven catchments on Calvert and Hecate islands, British Columbia, which represent the rain-dominated hypermaritime region of the perhumid CTR. Over several years, we measured stream discharge, stream water DOC concentration, and stream water dissolved organic-matter (DOM) composition. Discharge and DOC concentrations were used to calculate DOC fluxes and yields, and DOM composition was characterized using absorbance and fluorescence spectroscopy with parallel factor analysis (PARAFAC). The areal estimate of annual DOC yield in water year 2015 was 33.3 Mg C km&lt;sup&gt;−2&lt;/sup&gt; yr&lt;sup&gt;−1&lt;/sup&gt;, with individual watersheds ranging from an average of 24.1 to 37.7 Mg C km&lt;sup&gt;−2&lt;/sup&gt; yr&lt;sup&gt;−1&lt;/sup&gt;. This represents some of the highest DOC yields to be measured at the coastal margin. We observed seasonality in the quantity and composition of exports, with the majority of DOC export occurring during the extended wet period (September–April). Stream flow from catchments reacted quickly to rain inputs, resulting in rapid export of relatively fresh, highly terrestrial-like DOM. DOC concentration and measures of DOM composition were related to stream discharge and stream temperature and correlated with watershed attributes, including the extent of lakes and wetlands, and the thickness of organic and mineral soil horizons. Our discovery of high DOC yields from these small catchments in the CTR is especially compelling as they deliver relatively fresh, highly terrestrial organic matter directly to the coastal ocean. Hypermaritime landscapes are common on the British Columbia coast, suggesting that this coastal margin may play an important role in the regional processing of carbon and in linking terrestrial carbon to marine ecosystems.&lt;/p&gt;","container-title":"Biogeosciences","DOI":"https://doi.org/10.5194/bg-14-3743-2017","ISSN":"1726-4170","issue":"15","language":"English","page":"3743-3762","source":"www.biogeosciences.net","title":"A global hotspot for dissolved organic carbon in hypermaritime watersheds of coastal British Columbia","volume":"14","author":[{"family":"Oliver","given":"Allison A."},{"family":"Tank","given":"Suzanne E."},{"family":"Giesbrecht","given":"Ian"},{"family":"Korver","given":"Maartje C."},{"family":"Floyd","given":"William C."},{"family":"Sanborn","given":"Paul"},{"family":"Bulmer","given":"Chuck"},{"family":"Lertzman","given":"Ken P."}],"issued":{"date-parts":[["2017",8,15]]},"citation-key":"oliver_2017"}}],"schema":"https://github.com/citation-style-language/schema/raw/master/csl-citation.json"} </w:instrText>
      </w:r>
      <w:r w:rsidRPr="009867C1">
        <w:fldChar w:fldCharType="separate"/>
      </w:r>
      <w:r w:rsidR="0042141C" w:rsidRPr="009867C1">
        <w:t>(Buotte et al., 2020; Oliver et al., 2017)</w:t>
      </w:r>
      <w:r w:rsidRPr="009867C1">
        <w:fldChar w:fldCharType="end"/>
      </w:r>
      <w:r w:rsidRPr="009867C1">
        <w:t xml:space="preserve">. Relative to these typical ‘low-pH’ clusters however </w:t>
      </w:r>
      <w:r w:rsidR="00FA4FE5">
        <w:t>I</w:t>
      </w:r>
      <w:r w:rsidRPr="009867C1">
        <w:t xml:space="preserve"> found some key differences: we found relatively low abundances of </w:t>
      </w:r>
      <w:r w:rsidRPr="009867C1">
        <w:rPr>
          <w:i/>
          <w:iCs/>
        </w:rPr>
        <w:t>Actinobacteria</w:t>
      </w:r>
      <w:r w:rsidRPr="009867C1">
        <w:t xml:space="preserve"> and </w:t>
      </w:r>
      <w:r w:rsidRPr="009867C1">
        <w:rPr>
          <w:i/>
          <w:iCs/>
        </w:rPr>
        <w:t>Chloroflexi</w:t>
      </w:r>
      <w:r w:rsidRPr="009867C1">
        <w:t xml:space="preserve">, and higher abundances of </w:t>
      </w:r>
      <w:r w:rsidRPr="009867C1">
        <w:rPr>
          <w:i/>
          <w:iCs/>
        </w:rPr>
        <w:t>Bacteroidetes</w:t>
      </w:r>
      <w:r w:rsidRPr="009867C1">
        <w:t xml:space="preserve"> and </w:t>
      </w:r>
      <w:r w:rsidRPr="009867C1">
        <w:rPr>
          <w:i/>
          <w:iCs/>
        </w:rPr>
        <w:t>Verrucomicrobia</w:t>
      </w:r>
      <w:r w:rsidRPr="009867C1">
        <w:t xml:space="preserve">. </w:t>
      </w:r>
    </w:p>
    <w:p w14:paraId="5CFDF49D" w14:textId="06E2830F" w:rsidR="00086155" w:rsidRPr="009867C1" w:rsidRDefault="00086155" w:rsidP="00086155">
      <w:pPr>
        <w:ind w:firstLine="720"/>
      </w:pPr>
      <w:r w:rsidRPr="009867C1">
        <w:t xml:space="preserve">The ratio of common to rare ASVs found here (~2%) is identical to estimates on a global scale </w:t>
      </w:r>
      <w:r w:rsidRPr="009867C1">
        <w:fldChar w:fldCharType="begin"/>
      </w:r>
      <w:r w:rsidR="00AC0205">
        <w:instrText xml:space="preserve"> ADDIN ZOTERO_ITEM CSL_CITATION {"citationID":"jJ8Yxtu7","properties":{"formattedCitation":"(Delgado-Baquerizo et al., 2018)","plainCitation":"(Delgado-Baquerizo et al., 2018)","noteIndex":0},"citationItems":[{"id":51,"uris":["http://zotero.org/users/2189142/items/H9NXE7QF"],"itemData":{"id":51,"type":"article-journal","abstract":"A global map of soil bacteria\nSoil bacteria play key roles in regulating terrestrial carbon dynamics, nutrient cycles, and plant productivity. However, the natural histories and distributions of these organisms remain largely undocumented. Delgado-Baquerizo et al. provide a survey of the dominant bacterial taxa found around the world. In soil collections from six continents, they found that only 2% of bacterial taxa account for nearly half of the soil bacterial communities across the globe. These dominant taxa could be clustered into ecological groups of co-occurring bacteria that share habitat preferences. The findings will allow for a more predictive understanding of soil bacterial diversity and distribution.\nScience, this issue p. 320\nThe immense diversity of soil bacterial communities has stymied efforts to characterize individual taxa and document their global distributions. We analyzed soils from 237 locations across six continents and found that only 2% of bacterial phylotypes (~500 phylotypes) consistently accounted for almost half of the soil bacterial communities worldwide. Despite the overwhelming diversity of bacterial communities, relatively few bacterial taxa are abundant in soils globally. We clustered these dominant taxa into ecological groups to build the first global atlas of soil bacterial taxa. Our study narrows down the immense number of bacterial taxa to a “most wanted” list that will be fruitful targets for genomic and cultivation-based efforts aimed at improving our understanding of soil microbes and their contributions to ecosystem functioning.\nRelatively few soil bacterial taxa dominate terrestrial ecosystems worldwide, with predictable distributions and ecology.\nRelatively few soil bacterial taxa dominate terrestrial ecosystems worldwide, with predictable distributions and ecology.","container-title":"Science","DOI":"10.1126/science.aap9516","ISSN":"0036-8075, 1095-9203","issue":"6373","language":"en","note":"publisher: American Association for the Advancement of Science\nsection: Report\nPMID: 29348236","page":"320-325","source":"science-sciencemag-org.ezproxy.library.ubc.ca","title":"A global atlas of the dominant bacteria found in soil","volume":"359","author":[{"family":"Delgado-Baquerizo","given":"Manuel"},{"family":"Oliverio","given":"Angela M."},{"family":"Brewer","given":"Tess E."},{"family":"Benavent-González","given":"Alberto"},{"family":"Eldridge","given":"David J."},{"family":"Bardgett","given":"Richard D."},{"family":"Maestre","given":"Fernando T."},{"family":"Singh","given":"Brajesh K."},{"family":"Fierer","given":"Noah"}],"issued":{"date-parts":[["2018",1,19]]},"citation-key":"delgado-baquerizo_2018"}}],"schema":"https://github.com/citation-style-language/schema/raw/master/csl-citation.json"} </w:instrText>
      </w:r>
      <w:r w:rsidRPr="009867C1">
        <w:fldChar w:fldCharType="separate"/>
      </w:r>
      <w:r w:rsidR="0042141C" w:rsidRPr="009867C1">
        <w:t>(Delgado-Baquerizo et al., 2018)</w:t>
      </w:r>
      <w:r w:rsidRPr="009867C1">
        <w:fldChar w:fldCharType="end"/>
      </w:r>
      <w:r w:rsidRPr="009867C1">
        <w:t xml:space="preserve">. The prevalence of ASVs with highly localized distribution (one or two sites) highlights the high diversity and high localization of microbial diversity in temperate rainforests </w:t>
      </w:r>
      <w:r w:rsidRPr="009867C1">
        <w:fldChar w:fldCharType="begin"/>
      </w:r>
      <w:r w:rsidR="00AC0205">
        <w:instrText xml:space="preserve"> ADDIN ZOTERO_ITEM CSL_CITATION {"citationID":"y6zVoxnR","properties":{"formattedCitation":"(Llad\\uc0\\u243{} et al., 2018)","plainCitation":"(Lladó et al., 2018)","noteIndex":0},"citationItems":[{"id":60,"uris":["http://zotero.org/users/2189142/items/9YQG5IFP"],"itemData":{"id":60,"type":"article-journal","abstract":"Forests are essential biomes for global biogeochemical cycles, and belowground microorganisms have a key role in providing relevant ecosystem services. To predict the effects of environmental changes on these ecosystem services requires a comprehensive understanding of how biotic and abiotic factors drive the composition of microbial communities in soil. However, microorganisms are not homogeneously distributed in complex environments such as soil, with different features affecting microbes at different extent depending on the niche they occupy. Indeed, this spatial heterogeneity hampers the extrapolation of microbial diversity study results from particular habitats to the ecosystem level, even if the resolution of the more recent studies has increased significantly after the standardization of high-throughput sequencing techniques. The present work intends to give a comprehensive view of the knowledge accumulated until date defining the more important drivers determining the structure of forest soil microbial communities from fine to continental scales.","container-title":"Applied Microbiology and Biotechnology","DOI":"10.1007/s00253-018-8950-4","ISSN":"1432-0614","issue":"10","journalAbbreviation":"Appl Microbiol Biotechnol","language":"en","page":"4331-4338","source":"Springer Link","title":"Drivers of microbial community structure in forest soils","volume":"102","author":[{"family":"Lladó","given":"Salvador"},{"family":"López-Mondéjar","given":"Rubén"},{"family":"Baldrian","given":"Petr"}],"issued":{"date-parts":[["2018",5,1]]},"citation-key":"llado_2018"}}],"schema":"https://github.com/citation-style-language/schema/raw/master/csl-citation.json"} </w:instrText>
      </w:r>
      <w:r w:rsidRPr="009867C1">
        <w:fldChar w:fldCharType="separate"/>
      </w:r>
      <w:r w:rsidR="0042141C" w:rsidRPr="009867C1">
        <w:t>(Lladó et al., 2018)</w:t>
      </w:r>
      <w:r w:rsidRPr="009867C1">
        <w:fldChar w:fldCharType="end"/>
      </w:r>
      <w:r w:rsidRPr="009867C1">
        <w:t xml:space="preserve">. The soils here have the highest carbon and organic matter contents </w:t>
      </w:r>
      <w:r w:rsidR="009D0E16">
        <w:t>on</w:t>
      </w:r>
      <w:r w:rsidRPr="009867C1">
        <w:t xml:space="preserve"> the planet (</w:t>
      </w:r>
      <w:r w:rsidR="00F534F7">
        <w:t>C</w:t>
      </w:r>
      <w:r w:rsidRPr="00F534F7">
        <w:t>hapter 2</w:t>
      </w:r>
      <w:r w:rsidRPr="009867C1">
        <w:t xml:space="preserve">; </w:t>
      </w:r>
      <w:r w:rsidRPr="009867C1">
        <w:fldChar w:fldCharType="begin"/>
      </w:r>
      <w:r w:rsidR="00AC0205">
        <w:instrText xml:space="preserve"> ADDIN ZOTERO_ITEM CSL_CITATION {"citationID":"MRMiXPGM","properties":{"formattedCitation":"(Oliver et al., 2017)","plainCitation":"(Oliver et al., 2017)","dontUpdate":true,"noteIndex":0},"citationItems":[{"id":1696,"uris":["http://zotero.org/users/2189142/items/K3YQ6QXN"],"itemData":{"id":1696,"type":"article-journal","abstract":"&lt;p&gt;&lt;strong&gt;Abstract.&lt;/strong&gt; The perhumid region of the coastal temperate rainforest (CTR) of Pacific North America is one of the wettest places on Earth and contains numerous small catchments that discharge freshwater and high concentrations of dissolved organic carbon (DOC) directly to the coastal ocean. However, empirical data on the flux and composition of DOC exported from these watersheds are scarce. We established monitoring stations at the outlets of seven catchments on Calvert and Hecate islands, British Columbia, which represent the rain-dominated hypermaritime region of the perhumid CTR. Over several years, we measured stream discharge, stream water DOC concentration, and stream water dissolved organic-matter (DOM) composition. Discharge and DOC concentrations were used to calculate DOC fluxes and yields, and DOM composition was characterized using absorbance and fluorescence spectroscopy with parallel factor analysis (PARAFAC). The areal estimate of annual DOC yield in water year 2015 was 33.3 Mg C km&lt;sup&gt;−2&lt;/sup&gt; yr&lt;sup&gt;−1&lt;/sup&gt;, with individual watersheds ranging from an average of 24.1 to 37.7 Mg C km&lt;sup&gt;−2&lt;/sup&gt; yr&lt;sup&gt;−1&lt;/sup&gt;. This represents some of the highest DOC yields to be measured at the coastal margin. We observed seasonality in the quantity and composition of exports, with the majority of DOC export occurring during the extended wet period (September–April). Stream flow from catchments reacted quickly to rain inputs, resulting in rapid export of relatively fresh, highly terrestrial-like DOM. DOC concentration and measures of DOM composition were related to stream discharge and stream temperature and correlated with watershed attributes, including the extent of lakes and wetlands, and the thickness of organic and mineral soil horizons. Our discovery of high DOC yields from these small catchments in the CTR is especially compelling as they deliver relatively fresh, highly terrestrial organic matter directly to the coastal ocean. Hypermaritime landscapes are common on the British Columbia coast, suggesting that this coastal margin may play an important role in the regional processing of carbon and in linking terrestrial carbon to marine ecosystems.&lt;/p&gt;","container-title":"Biogeosciences","DOI":"https://doi.org/10.5194/bg-14-3743-2017","ISSN":"1726-4170","issue":"15","language":"English","page":"3743-3762","source":"www.biogeosciences.net","title":"A global hotspot for dissolved organic carbon in hypermaritime watersheds of coastal British Columbia","volume":"14","author":[{"family":"Oliver","given":"Allison A."},{"family":"Tank","given":"Suzanne E."},{"family":"Giesbrecht","given":"Ian"},{"family":"Korver","given":"Maartje C."},{"family":"Floyd","given":"William C."},{"family":"Sanborn","given":"Paul"},{"family":"Bulmer","given":"Chuck"},{"family":"Lertzman","given":"Ken P."}],"issued":{"date-parts":[["2017",8,15]]},"citation-key":"oliver_2017"}}],"schema":"https://github.com/citation-style-language/schema/raw/master/csl-citation.json"} </w:instrText>
      </w:r>
      <w:r w:rsidRPr="009867C1">
        <w:fldChar w:fldCharType="separate"/>
      </w:r>
      <w:r w:rsidR="0042141C" w:rsidRPr="009867C1">
        <w:t>Oliver et al., 2017</w:t>
      </w:r>
      <w:r w:rsidRPr="009867C1">
        <w:fldChar w:fldCharType="end"/>
      </w:r>
      <w:r w:rsidRPr="009867C1">
        <w:t xml:space="preserve">), which is a major driver of microbial diversity in global datasets </w:t>
      </w:r>
      <w:r w:rsidRPr="009867C1">
        <w:fldChar w:fldCharType="begin"/>
      </w:r>
      <w:r w:rsidR="00AC0205">
        <w:instrText xml:space="preserve"> ADDIN ZOTERO_ITEM CSL_CITATION {"citationID":"S7iUwY8Y","properties":{"formattedCitation":"(Llad\\uc0\\u243{} et al., 2018)","plainCitation":"(Lladó et al., 2018)","noteIndex":0},"citationItems":[{"id":60,"uris":["http://zotero.org/users/2189142/items/9YQG5IFP"],"itemData":{"id":60,"type":"article-journal","abstract":"Forests are essential biomes for global biogeochemical cycles, and belowground microorganisms have a key role in providing relevant ecosystem services. To predict the effects of environmental changes on these ecosystem services requires a comprehensive understanding of how biotic and abiotic factors drive the composition of microbial communities in soil. However, microorganisms are not homogeneously distributed in complex environments such as soil, with different features affecting microbes at different extent depending on the niche they occupy. Indeed, this spatial heterogeneity hampers the extrapolation of microbial diversity study results from particular habitats to the ecosystem level, even if the resolution of the more recent studies has increased significantly after the standardization of high-throughput sequencing techniques. The present work intends to give a comprehensive view of the knowledge accumulated until date defining the more important drivers determining the structure of forest soil microbial communities from fine to continental scales.","container-title":"Applied Microbiology and Biotechnology","DOI":"10.1007/s00253-018-8950-4","ISSN":"1432-0614","issue":"10","journalAbbreviation":"Appl Microbiol Biotechnol","language":"en","page":"4331-4338","source":"Springer Link","title":"Drivers of microbial community structure in forest soils","volume":"102","author":[{"family":"Lladó","given":"Salvador"},{"family":"López-Mondéjar","given":"Rubén"},{"family":"Baldrian","given":"Petr"}],"issued":{"date-parts":[["2018",5,1]]},"citation-key":"llado_2018"}}],"schema":"https://github.com/citation-style-language/schema/raw/master/csl-citation.json"} </w:instrText>
      </w:r>
      <w:r w:rsidRPr="009867C1">
        <w:fldChar w:fldCharType="separate"/>
      </w:r>
      <w:r w:rsidR="0042141C" w:rsidRPr="009867C1">
        <w:t>(Lladó et al., 2018)</w:t>
      </w:r>
      <w:r w:rsidRPr="009867C1">
        <w:fldChar w:fldCharType="end"/>
      </w:r>
      <w:r w:rsidRPr="009867C1">
        <w:t xml:space="preserve">. Indeed, the coastal </w:t>
      </w:r>
      <w:r w:rsidR="009D0E16">
        <w:t>P</w:t>
      </w:r>
      <w:r w:rsidRPr="009867C1">
        <w:t xml:space="preserve">acific </w:t>
      </w:r>
      <w:r w:rsidR="009D0E16">
        <w:t>N</w:t>
      </w:r>
      <w:r w:rsidRPr="009867C1">
        <w:t xml:space="preserve">orthwest remains a global hotspot of unknown and uncharacterized bacterial communities </w:t>
      </w:r>
      <w:r w:rsidRPr="009867C1">
        <w:fldChar w:fldCharType="begin"/>
      </w:r>
      <w:r w:rsidR="00AC0205">
        <w:instrText xml:space="preserve"> ADDIN ZOTERO_ITEM CSL_CITATION {"citationID":"CXLk6kTD","properties":{"formattedCitation":"(Delgado-Baquerizo, 2019)","plainCitation":"(Delgado-Baquerizo, 2019)","noteIndex":0},"citationItems":[{"id":2324,"uris":["http://zotero.org/users/2189142/items/DXD47A9J"],"itemData":{"id":2324,"type":"article-journal","abstract":"Many soil bacteria and fungi remain unclassified at the highest taxonomic ranks (e.g. phyla level), which hampers our ability to assess the ecology and functional capabilities of these soil organisms in terrestrial ecosystems globally. The first logical step toward the classification of these unknown soil taxa is to identify potential locations on Earth where these unclassified bacteria and fungi are feasibly most prevalent. To do this, here I used data from a global soil survey across 235 locations, including amplicon sequencing information for fungal and bacterial communities, and generated global atlases highlighting those soils where the percentages of taxa of bacteria and fungi with an unknown phyla are expected to be more prevalent. Results indicate that soil samples with the largest percentage of fungal taxa with an unknown phyla can be found in dry forests and grasslands, while those with the largest percentage of bacterial taxa with an unknown phyla are found in boreal and tropical forests. This information can be used by taxonomists and microbiologists to target these potentially new soil taxa.","container-title":"The ISME Journal","DOI":"10.1038/s41396-019-0405-0","ISSN":"1751-7362","issue":"8","journalAbbreviation":"ISME J","note":"PMID: 30926921\nPMCID: PMC6776042","page":"2120-2124","source":"PubMed Central","title":"Obscure soil microbes and where to find them","volume":"13","author":[{"family":"Delgado-Baquerizo","given":"Manuel"}],"issued":{"date-parts":[["2019",8]]},"citation-key":"delgado-baquerizo_2019"}}],"schema":"https://github.com/citation-style-language/schema/raw/master/csl-citation.json"} </w:instrText>
      </w:r>
      <w:r w:rsidRPr="009867C1">
        <w:fldChar w:fldCharType="separate"/>
      </w:r>
      <w:r w:rsidR="0042141C" w:rsidRPr="009867C1">
        <w:t>(Delgado-Baquerizo, 2019)</w:t>
      </w:r>
      <w:r w:rsidRPr="009867C1">
        <w:fldChar w:fldCharType="end"/>
      </w:r>
      <w:r w:rsidRPr="009867C1">
        <w:t xml:space="preserve">. </w:t>
      </w:r>
    </w:p>
    <w:p w14:paraId="159E009B" w14:textId="77777777" w:rsidR="00086155" w:rsidRPr="009867C1" w:rsidRDefault="00086155" w:rsidP="00086155">
      <w:pPr>
        <w:pStyle w:val="Heading4"/>
      </w:pPr>
      <w:bookmarkStart w:id="230" w:name="_Toc99385491"/>
      <w:r w:rsidRPr="009867C1">
        <w:t>Responses of bacterial communities to MDN inputs</w:t>
      </w:r>
      <w:bookmarkEnd w:id="230"/>
    </w:p>
    <w:p w14:paraId="6DF22CFB" w14:textId="4A382795" w:rsidR="00086155" w:rsidRPr="009867C1" w:rsidRDefault="00086155" w:rsidP="00086155">
      <w:pPr>
        <w:ind w:firstLine="720"/>
      </w:pPr>
      <w:r w:rsidRPr="009867C1">
        <w:t xml:space="preserve">The first part of </w:t>
      </w:r>
      <w:r w:rsidR="009D0E16">
        <w:t>my</w:t>
      </w:r>
      <w:r w:rsidRPr="009867C1">
        <w:t xml:space="preserve"> </w:t>
      </w:r>
      <w:r w:rsidR="00AA32BD">
        <w:t>second</w:t>
      </w:r>
      <w:r w:rsidRPr="009867C1">
        <w:t xml:space="preserve"> hypothesis was that species richness and Shannon diversity would decrease with salmon addition. Contrary to expectations, </w:t>
      </w:r>
      <w:r w:rsidR="009D0E16">
        <w:t>I</w:t>
      </w:r>
      <w:r w:rsidRPr="009867C1">
        <w:t xml:space="preserve"> found no effect of salmon on either richness or Shannon diversity. </w:t>
      </w:r>
      <w:r w:rsidR="00AA32BD">
        <w:t>However</w:t>
      </w:r>
      <w:r w:rsidRPr="009867C1">
        <w:t xml:space="preserve">, </w:t>
      </w:r>
      <w:r w:rsidR="009D0E16">
        <w:t>I</w:t>
      </w:r>
      <w:r w:rsidRPr="009867C1">
        <w:t xml:space="preserve"> found high importance attributed to moss PCA1 and tree PCA2, indicating that both abundance and diversity </w:t>
      </w:r>
      <w:r w:rsidR="009D0E16">
        <w:t>are</w:t>
      </w:r>
      <w:r w:rsidRPr="009867C1">
        <w:t xml:space="preserve"> driven by the availability of late-stage decaying wood and local edaphic conditions. Diversity was also associated with total-N, </w:t>
      </w:r>
      <w:r w:rsidR="00AA32BD">
        <w:t>phosphorus</w:t>
      </w:r>
      <w:r w:rsidRPr="009867C1">
        <w:t xml:space="preserve">, and </w:t>
      </w:r>
      <w:r w:rsidR="00AA32BD">
        <w:t>potassium</w:t>
      </w:r>
      <w:r w:rsidRPr="009867C1">
        <w:t>.</w:t>
      </w:r>
      <w:r w:rsidR="00AA32BD">
        <w:t xml:space="preserve"> </w:t>
      </w:r>
      <w:r w:rsidR="00AA32BD" w:rsidRPr="009867C1">
        <w:t xml:space="preserve">Nitrogen is also a major driver of soil bacterial communities </w:t>
      </w:r>
      <w:r w:rsidR="00AA32BD" w:rsidRPr="009867C1">
        <w:fldChar w:fldCharType="begin"/>
      </w:r>
      <w:r w:rsidR="00AC0205">
        <w:instrText xml:space="preserve"> ADDIN ZOTERO_ITEM CSL_CITATION {"citationID":"4WOH7fLw","properties":{"formattedCitation":"(Fierer, 2017)","plainCitation":"(Fierer, 2017)","noteIndex":0},"citationItems":[{"id":67,"uris":["http://zotero.org/users/2189142/items/A9TVLE6G"],"itemData":{"id":67,"type":"article-journal","abstract":"Soils can contain large amounts of microbial biomass, including fungi, protists, viruses, bacteria and archaea. Most of these taxa currently remain undescribed, and have physiological and ecological attributes that are unknown.Soil microbial communities are highly diverse, in part because soil environmental conditions are so heterogeneous. In a single soil there is a wide range of distinct microbial habitats that contain unique microbial assemblages.Spatial variability in the structure of soil microbial communities is typically larger than the temporal variability. The composition of soil bacterial communities and the abundances of specific taxa are often predictable from soil and site characteristics, including soil pH, climate and organic carbon availability.Plants can clearly have important direct or indirect effects on soil microbial communities and vice versa. However, the effects of plant species on microbial taxa are often difficult to predict a priori owing, in part, to plant associations with soil microorganisms being highly context-dependent.Linking specific soil microbial processes to specific microbial taxa remains difficult. One way to tackle this problem is to use genomic data to group microbial taxa according to shared similar life-history strategies and functional attributes.Given recent methodological and conceptual advances, the field is poised to rapidly advance our understanding of the soil microbiome. Promising future research directions include cultivation-based analyses of soil microbial taxa, studies of soil viruses and investigations into the importance of horizontal gene transfer in shaping the soil microbiome.","container-title":"Nature Reviews Microbiology","DOI":"10.1038/nrmicro.2017.87","ISSN":"1740-1534","issue":"10","language":"en","note":"number: 10\npublisher: Nature Publishing Group","page":"579-590","source":"www-nature-com.ezproxy.library.ubc.ca","title":"Embracing the unknown: disentangling the complexities of the soil microbiome","title-short":"Embracing the unknown","volume":"15","author":[{"family":"Fierer","given":"Noah"}],"issued":{"date-parts":[["2017",10]]},"citation-key":"fierer_2017"}}],"schema":"https://github.com/citation-style-language/schema/raw/master/csl-citation.json"} </w:instrText>
      </w:r>
      <w:r w:rsidR="00AA32BD" w:rsidRPr="009867C1">
        <w:fldChar w:fldCharType="separate"/>
      </w:r>
      <w:r w:rsidR="00AA32BD" w:rsidRPr="009867C1">
        <w:t>(Fierer, 2017)</w:t>
      </w:r>
      <w:r w:rsidR="00AA32BD" w:rsidRPr="009867C1">
        <w:fldChar w:fldCharType="end"/>
      </w:r>
      <w:r w:rsidR="00AA32BD" w:rsidRPr="009867C1">
        <w:t xml:space="preserve">, and higher nitrogen availability increases bacteria : fungi biomass ratios </w:t>
      </w:r>
      <w:r w:rsidR="00AA32BD" w:rsidRPr="009867C1">
        <w:fldChar w:fldCharType="begin"/>
      </w:r>
      <w:r w:rsidR="00AC0205">
        <w:instrText xml:space="preserve"> ADDIN ZOTERO_ITEM CSL_CITATION {"citationID":"twvgFvIr","properties":{"formattedCitation":"(X. Wang et al., 2019)","plainCitation":"(X. Wang et al., 2019)","noteIndex":0},"citationItems":[{"id":"Mdw2eqP8/smoWpt7y","uris":["http://zotero.org/users/2189142/items/S9F5YQ5G"],"itemData":{"id":24,"type":"article-journal","abstract":"Bacteria and fungi are the primary consumers and, thus, the decomposition pathways are described accordingly as bacterial-based or fungal-based energy channels. However, the fungi to bacteria ratios (F: B), which indicated either by microbial biomass, respiration, or growth, represents only a snapshot of the whole energy channel during a given period rather than the cumulative contribution. Even the energy channel biomass only takes into account one dimension without considering the time. We believe that the F: B ratio has been misinterpreted in an ecological sense due to a lack of a clear definition. Here, we estimated the F: B biomass ratios, production ratios (microbial biomass multiplied by the turnover rate) and assimilation ratios (the sum of microbial production and respiration) using a dataset from 192 relevant studies. The F: B biomass ratios varied from 0.106 to 9.080, depending on the methods used. Based on direct microscopy method, the fungal/(fungal + bacterial) production and assimilation ratios ranged from 0.39 to 54.78% and 0.25–45.05%, respectively; while, those ratios based on phospholipids fatty acids (PLFAs) method were 0.06–5.51% and 0.04–0.66%, respectively. We conclude that bacteria contributes greater to the energy flow in terrestrial ecosystems compared with fungi based on the F: B assimilation. The relative contribution of bacteria and fungi can be better evaluated using the F: B assimilation ratio, rather than the biomass ratio or production ratio. Nevertheless, there are still uncertainties in the estimations of microbial production and assimilation due to their complicated responses to soil fauna activities. The regulation of soil fauna on microbial biomass, turnover rate and respiration, and associated changes in the energy allocations in the soil food web should be emphasised in future studies.","container-title":"Acta Oecologica","DOI":"10.1016/j.actao.2018.10.003","ISSN":"1146-609X","journalAbbreviation":"Acta Oecologica","language":"en","page":"1-11","source":"ScienceDirect","title":"Fungi to bacteria ratio: Historical misinterpretations and potential implications","title-short":"Fungi to bacteria ratio","volume":"95","author":[{"family":"Wang","given":"Xiaoli"},{"family":"Zhang","given":"Weixin"},{"family":"Shao","given":"Yuanhu"},{"family":"Zhao","given":"Jie"},{"family":"Zhou","given":"Lixia"},{"family":"Zou","given":"Xiaoming"},{"family":"Fu","given":"Shenglei"}],"issued":{"date-parts":[["2019",2,1]]}}}],"schema":"https://github.com/citation-style-language/schema/raw/master/csl-citation.json"} </w:instrText>
      </w:r>
      <w:r w:rsidR="00AA32BD" w:rsidRPr="009867C1">
        <w:fldChar w:fldCharType="separate"/>
      </w:r>
      <w:r w:rsidR="00AA32BD" w:rsidRPr="009867C1">
        <w:t>(X. Wang et al., 2019)</w:t>
      </w:r>
      <w:r w:rsidR="00AA32BD" w:rsidRPr="009867C1">
        <w:fldChar w:fldCharType="end"/>
      </w:r>
      <w:r w:rsidR="00AA32BD" w:rsidRPr="009867C1">
        <w:t xml:space="preserve">. </w:t>
      </w:r>
      <w:r w:rsidR="00AA32BD">
        <w:t xml:space="preserve">Phosphorus availability </w:t>
      </w:r>
      <w:r w:rsidR="00EF2F32">
        <w:t xml:space="preserve">has been found to increase soil microbial biomass </w:t>
      </w:r>
      <w:r w:rsidR="00EF2F32">
        <w:fldChar w:fldCharType="begin"/>
      </w:r>
      <w:r w:rsidR="00AC0205">
        <w:instrText xml:space="preserve"> ADDIN ZOTERO_ITEM CSL_CITATION {"citationID":"obuXHQxB","properties":{"formattedCitation":"(Shi et al., 2013)","plainCitation":"(Shi et al., 2013)","noteIndex":0},"citationItems":[{"id":10654,"uris":["http://zotero.org/users/2189142/items/YDCDBCSC"],"itemData":{"id":10654,"type":"article-journal","abstract":"No-tillage systems contribute to physical, chemical and biological changes in the soil. The effects of different tillage practices and phosphorus (P) fertilization on soil microbial biomass, activity, and community structure were studied during the maize growing season in a maize–soybean rotation established for 18 years in eastern Canada. Soil samples were collected at two depths (0–10 and 10–20 cm) under mouldboard plow (MP) and no-till (NT) management and fertilized with 0, 17.5, and 35 kg P ha−1. Results show that the duration of the growing season had a greater effect on soil microbiota properties than soil tillage or P fertilization at both soil depths. Seasonal fluctuations in soil microbial biomass carbon (SMB-C) and nitrogen (SMB-N), in dehydrogenase and alkaline phosphomonoesterase activities, and in total phospholipids fatty acid (PLFA) level, were greater under NT than MP management. The PLFA biomarkers separated treatments primarily by sampling date and secondly by tillage management, but were not significantly affected by P fertilization. The abundance of arbuscular mycorrhizal fungi (AMF; C16:1ω5) and fungi (C18:2ω6,9) was lower under NT than MP at the 10–20-cm soil depth in July. Phosphorus fertilization increased soil microbial biomass phosphorus (SMB-P) and Mehlich-3 extractable P, but had a limited impact on the other soil properties. In conclusion, soil environmental factors and tillage had a greater effect on microorganisms (biomass and activity) and community structure than P fertilization.","container-title":"Biology and Fertility of Soils","DOI":"10.1007/s00374-013-0773-y","ISSN":"1432-0789","issue":"7","journalAbbreviation":"Biol Fertil Soils","language":"en","page":"803-818","source":"Springer Link","title":"Seasonal variation of microbial biomass, activity, and community structure in soil under different tillage and phosphorus management practices","volume":"49","author":[{"family":"Shi","given":"Yichao"},{"family":"Lalande","given":"Roger"},{"family":"Hamel","given":"Chantal"},{"family":"Ziadi","given":"Noura"},{"family":"Gagnon","given":"Bernard"},{"family":"Hu","given":"Zhengyi"}],"issued":{"date-parts":[["2013",10,1]]},"citation-key":"shi_2013"}}],"schema":"https://github.com/citation-style-language/schema/raw/master/csl-citation.json"} </w:instrText>
      </w:r>
      <w:r w:rsidR="00EF2F32">
        <w:fldChar w:fldCharType="separate"/>
      </w:r>
      <w:r w:rsidR="00EF2F32" w:rsidRPr="00EF2F32">
        <w:t>(Shi et al., 2013)</w:t>
      </w:r>
      <w:r w:rsidR="00EF2F32">
        <w:fldChar w:fldCharType="end"/>
      </w:r>
      <w:r w:rsidR="00EF2F32">
        <w:t xml:space="preserve">, although it likely </w:t>
      </w:r>
      <w:r w:rsidR="00AA32BD">
        <w:t>interacts with mycorrhizal activity</w:t>
      </w:r>
      <w:r w:rsidR="00742873">
        <w:t xml:space="preserve"> </w:t>
      </w:r>
      <w:r w:rsidR="00742873">
        <w:fldChar w:fldCharType="begin"/>
      </w:r>
      <w:r w:rsidR="00AC0205">
        <w:instrText xml:space="preserve"> ADDIN ZOTERO_ITEM CSL_CITATION {"citationID":"t0mDcBYe","properties":{"formattedCitation":"(L. Zhang et al., 2018)","plainCitation":"(L. Zhang et al., 2018)","noteIndex":0},"citationItems":[{"id":10650,"uris":["http://zotero.org/users/2189142/items/PQMGGHBM"],"itemData":{"id":10650,"type":"article-journal","abstract":"The extraradical hyphae of arbuscular mycorrhizal fungi (AMF) harbour and interact with a microbial community performing multiple functions. However, how the AMF-microbiome interaction influences the phosphorus (P) acquisition efficiency of the mycorrhizal pathway is unclear. Here we investigated whether AMF and their hyphal microbiome play a role in promoting organic phosphorus (P) mineralizing under field conditions. We developed an AMF hyphae in-growth core system for the field using PVC tubes sealed with membrane with different size of pores (30 or 0.45 μm) to allow or deny AMF hyphae access to a patch of organic P in root-free soil. AMF and their hyphae associated microbiome played a role in enhancing soil organic P mineralization in situ in the field, which was shown to be a function of the change in bacteria community on the hyphae surface. The bacterial communities attached to the AMF hyphae surface were significantly different from those in the bulk soil. Importantly, AMF hyphae recruited bacteria that produced alkaline phosphatase and provided a function that was absent from the hyphae. These results demonstrate the importance of understanding trophic interactions to be able to gain insight into the functional controls of nutrient cycles in the rhizosphere.","container-title":"Environmental Microbiology","DOI":"10.1111/1462-2920.14289","ISSN":"1462-2920","issue":"7","language":"en","note":"_eprint: https://onlinelibrary.wiley.com/doi/pdf/10.1111/1462-2920.14289","page":"2639-2651","source":"Wiley Online Library","title":"Arbuscular mycorrhizal fungi stimulate organic phosphate mobilization associated with changing bacterial community structure under field conditions","volume":"20","author":[{"family":"Zhang","given":"Lin"},{"family":"Shi","given":"Ning"},{"family":"Fan","given":"Jiequn"},{"family":"Wang","given":"Fei"},{"family":"George","given":"Timothy S."},{"family":"Feng","given":"Gu"}],"issued":{"date-parts":[["2018"]]},"citation-key":"zhang_2018"}}],"schema":"https://github.com/citation-style-language/schema/raw/master/csl-citation.json"} </w:instrText>
      </w:r>
      <w:r w:rsidR="00742873">
        <w:fldChar w:fldCharType="separate"/>
      </w:r>
      <w:r w:rsidR="00742873" w:rsidRPr="00742873">
        <w:t>(L. Zhang et al., 2018)</w:t>
      </w:r>
      <w:r w:rsidR="00742873">
        <w:fldChar w:fldCharType="end"/>
      </w:r>
      <w:r w:rsidR="00EF2F32">
        <w:t>.</w:t>
      </w:r>
      <w:r w:rsidR="00AA32BD">
        <w:t xml:space="preserve"> </w:t>
      </w:r>
      <w:r w:rsidRPr="009867C1">
        <w:t xml:space="preserve">Potassium is one of the most important plant nutrients and root-associated bacteria play important roles solubilizing potassium and rendering it accessible to plant hosts </w:t>
      </w:r>
      <w:r w:rsidRPr="009867C1">
        <w:fldChar w:fldCharType="begin"/>
      </w:r>
      <w:r w:rsidR="00AC0205">
        <w:instrText xml:space="preserve"> ADDIN ZOTERO_ITEM CSL_CITATION {"citationID":"7yu33U8R","properties":{"formattedCitation":"(Teotia et al., 2017)","plainCitation":"(Teotia et al., 2017)","noteIndex":0},"citationItems":[{"id":33,"uris":["http://zotero.org/users/2189142/items/GGEEL9M3"],"itemData":{"id":33,"type":"chapter","abstract":"The rhizosphere of plant roots supports a range of potassium-solubilizing microbes (KSMs). These KSMs solubilize the insoluble and unavailable potassium (K) to forms of K available for uptake and transport by the plant. Potassium is one of the unavoidable elements required for growth and yield. The specific rhizospheric microbes that perform the process of K solubilization include both bacteria and fungi, the foremost of which are: Bacillus sp. (B. Mucilaginosus, B. megaterium, B. globisporus, B. edaphicus) Pseudomonas putida, Enterobacter hormaechei, Acidothiobacillus ferrooxidans, Paenibacillus sp., and Arthrobacter sp.) Aspergillus terresus, Fusarium oxysporum, Aspergillus fumigatus, and Aspergillus niger. Agricultural soil particulates hold minerals such as illite, biotite, orthoclase, mica, and feldspar that contain potassium; however, this is not accessible to plants due to its immobilized form. In soil chemistry, after N and P, K is an important element; a major role is played by the rhizosphric microbes in mobilizing the inaccessible form of K to the roots of the plant. The rhizospheric K-solubilizing microbes such as Bacillus, Pseudomonas, and Aspergillus expel organic acids, which solubilize the insoluble K and make it available to plant roots. Most of the research work in this area has been conducted on nitrogen fixing and phosphate-solubilizing microbes. Solubilized K (quickly available) in addition to the existing biofertilizers needs additional consideration at a profitable scale. The current chapter presents information to fill the knowledge gaps about K-solubilizing/mobilizing microorganisms in soil, and looks at the current and future facets of K-solubilizing microbes for enhanced crop production.","container-title":"Probiotics in Agroecosystem","event-place":"Singapore","ISBN":"978-981-10-4059-7","language":"en","note":"DOI: 10.1007/978-981-10-4059-7_24","page":"451-467","publisher":"Springer","publisher-place":"Singapore","source":"Springer Link","title":"Probiotic Microbiome: Potassium Solubilization and Plant Productivity","title-short":"Probiotic Microbiome","URL":"https://doi.org/10.1007/978-981-10-4059-7_24","author":[{"family":"Teotia","given":"Priyanku"},{"family":"Kumar","given":"Vivek"},{"family":"Kumar","given":"Manoj"},{"family":"Prasad","given":"Ram"},{"family":"Sharma","given":"Shivesh"}],"editor":[{"family":"Kumar","given":"Vivek"},{"family":"Kumar","given":"Manoj"},{"family":"Sharma","given":"Shivesh"},{"family":"Prasad","given":"Ram"}],"accessed":{"date-parts":[["2021",1,28]]},"issued":{"date-parts":[["2017"]]},"citation-key":"teotia_2017"}}],"schema":"https://github.com/citation-style-language/schema/raw/master/csl-citation.json"} </w:instrText>
      </w:r>
      <w:r w:rsidRPr="009867C1">
        <w:fldChar w:fldCharType="separate"/>
      </w:r>
      <w:r w:rsidR="0042141C" w:rsidRPr="009867C1">
        <w:t>(Teotia et al., 2017)</w:t>
      </w:r>
      <w:r w:rsidRPr="009867C1">
        <w:fldChar w:fldCharType="end"/>
      </w:r>
      <w:r w:rsidRPr="009867C1">
        <w:t xml:space="preserve">. </w:t>
      </w:r>
    </w:p>
    <w:p w14:paraId="7EB4786A" w14:textId="0CD5EAFD" w:rsidR="00086155" w:rsidRPr="009867C1" w:rsidRDefault="00086155" w:rsidP="00086155">
      <w:pPr>
        <w:ind w:firstLine="720"/>
      </w:pPr>
      <w:r w:rsidRPr="009867C1">
        <w:t xml:space="preserve">The second part of </w:t>
      </w:r>
      <w:r w:rsidR="00EF2F32">
        <w:t>my</w:t>
      </w:r>
      <w:r w:rsidRPr="009867C1">
        <w:t xml:space="preserve"> third hypothesis was that bacterial communities would become more phylogenetically dispersed with salmon addition. Here </w:t>
      </w:r>
      <w:r w:rsidR="00EF2F32">
        <w:t>I</w:t>
      </w:r>
      <w:r w:rsidRPr="009867C1">
        <w:t xml:space="preserve"> also fail to reject the null hypothesis of no change, as salmon had no effect in either regional or above/below data. This is in contrast to both plant communities </w:t>
      </w:r>
      <w:r w:rsidRPr="009867C1">
        <w:fldChar w:fldCharType="begin"/>
      </w:r>
      <w:r w:rsidR="00AC0205">
        <w:instrText xml:space="preserve"> ADDIN ZOTERO_ITEM CSL_CITATION {"citationID":"rfQuTXIb","properties":{"formattedCitation":"(Hurteau et al., 2016)","plainCitation":"(Hurteau et al., 2016)","noteIndex":0},"citationItems":[{"id":798,"uris":["http://zotero.org/users/2189142/items/PERQ85X5"],"itemData":{"id":798,"type":"article-journal","abstract":"A signature of nonrandom phylogenetic community structure has been interpreted as indicating community assembly processes. Significant clustering within the phylogenetic structure of a community can be caused by habitat filtering due to low nutrient availability. Nutrient limitation in temperate Pacific coastal rainforests can be alleviated to some extent by marine nutrient subsidies introduced by migrating salmon, which leave a quantitative signature on the makeup of plant communities near spawning streams. Thus, nutrient-mediated habitat filtering could be reduced by salmon nutrients. Here, we ask how salmon abundance affects the phylogenetic structure of riparian flowering plant assemblages across 50 watersheds in the Great Bear Rainforest of British Columbia, Canada. Based on a regional pool of 60 plant species, we found that assemblages become more phylogenetically dispersed and species poor adjacent to streams with higher salmon spawning density. In contrast, increased phylogenetic clumping and species richness was seen in sites with low salmon density, with steeper slopes, further from the stream edge, and within smaller watersheds. These observations are all consistent with abiotic habitat filtering and biotic competitive exclusion acting together across local and landscape-scale gradients in nutrient availability to structure assembly of riparian flowering plants. In this case, rich salmon nutrients appear to release riparian flowering-plant assemblages from the confines of a low-nutrient habitat filter that drives phylogenetic clustering.","container-title":"Ecology","DOI":"10.1890/15-0379.1","ISSN":"1939-9170","issue":"2","journalAbbreviation":"Ecology","language":"en","page":"450-460","source":"Wiley Online Library","title":"Salmon nutrients are associated with the phylogenetic dispersion of riparian flowering-plant assemblages","volume":"97","author":[{"family":"Hurteau","given":"Leslie A."},{"family":"Mooers","given":"Arne Ø."},{"family":"Reynolds","given":"John D."},{"family":"Hocking","given":"Morgan D."}],"issued":{"date-parts":[["2016",2,1]]},"citation-key":"hurteau_2016"}}],"schema":"https://github.com/citation-style-language/schema/raw/master/csl-citation.json"} </w:instrText>
      </w:r>
      <w:r w:rsidRPr="009867C1">
        <w:fldChar w:fldCharType="separate"/>
      </w:r>
      <w:r w:rsidR="0042141C" w:rsidRPr="009867C1">
        <w:t>(Hurteau et al., 2016)</w:t>
      </w:r>
      <w:r w:rsidRPr="009867C1">
        <w:fldChar w:fldCharType="end"/>
      </w:r>
      <w:r w:rsidRPr="009867C1">
        <w:t xml:space="preserve"> at these sites and belowground fungal communities in the same samples (</w:t>
      </w:r>
      <w:r w:rsidR="00F534F7" w:rsidRPr="00F534F7">
        <w:t>C</w:t>
      </w:r>
      <w:r w:rsidRPr="00F534F7">
        <w:t>hapter 4</w:t>
      </w:r>
      <w:r w:rsidRPr="009867C1">
        <w:t xml:space="preserve">). </w:t>
      </w:r>
      <w:r w:rsidR="00EF2F32">
        <w:t>T</w:t>
      </w:r>
      <w:r w:rsidRPr="009867C1">
        <w:t>he variable</w:t>
      </w:r>
      <w:r w:rsidR="00EF2F32">
        <w:t>s</w:t>
      </w:r>
      <w:r w:rsidRPr="009867C1">
        <w:t xml:space="preserve"> of highest importance w</w:t>
      </w:r>
      <w:r w:rsidR="00EF2F32">
        <w:t>ere distance to the stream, tree PCA2 and moss PCA1, indicating that this metric was largely driven by water availability and the plant community. E</w:t>
      </w:r>
      <w:r w:rsidRPr="009867C1">
        <w:t>rgosterol</w:t>
      </w:r>
      <w:r w:rsidR="00EF2F32">
        <w:t xml:space="preserve"> was also relatively important</w:t>
      </w:r>
      <w:r w:rsidRPr="009867C1">
        <w:t xml:space="preserve">, indicating that fungal abundance interacts with the phylogenetic dispersion of bacterial communities, perhaps </w:t>
      </w:r>
      <w:r w:rsidR="00EF2F32">
        <w:t xml:space="preserve">due to increased </w:t>
      </w:r>
      <w:r w:rsidRPr="009867C1">
        <w:t>competition</w:t>
      </w:r>
      <w:r w:rsidR="00EF2F32">
        <w:t xml:space="preserve"> and/or facilitation</w:t>
      </w:r>
      <w:r w:rsidRPr="009867C1">
        <w:t xml:space="preserve"> from fungi.</w:t>
      </w:r>
    </w:p>
    <w:p w14:paraId="68935864" w14:textId="3351EFCF" w:rsidR="00D55404" w:rsidRDefault="00086155" w:rsidP="00086155">
      <w:pPr>
        <w:tabs>
          <w:tab w:val="left" w:pos="826"/>
        </w:tabs>
      </w:pPr>
      <w:r w:rsidRPr="009867C1">
        <w:tab/>
      </w:r>
      <w:r w:rsidR="00EF2F32">
        <w:t>My</w:t>
      </w:r>
      <w:r w:rsidRPr="009867C1">
        <w:t xml:space="preserve"> fourth hypothesis was that beta diversity would be driven by salmon density. </w:t>
      </w:r>
      <w:r w:rsidR="00EF2F32">
        <w:t>I</w:t>
      </w:r>
      <w:r w:rsidRPr="009867C1">
        <w:t xml:space="preserve"> found that salmon were significant in structuring forest floor bacterial communities but not organic soils; and forest floors were significant only after considering tree species. This is consistent with the primary driver of bacterial communities being a combination of litter fall and root exudates </w:t>
      </w:r>
      <w:r w:rsidRPr="009867C1">
        <w:fldChar w:fldCharType="begin"/>
      </w:r>
      <w:r w:rsidR="00AC0205">
        <w:instrText xml:space="preserve"> ADDIN ZOTERO_ITEM CSL_CITATION {"citationID":"LpHLi93e","properties":{"formattedCitation":"(Prescott &amp; Grayston, 2013)","plainCitation":"(Prescott &amp; Grayston, 2013)","noteIndex":0},"citationItems":[{"id":194,"uris":["http://zotero.org/users/2189142/items/JKMR8VK5"],"itemData":{"id":194,"type":"article-journal","abstract":"Microbial communities in litter and soil are the functional link through which the tree species occupying a site may alter rates of soil processes fundamental to nutrient cycling and carbon flux. Through differences in the nature of their litter, their mycorrhizal fungal associates and the exudates they release into the rhizo/mycorrhizosphere, different tree species may give rise to distinct microbial communities in litter and soil. We examine the evidence that tree species influence the composition of the microbial communities in decomposing litter, forest floors, soil and the rhizo/mycorrhizosphere. The microbial communities considered in this review include bacteria, archaea, fungi and both free-living and symbiotic organisms. There is evidence that distinct microbial communities develop on decomposing leaf litters of different tree species, however, given the well-documented succession of microbes on decomposing litter, comparisons amongst tree species of microbial communities in litters and forest floors at the same stage of decay are needed to definitively deduce the influence of tree species. Distinct microbial communities have been reported in forest floors under different tree species; differences are most pronounced in the F layer. Distinctions in microbial communities in mineral soil under different tree species have been determined in several common garden experiments. The main factors associated with differences in microbial communities in litter, forest floors and soil are the pH and base cation content of the litter and whether the trees are broadleaf or coniferous. Identified differences in microbial communities in the rhizospheres of different tree species are more likely to be differences in the mycorrhizospheres and hyphospheres, given the predominance of associations with mycorrhizal fungi. Distinct microbial communities have been identified in the mycorrhizosphere under different tree species; these are influenced both by the tree species and by the mycorrhizal fungi with which the tree associates. Heightened attention during sampling to ensure comparison of ‘like with like’ could improve our ability to distinguish influence of tree species in decomposing litter, forest floors and soil. A significant remaining challenge is characterizing exudates from different tree-mycorrhizal fungi associations and understanding interactions between mycorrhizal fungi and microbial communities in the hyphosphere. A complete tapestry of the linkages between tree species and soil microbial communities requires that we also weave in the effects of soil fauna.","collection-title":"Influence of tree species on forest soils: New evidence from field studies","container-title":"Forest Ecology and Management","DOI":"10.1016/j.foreco.2013.02.034","ISSN":"0378-1127","journalAbbreviation":"Forest Ecology and Management","page":"19-27","source":"ScienceDirect","title":"Tree species influence on microbial communities in litter and soil: Current knowledge and research needs","title-short":"Tree species influence on microbial communities in litter and soil","volume":"309","author":[{"family":"Prescott","given":"Cindy"},{"family":"Grayston","given":"Sue J."}],"issued":{"date-parts":[["2013",12,1]]},"citation-key":"prescott_2013a"}}],"schema":"https://github.com/citation-style-language/schema/raw/master/csl-citation.json"} </w:instrText>
      </w:r>
      <w:r w:rsidRPr="009867C1">
        <w:fldChar w:fldCharType="separate"/>
      </w:r>
      <w:r w:rsidR="0042141C" w:rsidRPr="009867C1">
        <w:t>(Prescott &amp; Grayston, 2013)</w:t>
      </w:r>
      <w:r w:rsidRPr="009867C1">
        <w:fldChar w:fldCharType="end"/>
      </w:r>
      <w:r w:rsidRPr="009867C1">
        <w:t xml:space="preserve">, and only after these are taken into account does salmon emerge as an important variable. The tree species effect remained important for organic soils, but </w:t>
      </w:r>
      <w:r w:rsidR="00EF2F32">
        <w:t>I</w:t>
      </w:r>
      <w:r w:rsidRPr="009867C1">
        <w:t xml:space="preserve"> found no effect from salmon. Given that labile resources from salmon decay that are amenable to bacterial uptake are likely taken up quickly, it is sensible that communities in forest floors are affected more than deeper soils.</w:t>
      </w:r>
      <w:r w:rsidRPr="009867C1">
        <w:br/>
      </w:r>
      <w:r w:rsidRPr="009867C1">
        <w:tab/>
      </w:r>
      <w:r w:rsidR="00EF2F32">
        <w:t>My</w:t>
      </w:r>
      <w:r w:rsidRPr="009867C1">
        <w:t xml:space="preserve"> fifth </w:t>
      </w:r>
      <w:r w:rsidR="00EF2F32">
        <w:t>hypothesis</w:t>
      </w:r>
      <w:r w:rsidRPr="009867C1">
        <w:t xml:space="preserve"> was that bacterial phyla would be differentially affected by salmon. </w:t>
      </w:r>
      <w:r w:rsidR="00EF2F32">
        <w:t xml:space="preserve">This was not supported in forest floors, </w:t>
      </w:r>
      <w:r w:rsidR="001875A7">
        <w:t>but some taxa were differentially affected by salmon inputs</w:t>
      </w:r>
      <w:r w:rsidR="00853E0A">
        <w:t xml:space="preserve"> in organic soils</w:t>
      </w:r>
      <w:r w:rsidR="001875A7">
        <w:t xml:space="preserve">. </w:t>
      </w:r>
      <w:r w:rsidRPr="009867C1">
        <w:t xml:space="preserve">Taxa increasing in response to salmon </w:t>
      </w:r>
      <w:r w:rsidR="001875A7">
        <w:t>were</w:t>
      </w:r>
      <w:r w:rsidR="00D55404">
        <w:t xml:space="preserve"> an uncultured</w:t>
      </w:r>
      <w:r w:rsidR="001875A7">
        <w:t xml:space="preserve"> </w:t>
      </w:r>
      <w:r w:rsidR="00D55404">
        <w:t xml:space="preserve">RCP2-54, </w:t>
      </w:r>
      <w:r w:rsidR="00D55404" w:rsidRPr="00D55404">
        <w:rPr>
          <w:i/>
          <w:iCs/>
        </w:rPr>
        <w:t>Acidthermus</w:t>
      </w:r>
      <w:r w:rsidR="00D55404">
        <w:t xml:space="preserve">, and an uncultured </w:t>
      </w:r>
      <w:r w:rsidR="001471FB">
        <w:t xml:space="preserve">Subgroup 2 </w:t>
      </w:r>
      <w:r w:rsidR="00D55404">
        <w:t>Acidbacteri</w:t>
      </w:r>
      <w:r w:rsidR="001471FB">
        <w:t>i</w:t>
      </w:r>
      <w:r w:rsidR="00D55404">
        <w:t xml:space="preserve">a. </w:t>
      </w:r>
      <w:r w:rsidR="00853E0A">
        <w:t>RCP2-54</w:t>
      </w:r>
      <w:r w:rsidR="001471FB">
        <w:t xml:space="preserve"> and Acidbacteriia Subgroup 2</w:t>
      </w:r>
      <w:r w:rsidR="00853E0A">
        <w:t xml:space="preserve"> ha</w:t>
      </w:r>
      <w:r w:rsidR="001471FB">
        <w:t>ve</w:t>
      </w:r>
      <w:r w:rsidR="00853E0A">
        <w:t xml:space="preserve"> previously been associated with phosphorus </w:t>
      </w:r>
      <w:r w:rsidR="001471FB">
        <w:t>additions</w:t>
      </w:r>
      <w:r w:rsidR="00853E0A">
        <w:t xml:space="preserve">, particularly in acidic soils </w:t>
      </w:r>
      <w:r w:rsidR="00853E0A">
        <w:fldChar w:fldCharType="begin"/>
      </w:r>
      <w:r w:rsidR="00AC0205">
        <w:instrText xml:space="preserve"> ADDIN ZOTERO_ITEM CSL_CITATION {"citationID":"L4lm9IGe","properties":{"formattedCitation":"(Mason et al., 2021)","plainCitation":"(Mason et al., 2021)","noteIndex":0},"citationItems":[{"id":10662,"uris":["http://zotero.org/users/2189142/items/77FTKTET"],"itemData":{"id":10662,"type":"article-journal","abstract":"Aims The soil microbial community plays a critical role in increasing phosphorus (P) availability in low-P, weathered soils by “mining” recalcitrant organic P through the production of phosphatase enzymes. However, there is a lack of data on the fungal and bacterial taxa which are directly involved in P mining, which could also serve as potential microbial bioindicators of low P availability. Methods and Results Leveraging a 5-year P enrichment experiment on low-P forest soils, high-throughput sequencing was used to profile the microbial community to determine which taxa associate closely with P availability. We hypothesized that there would be a specialized group of soil micro-organisms that could access recalcitrant P and whose presence could serve as a bioindicator of P mining. Community profiling revealed several candidate bioindicators of P mining (Russulales, Acidobacteria Subgroup 2, Acidobacteriales, Obscuribacterales and Solibacterales), whose relative abundance declined with elevated P and had a significant, positive association with phosphatase production. In addition, we identified candidate bioindicators of high P availability (Mytilinidales, Sebacinales, Chitinophagales, Cytophagales, Saccharimonadales, Opitulales and Gemmatales). Conclusions This research provides evidence that mitigating P limitation in this ecosystem may be a specialized trait and is mediated by a few microbial taxa. Significance and Impact of the Study Here, we characterize Orders of soil microbes associated with manipulated phosphorus availability in forest soils to determine bioindicator candidates for phosphorus. Likewise, we provide evidence that the microbial trait to utilize recalcitrant organic forms of P (e.g. P mining) is likely a specialized trait and not common to all members of the soil microbial community. This work further elucidates the role that a complex microbial community plays in the cycling of P in low-P soils, and provides evidence for future studies on microbial linkages to human-induced ecosystem changes.","container-title":"Journal of Applied Microbiology","DOI":"10.1111/jam.14761","ISSN":"1365-2672","issue":"1","language":"en","note":"_eprint: https://onlinelibrary.wiley.com/doi/pdf/10.1111/jam.14761","page":"109-122","source":"Wiley Online Library","title":"Potential microbial bioindicators of phosphorus mining in a temperate deciduous forest","volume":"130","author":[{"family":"Mason","given":"L.m."},{"family":"Eagar","given":"A."},{"family":"Patel","given":"P."},{"family":"Blackwood","given":"C.b."},{"family":"DeForest","given":"J.l."}],"issued":{"date-parts":[["2021"]]},"citation-key":"mason_2021"}}],"schema":"https://github.com/citation-style-language/schema/raw/master/csl-citation.json"} </w:instrText>
      </w:r>
      <w:r w:rsidR="00853E0A">
        <w:fldChar w:fldCharType="separate"/>
      </w:r>
      <w:r w:rsidR="00853E0A" w:rsidRPr="00853E0A">
        <w:t>(Mason et al., 2021)</w:t>
      </w:r>
      <w:r w:rsidR="00853E0A">
        <w:fldChar w:fldCharType="end"/>
      </w:r>
      <w:r w:rsidR="00853E0A">
        <w:t xml:space="preserve">. </w:t>
      </w:r>
      <w:r w:rsidR="009018B9" w:rsidRPr="005809A4">
        <w:rPr>
          <w:i/>
          <w:iCs/>
        </w:rPr>
        <w:t>Acidthermus</w:t>
      </w:r>
      <w:r w:rsidR="009018B9">
        <w:t>, meanwhile, has been associated with the breakdown of nitrogen-rich substances in a recent lignocellulose-based composting study</w:t>
      </w:r>
      <w:r w:rsidR="00D55404">
        <w:t xml:space="preserve"> </w:t>
      </w:r>
      <w:r w:rsidR="009018B9">
        <w:fldChar w:fldCharType="begin"/>
      </w:r>
      <w:r w:rsidR="00AC0205">
        <w:instrText xml:space="preserve"> ADDIN ZOTERO_ITEM CSL_CITATION {"citationID":"5XPLG4T6","properties":{"formattedCitation":"(Zhu et al., 2021)","plainCitation":"(Zhu et al., 2021)","noteIndex":0},"citationItems":[{"id":10670,"uris":["http://zotero.org/users/2189142/items/33M5KQEV"],"itemData":{"id":10670,"type":"article-journal","abstract":"Thermophilic microorganisms play vital roles in the composting process. To elucidate how raw materials affect thermophilic microbial community composition and their interactions, the succession of thermophilic bacterial and fungal communities were monitored in reed straw co-composting with four common nitrogen-rich substrates. The results of high-throughput sequencing showed that raw materials and composting process significantly changed bacterial and fungal community composition. Firmicutes and Actinobacteria drove the assembly of bacterial communities, while Ascomycetes drove the assembly of fungal communities. Network analysis indicated that during the composting process, the addition of nitrogen-rich sources abundant in easily degradable substances promoted the complexity of thermophilic microbial network. Moreover, microorganisms mainly exhibited synergistic effects, and inter-kingdom competition was more intense than intra-kingdom competition. Notably, rare species play essential roles in maintaining the network construction. Our findings provided novel insights into thermophilic microbial community assembly and their co-occurrence networks during the composting process.","container-title":"Bioresource Technology","DOI":"10.1016/j.biortech.2020.124111","ISSN":"0960-8524","journalAbbreviation":"Bioresource Technology","language":"en","page":"124111","source":"ScienceDirect","title":"Insight into the effect of nitrogen-rich substrates on the community structure and the co-occurrence network of thermophiles during lignocellulose-based composting","volume":"319","author":[{"family":"Zhu","given":"Pengcheng"},{"family":"Li","given":"Yichen"},{"family":"Gao","given":"Yufei"},{"family":"Yin","given":"Meiqi"},{"family":"Wu","given":"Yuxin"},{"family":"Liu","given":"Lele"},{"family":"Du","given":"Ning"},{"family":"Liu","given":"Jian"},{"family":"Yu","given":"Xiaona"},{"family":"Wang","given":"Lushan"},{"family":"Guo","given":"Weihua"}],"issued":{"date-parts":[["2021",1,1]]},"citation-key":"zhu_2021"}}],"schema":"https://github.com/citation-style-language/schema/raw/master/csl-citation.json"} </w:instrText>
      </w:r>
      <w:r w:rsidR="009018B9">
        <w:fldChar w:fldCharType="separate"/>
      </w:r>
      <w:r w:rsidR="009018B9" w:rsidRPr="009018B9">
        <w:t>(Zhu et al., 2021)</w:t>
      </w:r>
      <w:r w:rsidR="009018B9">
        <w:fldChar w:fldCharType="end"/>
      </w:r>
      <w:r w:rsidR="009018B9">
        <w:t xml:space="preserve">. Taken together, it is sensible that these taxa respond to nitrogen- and phosphorus-rich salmon inputs. On the other hand, </w:t>
      </w:r>
      <w:r w:rsidR="00D55404" w:rsidRPr="00D55404">
        <w:rPr>
          <w:i/>
          <w:iCs/>
        </w:rPr>
        <w:t>Acid</w:t>
      </w:r>
      <w:r w:rsidR="007C23E5">
        <w:rPr>
          <w:i/>
          <w:iCs/>
        </w:rPr>
        <w:t>i</w:t>
      </w:r>
      <w:r w:rsidR="00D55404" w:rsidRPr="00D55404">
        <w:rPr>
          <w:i/>
          <w:iCs/>
        </w:rPr>
        <w:t>bacter</w:t>
      </w:r>
      <w:r w:rsidR="00D55404">
        <w:t xml:space="preserve"> and an uncultured Acidobacteriia was found to decrease with salmon inputs. </w:t>
      </w:r>
      <w:r w:rsidR="007C23E5" w:rsidRPr="005809A4">
        <w:rPr>
          <w:i/>
          <w:iCs/>
        </w:rPr>
        <w:t>Acidibacter</w:t>
      </w:r>
      <w:r w:rsidR="007C23E5">
        <w:t xml:space="preserve"> have been found to decrease with increasing pH in arctic soil </w:t>
      </w:r>
      <w:r w:rsidR="007C23E5">
        <w:fldChar w:fldCharType="begin"/>
      </w:r>
      <w:r w:rsidR="00AC0205">
        <w:instrText xml:space="preserve"> ADDIN ZOTERO_ITEM CSL_CITATION {"citationID":"lVbGkP0e","properties":{"formattedCitation":"(Kim et al., 2014)","plainCitation":"(Kim et al., 2014)","noteIndex":0},"citationItems":[{"id":10677,"uris":["http://zotero.org/users/2189142/items/FPHPRIWY"],"itemData":{"id":10677,"type":"article-journal","abstract":"The subarctic region is highly responsive and vulnerable to climate change. Understanding the structure of subarctic soil microbial communities is essential for predicting the response of the subarctic soil environment to climate change. To determine the composition of the bacterial community and its relationship with soil properties, we investigated the bacterial community structure and properties of surface soil from the moist acidic tussock tundra in Council, Alaska. We collected 70 soil samples with 25-m intervals between sampling points from 0–10 cm to 10–20 cm depths. The bacterial community was analyzed by pyrosequencing of 16S rRNA genes, and the following soil properties were analyzed: soil moisture content (MC), pH, total carbon (TC), total nitrogen (TN), and inorganic nitrogen ( and ). The community compositions of the two different depths showed that Alphaproteobacteria decreased with soil depth. Among the soil properties measured, soil pH was the most significant factor correlating with bacterial community in both upper and lower-layer soils. Bacterial community similarity based on jackknifed unweighted unifrac distance showed greater similarity across horizontal layers than through the vertical depth. This study showed that soil depth and pH were the most important soil properties determining bacterial community structure of the subarctic tundra soil in Council, Alaska.","container-title":"Fems Microbiology Ecology","DOI":"10.1111/1574-6941.12362","ISSN":"0168-6496","issue":"2","journalAbbreviation":"FEMS Microbiol Ecol","note":"PMID: 24893754\nPMCID: PMC4143960","page":"465-475","source":"PubMed Central","title":"Bacterial community structure and soil properties of a subarctic tundra soil in Council, Alaska","volume":"89","author":[{"family":"Kim","given":"Hye Min"},{"family":"Jung","given":"Ji Young"},{"family":"Yergeau","given":"Etienne"},{"family":"Hwang","given":"Chung Yeon"},{"family":"Hinzman","given":"Larry"},{"family":"Nam","given":"Sungjin"},{"family":"Hong","given":"Soon Gyu"},{"family":"Kim","given":"Ok-Sun"},{"family":"Chun","given":"Jongsik"},{"family":"Lee","given":"Yoo Kyung"}],"issued":{"date-parts":[["2014",8]]},"citation-key":"kim_2014"}}],"schema":"https://github.com/citation-style-language/schema/raw/master/csl-citation.json"} </w:instrText>
      </w:r>
      <w:r w:rsidR="007C23E5">
        <w:fldChar w:fldCharType="separate"/>
      </w:r>
      <w:r w:rsidR="007C23E5" w:rsidRPr="007C23E5">
        <w:t>(Kim et al., 2014)</w:t>
      </w:r>
      <w:r w:rsidR="007C23E5">
        <w:fldChar w:fldCharType="end"/>
      </w:r>
      <w:r w:rsidR="00F8100B">
        <w:t xml:space="preserve">, and has also been found to be associated with zinc and soil organic matter </w:t>
      </w:r>
      <w:r w:rsidR="00F8100B">
        <w:fldChar w:fldCharType="begin"/>
      </w:r>
      <w:r w:rsidR="00AC0205">
        <w:instrText xml:space="preserve"> ADDIN ZOTERO_ITEM CSL_CITATION {"citationID":"WZI23xyZ","properties":{"formattedCitation":"(Guo et al., 2017)","plainCitation":"(Guo et al., 2017)","noteIndex":0},"citationItems":[{"id":10681,"uris":["http://zotero.org/users/2189142/items/MTU8HQ99"],"itemData":{"id":10681,"type":"article-journal","abstract":"To improve the understanding of bacterial community in heavy metals contaminated soils, we studied the effects of environmental factors on the bacterial community structure in contaminated fields located in Shaanxi Province of China. Our results showed that microbial community structure varied among sites, and it was significantly affected by soil environmental factors such as pH, soil organic matter (SOM), Cd, Pb and Zn. In addition, Spearman's rank-order correlation indicated heavy metal sensitive (Ralstonia, Gemmatimona, Rhodanobacter and Mizugakiibacter) and tolerant (unidentified-Nitrospiraceae, Blastocatella and unidentified-Acidobacteria) microbial groups. Our findings are crucial to understanding microbial diversity in heavy metal polluted soils of China and can be used to evaluate microbial communities for scientific applications such as bioremediation projects.","container-title":"Ecotoxicology and Environmental Safety","DOI":"10.1016/j.ecoenv.2017.06.048","ISSN":"0147-6513","journalAbbreviation":"Ecotoxicology and Environmental Safety","language":"en","page":"300-306","source":"ScienceDirect","title":"Understanding the variation of microbial community in heavy metals contaminated soil using high throughput sequencing","volume":"144","author":[{"family":"Guo","given":"Honghong"},{"family":"Nasir","given":"Mubasher"},{"family":"Lv","given":"Jialong"},{"family":"Dai","given":"Yunchao"},{"family":"Gao","given":"Jiakai"}],"issued":{"date-parts":[["2017",10,1]]},"citation-key":"guo_2017"}}],"schema":"https://github.com/citation-style-language/schema/raw/master/csl-citation.json"} </w:instrText>
      </w:r>
      <w:r w:rsidR="00F8100B">
        <w:fldChar w:fldCharType="separate"/>
      </w:r>
      <w:r w:rsidR="00F8100B" w:rsidRPr="00F8100B">
        <w:t>(Guo et al., 2017)</w:t>
      </w:r>
      <w:r w:rsidR="00F8100B">
        <w:fldChar w:fldCharType="end"/>
      </w:r>
      <w:r w:rsidR="00F8100B">
        <w:t>.</w:t>
      </w:r>
    </w:p>
    <w:p w14:paraId="7DB8F2A8" w14:textId="77777777" w:rsidR="00086155" w:rsidRPr="009867C1" w:rsidRDefault="00086155" w:rsidP="00086155">
      <w:pPr>
        <w:pStyle w:val="Heading3"/>
      </w:pPr>
      <w:bookmarkStart w:id="231" w:name="_Toc99385492"/>
      <w:r w:rsidRPr="009867C1">
        <w:t>Conclusion</w:t>
      </w:r>
      <w:bookmarkEnd w:id="231"/>
    </w:p>
    <w:p w14:paraId="3B420327" w14:textId="541C317D" w:rsidR="00086155" w:rsidRDefault="00745406" w:rsidP="00086155">
      <w:pPr>
        <w:ind w:firstLine="720"/>
      </w:pPr>
      <w:r>
        <w:t>This</w:t>
      </w:r>
      <w:r w:rsidR="00086155" w:rsidRPr="009867C1">
        <w:t xml:space="preserve"> study characterized bacterial communities in these soils for the first time. </w:t>
      </w:r>
      <w:r>
        <w:t>I</w:t>
      </w:r>
      <w:r w:rsidR="00086155" w:rsidRPr="009867C1">
        <w:t xml:space="preserve"> found </w:t>
      </w:r>
      <w:r>
        <w:t xml:space="preserve">no or only </w:t>
      </w:r>
      <w:r w:rsidR="00BE260D">
        <w:t>minor</w:t>
      </w:r>
      <w:r w:rsidR="00086155" w:rsidRPr="009867C1">
        <w:t xml:space="preserve"> effects of MDN on bacterial species richness, Shannon diversity, </w:t>
      </w:r>
      <w:r>
        <w:t>and</w:t>
      </w:r>
      <w:r w:rsidR="00086155" w:rsidRPr="009867C1">
        <w:t xml:space="preserve"> phylogenetic dispersion. Between sites, tree species of the closest dominant tree was consistently the most important factor in structuring communities, and MDN affected</w:t>
      </w:r>
      <w:r>
        <w:t xml:space="preserve"> taxa in organic soil but not</w:t>
      </w:r>
      <w:r w:rsidR="00086155" w:rsidRPr="009867C1">
        <w:t xml:space="preserve"> forest floors. </w:t>
      </w:r>
      <w:r>
        <w:t xml:space="preserve">The taxa associated with </w:t>
      </w:r>
      <w:r w:rsidR="00086155" w:rsidRPr="009867C1">
        <w:t xml:space="preserve">MDN </w:t>
      </w:r>
      <w:r>
        <w:t>inputs were often associated with nitrogen or phosphorus metabolism</w:t>
      </w:r>
      <w:r w:rsidR="00086155" w:rsidRPr="009867C1">
        <w:t xml:space="preserve">. </w:t>
      </w:r>
    </w:p>
    <w:p w14:paraId="6E7FCD33" w14:textId="0C13F234" w:rsidR="00086155" w:rsidRPr="009867C1" w:rsidRDefault="00086155" w:rsidP="00086155">
      <w:pPr>
        <w:ind w:firstLine="720"/>
      </w:pPr>
      <w:r w:rsidRPr="009867C1">
        <w:t>Given the timing of this study in late summer (August), as distant in the annual round as possible from the salmon run of the previous year, this study may be taken as evidence for long-term legacy effects of MDN subsidy on bacterial communities.</w:t>
      </w:r>
      <w:r w:rsidR="00745406" w:rsidRPr="00745406">
        <w:t xml:space="preserve"> </w:t>
      </w:r>
      <w:r w:rsidR="00745406" w:rsidRPr="009867C1">
        <w:t>Th</w:t>
      </w:r>
      <w:r w:rsidR="00745406">
        <w:t>is may account for the</w:t>
      </w:r>
      <w:r w:rsidR="00745406" w:rsidRPr="009867C1">
        <w:t xml:space="preserve"> </w:t>
      </w:r>
      <w:r w:rsidR="00745406">
        <w:t>paucity of responses among</w:t>
      </w:r>
      <w:r w:rsidR="00745406" w:rsidRPr="009867C1">
        <w:t xml:space="preserve"> bacterial </w:t>
      </w:r>
      <w:r w:rsidR="00745406">
        <w:t xml:space="preserve">communities, and I would expect sampling immediately after the salmon run would show strong responses by the bacterial community. </w:t>
      </w:r>
      <w:r w:rsidRPr="009867C1">
        <w:t xml:space="preserve">Next steps would be to repeat this sampling during or immediately after the salmon run, when rapidly-responding bacterial populations </w:t>
      </w:r>
      <w:r w:rsidRPr="009867C1">
        <w:fldChar w:fldCharType="begin"/>
      </w:r>
      <w:r w:rsidR="00AC0205">
        <w:instrText xml:space="preserve"> ADDIN ZOTERO_ITEM CSL_CITATION {"citationID":"hL4vV5LN","properties":{"formattedCitation":"(Kuzyakov &amp; Blagodatskaya, 2015)","plainCitation":"(Kuzyakov &amp; Blagodatskaya, 2015)","noteIndex":0},"citationItems":[{"id":16,"uris":["http://zotero.org/users/2189142/items/HMKVFJYW"],"itemData":{"id":16,"type":"article-journal","abstract":"Soils are the most heterogeneous parts of the biosphere, with an extremely high differentiation of properties and processes within nano- to macroscales. The spatial and temporal heterogeneity of input of labile organics by plants creates microbial hotspots over short periods of time – the hot moments. We define microbial hotspots as small soil volumes with much faster process rates and much more intensive interactions compared to the average soil conditions. Such hotspots are found in the rhizosphere, detritusphere, biopores (including drilosphere) and on aggregate surfaces, but hotspots are frequently of mixed origin. Hot moments are short-term events or sequences of events inducing accelerated process rates as compared to the average rates. Thus, hotspots and hot moments are defined by dynamic characteristics, i.e. by process rates. For this hotspot concept we extensively reviewed and examined the localization and size of hotspots, spatial distribution and visualization approaches, transport of labile C to and from hotspots, lifetime and process intensities, with a special focus on process rates and microbial activities. The fraction of active microorganisms in hotspots is 2–20 times higher than in the bulk soil, and their specific activities (i.e. respiration, microbial growth, mineralization potential, enzyme activities, RNA/DNA ratio) may also be much higher. The duration of hot moments in the rhizosphere is limited and is controlled by the length of the input of labile organics. It can last a few hours up to a few days. In the detritusphere, however, the duration of hot moments is regulated by the output – by decomposition rates of litter – and lasts for weeks and months. Hot moments induce succession in microbial communities and intense intra- and interspecific competition affecting C use efficiency, microbial growth and turnover. The faster turnover and lower C use efficiency in hotspots counterbalances the high C inputs, leading to the absence of strong increases in C stocks. Consequently, the intensification of fluxes is much stronger than the increase of pools. Maintenance of stoichiometric ratios by accelerated microbial growth in hotspots requires additional nutrients (e.g. N and P), causing their microbial mining from soil organic matter, i.e. priming effects. Consequently, priming effects are localized in microbial hotspots and are consequences of hot moments. We estimated the contribution of the hotspots to the whole soil profile and suggested that, irrespective of their volume, the hotspots are mainly responsible for the ecologically relevant processes in soil. By this review, we raised the importance of concepts and ecological theory of distribution and functioning of microorganisms in soil.","container-title":"Soil Biology and Biochemistry","DOI":"10.1016/j.soilbio.2015.01.025","ISSN":"0038-0717","journalAbbreviation":"Soil Biology and Biochemistry","language":"en","page":"184-199","source":"ScienceDirect","title":"Microbial hotspots and hot moments in soil: Concept &amp; review","title-short":"Microbial hotspots and hot moments in soil","volume":"83","author":[{"family":"Kuzyakov","given":"Yakov"},{"family":"Blagodatskaya","given":"Evgenia"}],"issued":{"date-parts":[["2015",4,1]]},"citation-key":"kuzyakov_2015"}}],"schema":"https://github.com/citation-style-language/schema/raw/master/csl-citation.json"} </w:instrText>
      </w:r>
      <w:r w:rsidRPr="009867C1">
        <w:fldChar w:fldCharType="separate"/>
      </w:r>
      <w:r w:rsidR="0042141C" w:rsidRPr="009867C1">
        <w:t>(Kuzyakov &amp; Blagodatskaya, 2015)</w:t>
      </w:r>
      <w:r w:rsidRPr="009867C1">
        <w:fldChar w:fldCharType="end"/>
      </w:r>
      <w:r w:rsidRPr="009867C1">
        <w:t xml:space="preserve"> would be more immediately affected by MDN presence and the successional stages of community response to salmon decay better characterized. </w:t>
      </w:r>
    </w:p>
    <w:p w14:paraId="37F01C28" w14:textId="77777777" w:rsidR="00086155" w:rsidRPr="009867C1" w:rsidRDefault="00086155" w:rsidP="00086155">
      <w:pPr>
        <w:ind w:firstLine="720"/>
      </w:pPr>
    </w:p>
    <w:p w14:paraId="11750379" w14:textId="0C8A7374" w:rsidR="00086155" w:rsidRPr="009867C1" w:rsidRDefault="00C84C6E" w:rsidP="00086155">
      <w:pPr>
        <w:pStyle w:val="Heading3"/>
      </w:pPr>
      <w:bookmarkStart w:id="232" w:name="_Toc99385493"/>
      <w:r w:rsidRPr="009867C1">
        <w:t xml:space="preserve">Tables and </w:t>
      </w:r>
      <w:r w:rsidR="00086155" w:rsidRPr="009867C1">
        <w:t>Figures</w:t>
      </w:r>
      <w:bookmarkEnd w:id="232"/>
    </w:p>
    <w:p w14:paraId="511303BC" w14:textId="3683DACB" w:rsidR="00086155" w:rsidRPr="009867C1" w:rsidRDefault="003E559B" w:rsidP="00086155">
      <w:pPr>
        <w:keepNext/>
      </w:pPr>
      <w:r>
        <w:rPr>
          <w:noProof/>
        </w:rPr>
        <w:drawing>
          <wp:inline distT="0" distB="0" distL="0" distR="0" wp14:anchorId="44E62B1F" wp14:editId="7D378780">
            <wp:extent cx="6719639" cy="5417389"/>
            <wp:effectExtent l="0" t="0" r="508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4">
                      <a:extLst>
                        <a:ext uri="{28A0092B-C50C-407E-A947-70E740481C1C}">
                          <a14:useLocalDpi xmlns:a14="http://schemas.microsoft.com/office/drawing/2010/main" val="0"/>
                        </a:ext>
                      </a:extLst>
                    </a:blip>
                    <a:srcRect l="5960" r="24270"/>
                    <a:stretch/>
                  </pic:blipFill>
                  <pic:spPr bwMode="auto">
                    <a:xfrm>
                      <a:off x="0" y="0"/>
                      <a:ext cx="6726248" cy="5422717"/>
                    </a:xfrm>
                    <a:prstGeom prst="rect">
                      <a:avLst/>
                    </a:prstGeom>
                    <a:noFill/>
                    <a:ln>
                      <a:noFill/>
                    </a:ln>
                    <a:extLst>
                      <a:ext uri="{53640926-AAD7-44D8-BBD7-CCE9431645EC}">
                        <a14:shadowObscured xmlns:a14="http://schemas.microsoft.com/office/drawing/2010/main"/>
                      </a:ext>
                    </a:extLst>
                  </pic:spPr>
                </pic:pic>
              </a:graphicData>
            </a:graphic>
          </wp:inline>
        </w:drawing>
      </w:r>
    </w:p>
    <w:p w14:paraId="46A94F25" w14:textId="038119A3" w:rsidR="00C84C6E" w:rsidRPr="009867C1" w:rsidRDefault="00086155" w:rsidP="00086155">
      <w:pPr>
        <w:pStyle w:val="Caption"/>
        <w:rPr>
          <w:vanish/>
          <w:specVanish/>
        </w:rPr>
      </w:pPr>
      <w:bookmarkStart w:id="233" w:name="_Toc101783830"/>
      <w:bookmarkStart w:id="234" w:name="_Toc74923585"/>
      <w:r w:rsidRPr="009867C1">
        <w:t xml:space="preserve">Figure </w:t>
      </w:r>
      <w:r w:rsidR="008C26C1">
        <w:fldChar w:fldCharType="begin"/>
      </w:r>
      <w:r w:rsidR="008C26C1">
        <w:instrText xml:space="preserve"> STYLEREF 2 \s </w:instrText>
      </w:r>
      <w:r w:rsidR="008C26C1">
        <w:fldChar w:fldCharType="separate"/>
      </w:r>
      <w:r w:rsidR="000667DB">
        <w:rPr>
          <w:noProof/>
        </w:rPr>
        <w:t>5</w:t>
      </w:r>
      <w:r w:rsidR="008C26C1">
        <w:fldChar w:fldCharType="end"/>
      </w:r>
      <w:r w:rsidR="008C26C1">
        <w:noBreakHyphen/>
      </w:r>
      <w:r w:rsidR="008C26C1">
        <w:fldChar w:fldCharType="begin"/>
      </w:r>
      <w:r w:rsidR="008C26C1">
        <w:instrText xml:space="preserve"> SEQ Figure \* ARABIC \s 2 </w:instrText>
      </w:r>
      <w:r w:rsidR="008C26C1">
        <w:fldChar w:fldCharType="separate"/>
      </w:r>
      <w:r w:rsidR="000667DB">
        <w:rPr>
          <w:noProof/>
        </w:rPr>
        <w:t>1</w:t>
      </w:r>
      <w:r w:rsidR="008C26C1">
        <w:fldChar w:fldCharType="end"/>
      </w:r>
      <w:r w:rsidRPr="009867C1">
        <w:t>: Heat trees of 16S re</w:t>
      </w:r>
      <w:r w:rsidR="00B65CBE">
        <w:t xml:space="preserve">lative </w:t>
      </w:r>
      <w:r w:rsidRPr="009867C1">
        <w:t>abundance agglomerated to genus along gradient forest floor (A) and organic (B) soils; and above/below forest floor (C) and organic (D) datasets.</w:t>
      </w:r>
      <w:bookmarkEnd w:id="233"/>
      <w:r w:rsidRPr="009867C1">
        <w:t xml:space="preserve"> </w:t>
      </w:r>
    </w:p>
    <w:p w14:paraId="618327C6" w14:textId="4C4BB668" w:rsidR="00086155" w:rsidRPr="009867C1" w:rsidRDefault="00C84C6E" w:rsidP="00086155">
      <w:pPr>
        <w:pStyle w:val="Caption"/>
      </w:pPr>
      <w:r w:rsidRPr="009867C1">
        <w:t xml:space="preserve"> </w:t>
      </w:r>
      <w:r w:rsidR="00086155" w:rsidRPr="009867C1">
        <w:t xml:space="preserve">Non-tip taxa are sums of downstream nodes; darker color indicates </w:t>
      </w:r>
      <w:r w:rsidR="00B65CBE">
        <w:t>higher relative abundance of</w:t>
      </w:r>
      <w:r w:rsidR="00086155" w:rsidRPr="009867C1">
        <w:t xml:space="preserve"> that taxon. Acidobacteria and Proteobacteria dominated these communities.</w:t>
      </w:r>
      <w:bookmarkEnd w:id="234"/>
    </w:p>
    <w:p w14:paraId="7F99C705" w14:textId="77777777" w:rsidR="00086155" w:rsidRPr="009867C1" w:rsidRDefault="00086155" w:rsidP="00086155"/>
    <w:p w14:paraId="28ADA227" w14:textId="4F74B29F" w:rsidR="00086155" w:rsidRPr="009867C1" w:rsidRDefault="00086155" w:rsidP="00843358">
      <w:pPr>
        <w:keepNext/>
      </w:pPr>
    </w:p>
    <w:p w14:paraId="2832838B" w14:textId="08DCCF19" w:rsidR="00086155" w:rsidRPr="009867C1" w:rsidRDefault="00ED7137" w:rsidP="00086155">
      <w:pPr>
        <w:keepNext/>
      </w:pPr>
      <w:r w:rsidRPr="00ED7137">
        <w:rPr>
          <w:noProof/>
        </w:rPr>
        <w:drawing>
          <wp:anchor distT="0" distB="0" distL="114300" distR="114300" simplePos="0" relativeHeight="251675648" behindDoc="0" locked="0" layoutInCell="1" allowOverlap="1" wp14:anchorId="75B8E44C" wp14:editId="25CE375D">
            <wp:simplePos x="0" y="0"/>
            <wp:positionH relativeFrom="page">
              <wp:posOffset>6810375</wp:posOffset>
            </wp:positionH>
            <wp:positionV relativeFrom="paragraph">
              <wp:posOffset>2742565</wp:posOffset>
            </wp:positionV>
            <wp:extent cx="838860" cy="552161"/>
            <wp:effectExtent l="0" t="0" r="0" b="635"/>
            <wp:wrapNone/>
            <wp:docPr id="6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rotWithShape="1">
                    <a:blip r:embed="rId55" cstate="print">
                      <a:extLst>
                        <a:ext uri="{28A0092B-C50C-407E-A947-70E740481C1C}">
                          <a14:useLocalDpi xmlns:a14="http://schemas.microsoft.com/office/drawing/2010/main" val="0"/>
                        </a:ext>
                      </a:extLst>
                    </a:blip>
                    <a:srcRect l="79743" t="41966" b="44701"/>
                    <a:stretch/>
                  </pic:blipFill>
                  <pic:spPr>
                    <a:xfrm>
                      <a:off x="0" y="0"/>
                      <a:ext cx="838860" cy="552161"/>
                    </a:xfrm>
                    <a:prstGeom prst="rect">
                      <a:avLst/>
                    </a:prstGeom>
                  </pic:spPr>
                </pic:pic>
              </a:graphicData>
            </a:graphic>
            <wp14:sizeRelH relativeFrom="margin">
              <wp14:pctWidth>0</wp14:pctWidth>
            </wp14:sizeRelH>
            <wp14:sizeRelV relativeFrom="margin">
              <wp14:pctHeight>0</wp14:pctHeight>
            </wp14:sizeRelV>
          </wp:anchor>
        </w:drawing>
      </w:r>
      <w:r w:rsidR="00843358">
        <w:rPr>
          <w:noProof/>
          <w:lang w:eastAsia="en-CA"/>
        </w:rPr>
        <w:drawing>
          <wp:inline distT="0" distB="0" distL="0" distR="0" wp14:anchorId="2752B3B3" wp14:editId="5D655BEA">
            <wp:extent cx="5943600" cy="59436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1B49C73C" w14:textId="1E27E1B7" w:rsidR="00C84C6E" w:rsidRPr="009867C1" w:rsidRDefault="00086155" w:rsidP="00086155">
      <w:pPr>
        <w:pStyle w:val="Caption"/>
        <w:rPr>
          <w:vanish/>
          <w:specVanish/>
        </w:rPr>
      </w:pPr>
      <w:bookmarkStart w:id="235" w:name="_Ref64663977"/>
      <w:bookmarkStart w:id="236" w:name="_Toc101783831"/>
      <w:bookmarkStart w:id="237" w:name="_Toc74923587"/>
      <w:r w:rsidRPr="009867C1">
        <w:t xml:space="preserve">Figure </w:t>
      </w:r>
      <w:r w:rsidR="008C26C1">
        <w:fldChar w:fldCharType="begin"/>
      </w:r>
      <w:r w:rsidR="008C26C1">
        <w:instrText xml:space="preserve"> STYLEREF 2 \s </w:instrText>
      </w:r>
      <w:r w:rsidR="008C26C1">
        <w:fldChar w:fldCharType="separate"/>
      </w:r>
      <w:r w:rsidR="000667DB">
        <w:rPr>
          <w:noProof/>
        </w:rPr>
        <w:t>5</w:t>
      </w:r>
      <w:r w:rsidR="008C26C1">
        <w:fldChar w:fldCharType="end"/>
      </w:r>
      <w:r w:rsidR="008C26C1">
        <w:noBreakHyphen/>
      </w:r>
      <w:r w:rsidR="008C26C1">
        <w:fldChar w:fldCharType="begin"/>
      </w:r>
      <w:r w:rsidR="008C26C1">
        <w:instrText xml:space="preserve"> SEQ Figure \* ARABIC \s 2 </w:instrText>
      </w:r>
      <w:r w:rsidR="008C26C1">
        <w:fldChar w:fldCharType="separate"/>
      </w:r>
      <w:r w:rsidR="000667DB">
        <w:rPr>
          <w:noProof/>
        </w:rPr>
        <w:t>2</w:t>
      </w:r>
      <w:r w:rsidR="008C26C1">
        <w:fldChar w:fldCharType="end"/>
      </w:r>
      <w:bookmarkEnd w:id="235"/>
      <w:r w:rsidRPr="009867C1">
        <w:t>: Community species richness for forest floor soil (top row) and organic soil (bottom row)</w:t>
      </w:r>
      <w:bookmarkEnd w:id="236"/>
    </w:p>
    <w:p w14:paraId="34ED2903" w14:textId="786D15D2" w:rsidR="00086155" w:rsidRPr="009867C1" w:rsidRDefault="00C84C6E" w:rsidP="00086155">
      <w:pPr>
        <w:pStyle w:val="Caption"/>
      </w:pPr>
      <w:r w:rsidRPr="009867C1">
        <w:t xml:space="preserve"> </w:t>
      </w:r>
      <w:r w:rsidR="00086155" w:rsidRPr="009867C1">
        <w:t>; scatter plots (left column) are representations of the gradient data and Tukey boxplots (right column) visualizations of the above/below data. X-axis is salmon density (scatter plots) or above/below waterfalls (above/below data).  Lines are loess curves smoothed with a tricubic weighting function over a neighbourhood of 1.2% of the data. Boxplots are drawn from above (gray) and below (salmon color) data; dark bars are the median; boxes the 25</w:t>
      </w:r>
      <w:r w:rsidR="00086155" w:rsidRPr="009867C1">
        <w:rPr>
          <w:vertAlign w:val="superscript"/>
        </w:rPr>
        <w:t>th</w:t>
      </w:r>
      <w:r w:rsidR="00086155" w:rsidRPr="009867C1">
        <w:t xml:space="preserve"> and 75</w:t>
      </w:r>
      <w:r w:rsidR="00086155" w:rsidRPr="009867C1">
        <w:rPr>
          <w:vertAlign w:val="superscript"/>
        </w:rPr>
        <w:t>th</w:t>
      </w:r>
      <w:r w:rsidR="00086155" w:rsidRPr="009867C1">
        <w:t xml:space="preserve"> percentiles; upper and lower whiskers represent ± 1.5*(IQR), where IQR is the interquartile range; data outside the whiskers displayed as points.</w:t>
      </w:r>
      <w:bookmarkEnd w:id="237"/>
    </w:p>
    <w:p w14:paraId="094B36CE" w14:textId="77777777" w:rsidR="00086155" w:rsidRPr="009867C1" w:rsidRDefault="00086155" w:rsidP="00086155"/>
    <w:p w14:paraId="258220BB" w14:textId="77777777" w:rsidR="00086155" w:rsidRPr="009867C1" w:rsidRDefault="00086155" w:rsidP="00086155"/>
    <w:p w14:paraId="0C2E59A3" w14:textId="77777777" w:rsidR="00086155" w:rsidRPr="009867C1" w:rsidRDefault="00086155" w:rsidP="00086155"/>
    <w:p w14:paraId="6931826D" w14:textId="79C3576A" w:rsidR="00086155" w:rsidRPr="009867C1" w:rsidRDefault="00ED7137" w:rsidP="00086155">
      <w:pPr>
        <w:keepNext/>
      </w:pPr>
      <w:r w:rsidRPr="00ED7137">
        <w:rPr>
          <w:noProof/>
        </w:rPr>
        <w:drawing>
          <wp:anchor distT="0" distB="0" distL="114300" distR="114300" simplePos="0" relativeHeight="251673600" behindDoc="0" locked="0" layoutInCell="1" allowOverlap="1" wp14:anchorId="5ECDDD39" wp14:editId="675D65F4">
            <wp:simplePos x="0" y="0"/>
            <wp:positionH relativeFrom="page">
              <wp:posOffset>6753225</wp:posOffset>
            </wp:positionH>
            <wp:positionV relativeFrom="paragraph">
              <wp:posOffset>2647950</wp:posOffset>
            </wp:positionV>
            <wp:extent cx="838860" cy="552161"/>
            <wp:effectExtent l="0" t="0" r="0" b="635"/>
            <wp:wrapNone/>
            <wp:docPr id="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rotWithShape="1">
                    <a:blip r:embed="rId55" cstate="print">
                      <a:extLst>
                        <a:ext uri="{28A0092B-C50C-407E-A947-70E740481C1C}">
                          <a14:useLocalDpi xmlns:a14="http://schemas.microsoft.com/office/drawing/2010/main" val="0"/>
                        </a:ext>
                      </a:extLst>
                    </a:blip>
                    <a:srcRect l="79743" t="41966" b="44701"/>
                    <a:stretch/>
                  </pic:blipFill>
                  <pic:spPr>
                    <a:xfrm>
                      <a:off x="0" y="0"/>
                      <a:ext cx="838860" cy="552161"/>
                    </a:xfrm>
                    <a:prstGeom prst="rect">
                      <a:avLst/>
                    </a:prstGeom>
                  </pic:spPr>
                </pic:pic>
              </a:graphicData>
            </a:graphic>
            <wp14:sizeRelH relativeFrom="margin">
              <wp14:pctWidth>0</wp14:pctWidth>
            </wp14:sizeRelH>
            <wp14:sizeRelV relativeFrom="margin">
              <wp14:pctHeight>0</wp14:pctHeight>
            </wp14:sizeRelV>
          </wp:anchor>
        </w:drawing>
      </w:r>
      <w:r w:rsidR="00843358">
        <w:rPr>
          <w:noProof/>
          <w:lang w:eastAsia="en-CA"/>
        </w:rPr>
        <w:drawing>
          <wp:inline distT="0" distB="0" distL="0" distR="0" wp14:anchorId="77482B22" wp14:editId="4F5B7991">
            <wp:extent cx="5943600" cy="59436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53AB5AA0" w14:textId="78396058" w:rsidR="00C84C6E" w:rsidRPr="009867C1" w:rsidRDefault="00086155" w:rsidP="00086155">
      <w:pPr>
        <w:pStyle w:val="Caption"/>
        <w:rPr>
          <w:vanish/>
          <w:specVanish/>
        </w:rPr>
      </w:pPr>
      <w:bookmarkStart w:id="238" w:name="_Toc101783832"/>
      <w:bookmarkStart w:id="239" w:name="_Toc74923588"/>
      <w:r w:rsidRPr="009867C1">
        <w:t xml:space="preserve">Figure </w:t>
      </w:r>
      <w:r w:rsidR="008C26C1">
        <w:fldChar w:fldCharType="begin"/>
      </w:r>
      <w:r w:rsidR="008C26C1">
        <w:instrText xml:space="preserve"> STYLEREF 2 \s </w:instrText>
      </w:r>
      <w:r w:rsidR="008C26C1">
        <w:fldChar w:fldCharType="separate"/>
      </w:r>
      <w:r w:rsidR="000667DB">
        <w:rPr>
          <w:noProof/>
        </w:rPr>
        <w:t>5</w:t>
      </w:r>
      <w:r w:rsidR="008C26C1">
        <w:fldChar w:fldCharType="end"/>
      </w:r>
      <w:r w:rsidR="008C26C1">
        <w:noBreakHyphen/>
      </w:r>
      <w:r w:rsidR="008C26C1">
        <w:fldChar w:fldCharType="begin"/>
      </w:r>
      <w:r w:rsidR="008C26C1">
        <w:instrText xml:space="preserve"> SEQ Figure \* ARABIC \s 2 </w:instrText>
      </w:r>
      <w:r w:rsidR="008C26C1">
        <w:fldChar w:fldCharType="separate"/>
      </w:r>
      <w:r w:rsidR="000667DB">
        <w:rPr>
          <w:noProof/>
        </w:rPr>
        <w:t>3</w:t>
      </w:r>
      <w:r w:rsidR="008C26C1">
        <w:fldChar w:fldCharType="end"/>
      </w:r>
      <w:r w:rsidRPr="009867C1">
        <w:t>: Community Shannon diversity for forest floor soil (top row) and organic soil (bottom row)</w:t>
      </w:r>
      <w:bookmarkEnd w:id="238"/>
    </w:p>
    <w:p w14:paraId="2B6582FD" w14:textId="45480E90" w:rsidR="00086155" w:rsidRPr="009867C1" w:rsidRDefault="00C84C6E" w:rsidP="00086155">
      <w:pPr>
        <w:pStyle w:val="Caption"/>
      </w:pPr>
      <w:r w:rsidRPr="009867C1">
        <w:t xml:space="preserve"> </w:t>
      </w:r>
      <w:r w:rsidR="00086155" w:rsidRPr="009867C1">
        <w:t>; scatter plots (left column) are representations of the gradient data and Tukey boxplots (right column) visualizations of the above/below data. X-axis is salmon density (scatter plots) or above/below waterfalls (above/below data).  Lines are loess curves smoothed with a tricubic weighting function over a neighbourhood of 1.2% of the data. Boxplots are drawn from above (gray) and below (salmon color) data; dark bars are the median; boxes the 25</w:t>
      </w:r>
      <w:r w:rsidR="00086155" w:rsidRPr="009867C1">
        <w:rPr>
          <w:vertAlign w:val="superscript"/>
        </w:rPr>
        <w:t>th</w:t>
      </w:r>
      <w:r w:rsidR="00086155" w:rsidRPr="009867C1">
        <w:t xml:space="preserve"> and 75</w:t>
      </w:r>
      <w:r w:rsidR="00086155" w:rsidRPr="009867C1">
        <w:rPr>
          <w:vertAlign w:val="superscript"/>
        </w:rPr>
        <w:t>th</w:t>
      </w:r>
      <w:r w:rsidR="00086155" w:rsidRPr="009867C1">
        <w:t xml:space="preserve"> percentiles; upper and lower whiskers represent ± 1.5*(IQR), where IQR is the interquartile range; data outside the whiskers displayed as points.</w:t>
      </w:r>
      <w:bookmarkEnd w:id="239"/>
    </w:p>
    <w:p w14:paraId="705EF342" w14:textId="78638EA3" w:rsidR="00086155" w:rsidRPr="009867C1" w:rsidRDefault="00ED7137" w:rsidP="00086155">
      <w:pPr>
        <w:keepNext/>
      </w:pPr>
      <w:r w:rsidRPr="00ED7137">
        <w:rPr>
          <w:noProof/>
        </w:rPr>
        <w:drawing>
          <wp:anchor distT="0" distB="0" distL="114300" distR="114300" simplePos="0" relativeHeight="251671552" behindDoc="0" locked="0" layoutInCell="1" allowOverlap="1" wp14:anchorId="704E000A" wp14:editId="62AFA555">
            <wp:simplePos x="0" y="0"/>
            <wp:positionH relativeFrom="page">
              <wp:posOffset>6724650</wp:posOffset>
            </wp:positionH>
            <wp:positionV relativeFrom="paragraph">
              <wp:posOffset>2635250</wp:posOffset>
            </wp:positionV>
            <wp:extent cx="838860" cy="552161"/>
            <wp:effectExtent l="0" t="0" r="0" b="635"/>
            <wp:wrapNone/>
            <wp:docPr id="6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rotWithShape="1">
                    <a:blip r:embed="rId55" cstate="print">
                      <a:extLst>
                        <a:ext uri="{28A0092B-C50C-407E-A947-70E740481C1C}">
                          <a14:useLocalDpi xmlns:a14="http://schemas.microsoft.com/office/drawing/2010/main" val="0"/>
                        </a:ext>
                      </a:extLst>
                    </a:blip>
                    <a:srcRect l="79743" t="41966" b="44701"/>
                    <a:stretch/>
                  </pic:blipFill>
                  <pic:spPr>
                    <a:xfrm>
                      <a:off x="0" y="0"/>
                      <a:ext cx="838860" cy="552161"/>
                    </a:xfrm>
                    <a:prstGeom prst="rect">
                      <a:avLst/>
                    </a:prstGeom>
                  </pic:spPr>
                </pic:pic>
              </a:graphicData>
            </a:graphic>
            <wp14:sizeRelH relativeFrom="margin">
              <wp14:pctWidth>0</wp14:pctWidth>
            </wp14:sizeRelH>
            <wp14:sizeRelV relativeFrom="margin">
              <wp14:pctHeight>0</wp14:pctHeight>
            </wp14:sizeRelV>
          </wp:anchor>
        </w:drawing>
      </w:r>
      <w:r w:rsidR="00AE2A6D">
        <w:rPr>
          <w:noProof/>
          <w:lang w:eastAsia="en-CA"/>
        </w:rPr>
        <w:drawing>
          <wp:inline distT="0" distB="0" distL="0" distR="0" wp14:anchorId="7E481D87" wp14:editId="25CF590F">
            <wp:extent cx="5943600" cy="59436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149C5930" w14:textId="11CBECC5" w:rsidR="00C84C6E" w:rsidRPr="009867C1" w:rsidRDefault="00086155" w:rsidP="00086155">
      <w:pPr>
        <w:pStyle w:val="Caption"/>
        <w:rPr>
          <w:vanish/>
          <w:specVanish/>
        </w:rPr>
      </w:pPr>
      <w:bookmarkStart w:id="240" w:name="_Toc101783833"/>
      <w:bookmarkStart w:id="241" w:name="_Toc74923589"/>
      <w:r w:rsidRPr="009867C1">
        <w:t xml:space="preserve">Figure </w:t>
      </w:r>
      <w:r w:rsidR="008C26C1">
        <w:fldChar w:fldCharType="begin"/>
      </w:r>
      <w:r w:rsidR="008C26C1">
        <w:instrText xml:space="preserve"> STYLEREF 2 \s </w:instrText>
      </w:r>
      <w:r w:rsidR="008C26C1">
        <w:fldChar w:fldCharType="separate"/>
      </w:r>
      <w:r w:rsidR="000667DB">
        <w:rPr>
          <w:noProof/>
        </w:rPr>
        <w:t>5</w:t>
      </w:r>
      <w:r w:rsidR="008C26C1">
        <w:fldChar w:fldCharType="end"/>
      </w:r>
      <w:r w:rsidR="008C26C1">
        <w:noBreakHyphen/>
      </w:r>
      <w:r w:rsidR="008C26C1">
        <w:fldChar w:fldCharType="begin"/>
      </w:r>
      <w:r w:rsidR="008C26C1">
        <w:instrText xml:space="preserve"> SEQ Figure \* ARABIC \s 2 </w:instrText>
      </w:r>
      <w:r w:rsidR="008C26C1">
        <w:fldChar w:fldCharType="separate"/>
      </w:r>
      <w:r w:rsidR="000667DB">
        <w:rPr>
          <w:noProof/>
        </w:rPr>
        <w:t>4</w:t>
      </w:r>
      <w:r w:rsidR="008C26C1">
        <w:fldChar w:fldCharType="end"/>
      </w:r>
      <w:r w:rsidRPr="009867C1">
        <w:t>: Community phylogenetic dispersion index (PDI) for forest floor soil (top row) and organic soil (bottom row)</w:t>
      </w:r>
      <w:bookmarkEnd w:id="240"/>
    </w:p>
    <w:p w14:paraId="05A71288" w14:textId="4D1636FE" w:rsidR="00086155" w:rsidRPr="009867C1" w:rsidRDefault="00C84C6E" w:rsidP="00086155">
      <w:pPr>
        <w:pStyle w:val="Caption"/>
      </w:pPr>
      <w:r w:rsidRPr="009867C1">
        <w:t xml:space="preserve"> </w:t>
      </w:r>
      <w:r w:rsidR="00086155" w:rsidRPr="009867C1">
        <w:t>; scatter plots (left column) are representations of the gradient data and Tukey boxplots (right column) visualizations of the above/below data. X-axis is salmon density (scatter plots) or above/below waterfalls (above/below data).  Lines are loess curves smoothed with a tricubic weighting function over a neighbourhood of 1.2% of the data. Boxplots are drawn from above (gray) and below (salmon color) data; dark bars are the median; boxes the 25</w:t>
      </w:r>
      <w:r w:rsidR="00086155" w:rsidRPr="009867C1">
        <w:rPr>
          <w:vertAlign w:val="superscript"/>
        </w:rPr>
        <w:t>th</w:t>
      </w:r>
      <w:r w:rsidR="00086155" w:rsidRPr="009867C1">
        <w:t xml:space="preserve"> and 75</w:t>
      </w:r>
      <w:r w:rsidR="00086155" w:rsidRPr="009867C1">
        <w:rPr>
          <w:vertAlign w:val="superscript"/>
        </w:rPr>
        <w:t>th</w:t>
      </w:r>
      <w:r w:rsidR="00086155" w:rsidRPr="009867C1">
        <w:t xml:space="preserve"> percentiles; upper and lower whiskers represent ± 1.5*(IQR), where IQR is the interquartile range; data outside the whiskers displayed as points. Phylogenetic dispersion was measured using generated 16S trees. Positive values indicate communities are overdispersed relative to random expectation; negative values indicate underdispersion.</w:t>
      </w:r>
      <w:bookmarkEnd w:id="241"/>
      <w:r w:rsidR="00086155" w:rsidRPr="009867C1">
        <w:t xml:space="preserve">     </w:t>
      </w:r>
    </w:p>
    <w:p w14:paraId="757EA014" w14:textId="77777777" w:rsidR="00086155" w:rsidRPr="009867C1" w:rsidRDefault="00086155" w:rsidP="00086155"/>
    <w:p w14:paraId="15D013B5" w14:textId="77777777" w:rsidR="00086155" w:rsidRPr="009867C1" w:rsidRDefault="00086155" w:rsidP="00086155">
      <w:pPr>
        <w:sectPr w:rsidR="00086155" w:rsidRPr="009867C1">
          <w:pgSz w:w="12240" w:h="15840"/>
          <w:pgMar w:top="1440" w:right="1440" w:bottom="1440" w:left="1440" w:header="708" w:footer="708" w:gutter="0"/>
          <w:cols w:space="708"/>
          <w:docGrid w:linePitch="360"/>
        </w:sectPr>
      </w:pPr>
    </w:p>
    <w:p w14:paraId="6A90C4B8" w14:textId="58FDFFC8" w:rsidR="00086155" w:rsidRPr="009867C1" w:rsidRDefault="00ED7137" w:rsidP="00086155">
      <w:pPr>
        <w:keepNext/>
      </w:pPr>
      <w:r>
        <w:rPr>
          <w:noProof/>
          <w:lang w:eastAsia="en-CA"/>
        </w:rPr>
        <w:drawing>
          <wp:inline distT="0" distB="0" distL="0" distR="0" wp14:anchorId="6CFD026E" wp14:editId="23BDB7F8">
            <wp:extent cx="8229600" cy="3876675"/>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9">
                      <a:extLst>
                        <a:ext uri="{28A0092B-C50C-407E-A947-70E740481C1C}">
                          <a14:useLocalDpi xmlns:a14="http://schemas.microsoft.com/office/drawing/2010/main" val="0"/>
                        </a:ext>
                      </a:extLst>
                    </a:blip>
                    <a:srcRect t="24630"/>
                    <a:stretch/>
                  </pic:blipFill>
                  <pic:spPr bwMode="auto">
                    <a:xfrm>
                      <a:off x="0" y="0"/>
                      <a:ext cx="8229600" cy="3876675"/>
                    </a:xfrm>
                    <a:prstGeom prst="rect">
                      <a:avLst/>
                    </a:prstGeom>
                    <a:noFill/>
                    <a:ln>
                      <a:noFill/>
                    </a:ln>
                    <a:extLst>
                      <a:ext uri="{53640926-AAD7-44D8-BBD7-CCE9431645EC}">
                        <a14:shadowObscured xmlns:a14="http://schemas.microsoft.com/office/drawing/2010/main"/>
                      </a:ext>
                    </a:extLst>
                  </pic:spPr>
                </pic:pic>
              </a:graphicData>
            </a:graphic>
          </wp:inline>
        </w:drawing>
      </w:r>
    </w:p>
    <w:p w14:paraId="3FE5A5DD" w14:textId="288205C4" w:rsidR="00C84C6E" w:rsidRPr="009867C1" w:rsidRDefault="00086155" w:rsidP="00086155">
      <w:pPr>
        <w:pStyle w:val="Caption"/>
        <w:rPr>
          <w:vanish/>
          <w:specVanish/>
        </w:rPr>
      </w:pPr>
      <w:bookmarkStart w:id="242" w:name="_Ref64663876"/>
      <w:bookmarkStart w:id="243" w:name="_Toc101783834"/>
      <w:bookmarkStart w:id="244" w:name="_Toc74923590"/>
      <w:r w:rsidRPr="009867C1">
        <w:t xml:space="preserve">Figure </w:t>
      </w:r>
      <w:r w:rsidR="008C26C1">
        <w:fldChar w:fldCharType="begin"/>
      </w:r>
      <w:r w:rsidR="008C26C1">
        <w:instrText xml:space="preserve"> STYLEREF 2 \s </w:instrText>
      </w:r>
      <w:r w:rsidR="008C26C1">
        <w:fldChar w:fldCharType="separate"/>
      </w:r>
      <w:r w:rsidR="000667DB">
        <w:rPr>
          <w:noProof/>
        </w:rPr>
        <w:t>5</w:t>
      </w:r>
      <w:r w:rsidR="008C26C1">
        <w:fldChar w:fldCharType="end"/>
      </w:r>
      <w:r w:rsidR="008C26C1">
        <w:noBreakHyphen/>
      </w:r>
      <w:r w:rsidR="008C26C1">
        <w:fldChar w:fldCharType="begin"/>
      </w:r>
      <w:r w:rsidR="008C26C1">
        <w:instrText xml:space="preserve"> SEQ Figure \* ARABIC \s 2 </w:instrText>
      </w:r>
      <w:r w:rsidR="008C26C1">
        <w:fldChar w:fldCharType="separate"/>
      </w:r>
      <w:r w:rsidR="000667DB">
        <w:rPr>
          <w:noProof/>
        </w:rPr>
        <w:t>5</w:t>
      </w:r>
      <w:r w:rsidR="008C26C1">
        <w:fldChar w:fldCharType="end"/>
      </w:r>
      <w:bookmarkEnd w:id="242"/>
      <w:r w:rsidRPr="009867C1">
        <w:t>: Standardized GLM model-averaged coefficients for four community measures</w:t>
      </w:r>
      <w:bookmarkEnd w:id="243"/>
    </w:p>
    <w:p w14:paraId="4ED7A900" w14:textId="2A15E9EC" w:rsidR="00086155" w:rsidRPr="009867C1" w:rsidRDefault="00086155" w:rsidP="00086155">
      <w:pPr>
        <w:pStyle w:val="Caption"/>
      </w:pPr>
      <w:r w:rsidRPr="009867C1">
        <w:t xml:space="preserve"> (</w:t>
      </w:r>
      <w:r w:rsidR="00971AF7">
        <w:t>rows</w:t>
      </w:r>
      <w:r w:rsidRPr="009867C1">
        <w:t>: species richness, Shannon diversity, and phylogenetic dispersion index) across seven explanatory variables (</w:t>
      </w:r>
      <w:r w:rsidR="00971AF7">
        <w:t xml:space="preserve">columns: </w:t>
      </w:r>
      <w:r w:rsidRPr="009867C1">
        <w:t xml:space="preserve">Salmon density, Soil Type, nearest Focal Tree, moss community PCA1, herb community PCA1, shrub influence index PCA1, and tree influence index PCA1). Soil type consists of two levels, Forest Floor and Organic; here relative difference between O and FF are displayed. Focal Tree consists of </w:t>
      </w:r>
      <w:r w:rsidR="009D0E16">
        <w:t>four</w:t>
      </w:r>
      <w:r w:rsidRPr="009867C1">
        <w:t xml:space="preserve"> levels: Sitka spruce, cedar, western hemlock, and Amabilis fir; here all coefficients are taken relative to Amabilis fir. Horizontal whiskers are 95% confidence intervals, dark circles indicate a significant result.</w:t>
      </w:r>
      <w:bookmarkEnd w:id="244"/>
      <w:r w:rsidRPr="009867C1">
        <w:t xml:space="preserve">  </w:t>
      </w:r>
    </w:p>
    <w:p w14:paraId="427B3CE4" w14:textId="77777777" w:rsidR="00086155" w:rsidRPr="009867C1" w:rsidRDefault="00086155" w:rsidP="00086155">
      <w:pPr>
        <w:sectPr w:rsidR="00086155" w:rsidRPr="009867C1" w:rsidSect="00FD6419">
          <w:pgSz w:w="15840" w:h="12240" w:orient="landscape"/>
          <w:pgMar w:top="1440" w:right="1440" w:bottom="1440" w:left="1440" w:header="708" w:footer="708" w:gutter="0"/>
          <w:cols w:space="708"/>
          <w:docGrid w:linePitch="360"/>
        </w:sectPr>
      </w:pPr>
    </w:p>
    <w:p w14:paraId="0CDBD325" w14:textId="5CE6AD84" w:rsidR="00086155" w:rsidRPr="009867C1" w:rsidRDefault="00876882" w:rsidP="00086155">
      <w:pPr>
        <w:keepNext/>
      </w:pPr>
      <w:r>
        <w:rPr>
          <w:noProof/>
          <w:lang w:eastAsia="en-CA"/>
        </w:rPr>
        <w:drawing>
          <wp:inline distT="0" distB="0" distL="0" distR="0" wp14:anchorId="3D7B32AA" wp14:editId="3A9B7196">
            <wp:extent cx="6679284" cy="6915150"/>
            <wp:effectExtent l="0" t="0" r="762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0">
                      <a:extLst>
                        <a:ext uri="{28A0092B-C50C-407E-A947-70E740481C1C}">
                          <a14:useLocalDpi xmlns:a14="http://schemas.microsoft.com/office/drawing/2010/main" val="0"/>
                        </a:ext>
                      </a:extLst>
                    </a:blip>
                    <a:srcRect b="15465"/>
                    <a:stretch/>
                  </pic:blipFill>
                  <pic:spPr bwMode="auto">
                    <a:xfrm>
                      <a:off x="0" y="0"/>
                      <a:ext cx="6682345" cy="6918319"/>
                    </a:xfrm>
                    <a:prstGeom prst="rect">
                      <a:avLst/>
                    </a:prstGeom>
                    <a:noFill/>
                    <a:ln>
                      <a:noFill/>
                    </a:ln>
                    <a:extLst>
                      <a:ext uri="{53640926-AAD7-44D8-BBD7-CCE9431645EC}">
                        <a14:shadowObscured xmlns:a14="http://schemas.microsoft.com/office/drawing/2010/main"/>
                      </a:ext>
                    </a:extLst>
                  </pic:spPr>
                </pic:pic>
              </a:graphicData>
            </a:graphic>
          </wp:inline>
        </w:drawing>
      </w:r>
    </w:p>
    <w:p w14:paraId="453D9F7D" w14:textId="44633B4A" w:rsidR="00C84C6E" w:rsidRPr="009867C1" w:rsidRDefault="00086155" w:rsidP="00086155">
      <w:pPr>
        <w:pStyle w:val="Caption"/>
        <w:rPr>
          <w:vanish/>
          <w:specVanish/>
        </w:rPr>
      </w:pPr>
      <w:bookmarkStart w:id="245" w:name="_Ref63337875"/>
      <w:bookmarkStart w:id="246" w:name="_Toc101783835"/>
      <w:bookmarkStart w:id="247" w:name="_Toc74923591"/>
      <w:r w:rsidRPr="009867C1">
        <w:t xml:space="preserve">Figure </w:t>
      </w:r>
      <w:r w:rsidR="008C26C1">
        <w:fldChar w:fldCharType="begin"/>
      </w:r>
      <w:r w:rsidR="008C26C1">
        <w:instrText xml:space="preserve"> STYLEREF 2 \s </w:instrText>
      </w:r>
      <w:r w:rsidR="008C26C1">
        <w:fldChar w:fldCharType="separate"/>
      </w:r>
      <w:r w:rsidR="000667DB">
        <w:rPr>
          <w:noProof/>
        </w:rPr>
        <w:t>5</w:t>
      </w:r>
      <w:r w:rsidR="008C26C1">
        <w:fldChar w:fldCharType="end"/>
      </w:r>
      <w:r w:rsidR="008C26C1">
        <w:noBreakHyphen/>
      </w:r>
      <w:r w:rsidR="008C26C1">
        <w:fldChar w:fldCharType="begin"/>
      </w:r>
      <w:r w:rsidR="008C26C1">
        <w:instrText xml:space="preserve"> SEQ Figure \* ARABIC \s 2 </w:instrText>
      </w:r>
      <w:r w:rsidR="008C26C1">
        <w:fldChar w:fldCharType="separate"/>
      </w:r>
      <w:r w:rsidR="000667DB">
        <w:rPr>
          <w:noProof/>
        </w:rPr>
        <w:t>6</w:t>
      </w:r>
      <w:r w:rsidR="008C26C1">
        <w:fldChar w:fldCharType="end"/>
      </w:r>
      <w:bookmarkEnd w:id="245"/>
      <w:r w:rsidRPr="009867C1">
        <w:t xml:space="preserve">: </w:t>
      </w:r>
      <w:r w:rsidR="00C84C6E" w:rsidRPr="009867C1">
        <w:t xml:space="preserve">Heatmap of </w:t>
      </w:r>
      <w:r w:rsidRPr="009867C1">
        <w:t>16S random forest model importance coefficients for community metrics</w:t>
      </w:r>
      <w:bookmarkEnd w:id="246"/>
    </w:p>
    <w:p w14:paraId="683FDD86" w14:textId="313AF9E6" w:rsidR="00086155" w:rsidRPr="009867C1" w:rsidRDefault="00086155" w:rsidP="00086155">
      <w:pPr>
        <w:pStyle w:val="Caption"/>
      </w:pPr>
      <w:r w:rsidRPr="009867C1">
        <w:t xml:space="preserve"> on all reads of the ‘gradient data’. X-axis columns are species richness, Shannon diversity, and phylogenetic dispersion (PD). Explanatory variables (y-axis) include 41 variables encompassing (from top to bottom): physical differences (salmon density to watershed size), chemical variables (Ca to pH), nearest dominant tree (NT: Western Hemlock to NT: Sitka Spruce); the first two axes of vegetation percent cover (moss and herbs) and vegetation influence indices (trees and shrubs); and percent cover of five coarse woody debris classes (CWD 1 – 5). Categorical variables are taken relative to reference levels; forest floors have only two levels (forest floors and organic); nearest tree have 4 levels and are taken relative to Amabilis fir.</w:t>
      </w:r>
      <w:bookmarkEnd w:id="247"/>
      <w:r w:rsidRPr="009867C1">
        <w:t xml:space="preserve"> </w:t>
      </w:r>
    </w:p>
    <w:p w14:paraId="75224886" w14:textId="77777777" w:rsidR="00086155" w:rsidRPr="009867C1" w:rsidRDefault="00086155" w:rsidP="00086155">
      <w:pPr>
        <w:pStyle w:val="Caption"/>
      </w:pPr>
    </w:p>
    <w:p w14:paraId="3F453DA2" w14:textId="77777777" w:rsidR="00086155" w:rsidRPr="009867C1" w:rsidRDefault="00086155" w:rsidP="00086155">
      <w:pPr>
        <w:pStyle w:val="Caption"/>
      </w:pPr>
      <w:r w:rsidRPr="009867C1">
        <w:rPr>
          <w:noProof/>
          <w:lang w:val="en-CA" w:eastAsia="en-CA"/>
        </w:rPr>
        <w:drawing>
          <wp:inline distT="0" distB="0" distL="0" distR="0" wp14:anchorId="575DBDC6" wp14:editId="42463F41">
            <wp:extent cx="7000979" cy="4552950"/>
            <wp:effectExtent l="0" t="0" r="9525" b="0"/>
            <wp:docPr id="4" name="Picture 4" descr="D:\[0] Sync\[0] Syncbox\[0] Thesis\[0] Data and Analyses\[6] NGS analysis - Forest\[2] Beta Diversity\Separate_ordinations\16S beta diversity figures\16S beta diversity\Sl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 Sync\[0] Syncbox\[0] Thesis\[0] Data and Analyses\[6] NGS analysis - Forest\[2] Beta Diversity\Separate_ordinations\16S beta diversity figures\16S beta diversity\Slide3.JPG"/>
                    <pic:cNvPicPr>
                      <a:picLocks noChangeAspect="1" noChangeArrowheads="1"/>
                    </pic:cNvPicPr>
                  </pic:nvPicPr>
                  <pic:blipFill rotWithShape="1">
                    <a:blip r:embed="rId61">
                      <a:extLst>
                        <a:ext uri="{28A0092B-C50C-407E-A947-70E740481C1C}">
                          <a14:useLocalDpi xmlns:a14="http://schemas.microsoft.com/office/drawing/2010/main" val="0"/>
                        </a:ext>
                      </a:extLst>
                    </a:blip>
                    <a:srcRect l="12875" r="10227" b="11031"/>
                    <a:stretch/>
                  </pic:blipFill>
                  <pic:spPr bwMode="auto">
                    <a:xfrm>
                      <a:off x="0" y="0"/>
                      <a:ext cx="7002920" cy="4554212"/>
                    </a:xfrm>
                    <a:prstGeom prst="rect">
                      <a:avLst/>
                    </a:prstGeom>
                    <a:noFill/>
                    <a:ln>
                      <a:noFill/>
                    </a:ln>
                    <a:extLst>
                      <a:ext uri="{53640926-AAD7-44D8-BBD7-CCE9431645EC}">
                        <a14:shadowObscured xmlns:a14="http://schemas.microsoft.com/office/drawing/2010/main"/>
                      </a:ext>
                    </a:extLst>
                  </pic:spPr>
                </pic:pic>
              </a:graphicData>
            </a:graphic>
          </wp:inline>
        </w:drawing>
      </w:r>
      <w:r w:rsidRPr="009867C1">
        <w:t xml:space="preserve"> </w:t>
      </w:r>
    </w:p>
    <w:p w14:paraId="21C5E8AF" w14:textId="0299B3F0" w:rsidR="00C84C6E" w:rsidRPr="009867C1" w:rsidRDefault="00086155" w:rsidP="00086155">
      <w:pPr>
        <w:pStyle w:val="Caption"/>
        <w:rPr>
          <w:vanish/>
          <w:specVanish/>
        </w:rPr>
      </w:pPr>
      <w:bookmarkStart w:id="248" w:name="_Ref62037302"/>
      <w:bookmarkStart w:id="249" w:name="_Toc101783836"/>
      <w:bookmarkStart w:id="250" w:name="_Toc74923592"/>
      <w:r w:rsidRPr="009867C1">
        <w:t xml:space="preserve">Figure </w:t>
      </w:r>
      <w:r w:rsidR="008C26C1">
        <w:fldChar w:fldCharType="begin"/>
      </w:r>
      <w:r w:rsidR="008C26C1">
        <w:instrText xml:space="preserve"> STYLEREF 2 \s </w:instrText>
      </w:r>
      <w:r w:rsidR="008C26C1">
        <w:fldChar w:fldCharType="separate"/>
      </w:r>
      <w:r w:rsidR="000667DB">
        <w:rPr>
          <w:noProof/>
        </w:rPr>
        <w:t>5</w:t>
      </w:r>
      <w:r w:rsidR="008C26C1">
        <w:fldChar w:fldCharType="end"/>
      </w:r>
      <w:r w:rsidR="008C26C1">
        <w:noBreakHyphen/>
      </w:r>
      <w:r w:rsidR="008C26C1">
        <w:fldChar w:fldCharType="begin"/>
      </w:r>
      <w:r w:rsidR="008C26C1">
        <w:instrText xml:space="preserve"> SEQ Figure \* ARABIC \s 2 </w:instrText>
      </w:r>
      <w:r w:rsidR="008C26C1">
        <w:fldChar w:fldCharType="separate"/>
      </w:r>
      <w:r w:rsidR="000667DB">
        <w:rPr>
          <w:noProof/>
        </w:rPr>
        <w:t>7</w:t>
      </w:r>
      <w:r w:rsidR="008C26C1">
        <w:fldChar w:fldCharType="end"/>
      </w:r>
      <w:bookmarkEnd w:id="248"/>
      <w:r w:rsidRPr="009867C1">
        <w:t>: 16S beta diversity NMDS plots</w:t>
      </w:r>
      <w:bookmarkEnd w:id="249"/>
      <w:r w:rsidRPr="009867C1">
        <w:t xml:space="preserve"> </w:t>
      </w:r>
    </w:p>
    <w:p w14:paraId="5E5A3A8E" w14:textId="3E91AAE5" w:rsidR="00086155" w:rsidRDefault="00C84C6E" w:rsidP="00086155">
      <w:pPr>
        <w:pStyle w:val="Caption"/>
        <w:rPr>
          <w:noProof/>
          <w:lang w:val="en-CA" w:eastAsia="en-CA"/>
        </w:rPr>
      </w:pPr>
      <w:r w:rsidRPr="009867C1">
        <w:t xml:space="preserve"> </w:t>
      </w:r>
      <w:r w:rsidR="00086155" w:rsidRPr="009867C1">
        <w:t>(2-axis) using Bray-Curtis distance on forest floor (top row) and organic soil (bottom row). In gradient data plots (left column), warmer colours indicate sites with higher salmon density; and above/below data (right column) salmon coloured are below falls (with salmon) and black is above falls (no salmon). Circles are forest floor soils, and triangles organic soils. Salmon density and waterfall status were significant in ADONIS hypothesis testing only in forest floors and only when placed last in the model.</w:t>
      </w:r>
      <w:bookmarkEnd w:id="250"/>
    </w:p>
    <w:p w14:paraId="1AF57D13" w14:textId="2FE6B510" w:rsidR="008E6A1D" w:rsidRPr="008E6A1D" w:rsidRDefault="003E559B" w:rsidP="008E6A1D">
      <w:pPr>
        <w:rPr>
          <w:lang w:val="en-CA" w:eastAsia="en-CA"/>
        </w:rPr>
      </w:pPr>
      <w:r>
        <w:rPr>
          <w:noProof/>
          <w:lang w:val="en-CA" w:eastAsia="en-CA"/>
        </w:rPr>
        <w:drawing>
          <wp:inline distT="0" distB="0" distL="0" distR="0" wp14:anchorId="1228D62A" wp14:editId="3B4717E5">
            <wp:extent cx="6852529" cy="5003321"/>
            <wp:effectExtent l="0" t="0" r="5715" b="69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2">
                      <a:extLst>
                        <a:ext uri="{28A0092B-C50C-407E-A947-70E740481C1C}">
                          <a14:useLocalDpi xmlns:a14="http://schemas.microsoft.com/office/drawing/2010/main" val="0"/>
                        </a:ext>
                      </a:extLst>
                    </a:blip>
                    <a:srcRect l="8286" r="14675"/>
                    <a:stretch/>
                  </pic:blipFill>
                  <pic:spPr bwMode="auto">
                    <a:xfrm>
                      <a:off x="0" y="0"/>
                      <a:ext cx="6858757" cy="5007868"/>
                    </a:xfrm>
                    <a:prstGeom prst="rect">
                      <a:avLst/>
                    </a:prstGeom>
                    <a:noFill/>
                    <a:ln>
                      <a:noFill/>
                    </a:ln>
                    <a:extLst>
                      <a:ext uri="{53640926-AAD7-44D8-BBD7-CCE9431645EC}">
                        <a14:shadowObscured xmlns:a14="http://schemas.microsoft.com/office/drawing/2010/main"/>
                      </a:ext>
                    </a:extLst>
                  </pic:spPr>
                </pic:pic>
              </a:graphicData>
            </a:graphic>
          </wp:inline>
        </w:drawing>
      </w:r>
    </w:p>
    <w:p w14:paraId="496D31A0" w14:textId="0AB6B822" w:rsidR="00C84C6E" w:rsidRPr="009867C1" w:rsidRDefault="00086155" w:rsidP="00086155">
      <w:pPr>
        <w:pStyle w:val="Caption"/>
        <w:rPr>
          <w:vanish/>
          <w:specVanish/>
        </w:rPr>
      </w:pPr>
      <w:bookmarkStart w:id="251" w:name="_Ref86762396"/>
      <w:bookmarkStart w:id="252" w:name="_Toc101783837"/>
      <w:bookmarkStart w:id="253" w:name="_Toc74923593"/>
      <w:r w:rsidRPr="009867C1">
        <w:t xml:space="preserve">Figure </w:t>
      </w:r>
      <w:r w:rsidR="008C26C1">
        <w:fldChar w:fldCharType="begin"/>
      </w:r>
      <w:r w:rsidR="008C26C1">
        <w:instrText xml:space="preserve"> STYLEREF 2 \s </w:instrText>
      </w:r>
      <w:r w:rsidR="008C26C1">
        <w:fldChar w:fldCharType="separate"/>
      </w:r>
      <w:r w:rsidR="000667DB">
        <w:rPr>
          <w:noProof/>
        </w:rPr>
        <w:t>5</w:t>
      </w:r>
      <w:r w:rsidR="008C26C1">
        <w:fldChar w:fldCharType="end"/>
      </w:r>
      <w:r w:rsidR="008C26C1">
        <w:noBreakHyphen/>
      </w:r>
      <w:r w:rsidR="008C26C1">
        <w:fldChar w:fldCharType="begin"/>
      </w:r>
      <w:r w:rsidR="008C26C1">
        <w:instrText xml:space="preserve"> SEQ Figure \* ARABIC \s 2 </w:instrText>
      </w:r>
      <w:r w:rsidR="008C26C1">
        <w:fldChar w:fldCharType="separate"/>
      </w:r>
      <w:r w:rsidR="000667DB">
        <w:rPr>
          <w:noProof/>
        </w:rPr>
        <w:t>8</w:t>
      </w:r>
      <w:r w:rsidR="008C26C1">
        <w:fldChar w:fldCharType="end"/>
      </w:r>
      <w:bookmarkEnd w:id="251"/>
      <w:r w:rsidRPr="009867C1">
        <w:t xml:space="preserve">: 16S </w:t>
      </w:r>
      <w:r w:rsidR="00C84C6E" w:rsidRPr="009867C1">
        <w:t>differential abundance analysis</w:t>
      </w:r>
      <w:r w:rsidRPr="009867C1">
        <w:t xml:space="preserve"> coefficients.</w:t>
      </w:r>
      <w:bookmarkEnd w:id="252"/>
    </w:p>
    <w:p w14:paraId="46853719" w14:textId="23F89F3E" w:rsidR="00086155" w:rsidRPr="009867C1" w:rsidRDefault="00086155" w:rsidP="00086155">
      <w:pPr>
        <w:pStyle w:val="Caption"/>
      </w:pPr>
      <w:r w:rsidRPr="009867C1">
        <w:t xml:space="preserve"> Coefficients are from differential analysis using the </w:t>
      </w:r>
      <w:r w:rsidR="00971AF7">
        <w:rPr>
          <w:i/>
        </w:rPr>
        <w:t xml:space="preserve">MaAsLin2 </w:t>
      </w:r>
      <w:r w:rsidRPr="009867C1">
        <w:t xml:space="preserve">package (see methods); green indicates down-regulation and brown up-regulation in response to salmon density (gradient data; left column) or being below falls (above/below data; right column). Forest floors (top row) and organic soil (bottom row) were analyzed separately. Only significant coefficients are shown; the cumulative effects on non-tip taxonomic groups are inferred by taking the average of downstream significant coefficients weighted by </w:t>
      </w:r>
      <w:r w:rsidR="00E06422">
        <w:t>relative</w:t>
      </w:r>
      <w:r w:rsidRPr="009867C1">
        <w:t xml:space="preserve"> abundance.</w:t>
      </w:r>
      <w:bookmarkEnd w:id="253"/>
      <w:r w:rsidRPr="009867C1">
        <w:t xml:space="preserve">      </w:t>
      </w:r>
    </w:p>
    <w:p w14:paraId="087600C8" w14:textId="77777777" w:rsidR="00086155" w:rsidRPr="009867C1" w:rsidRDefault="00086155" w:rsidP="00086155">
      <w:pPr>
        <w:pStyle w:val="Heading2"/>
      </w:pPr>
      <w:bookmarkStart w:id="254" w:name="_Toc99385494"/>
      <w:r w:rsidRPr="009867C1">
        <w:rPr>
          <w:rStyle w:val="Heading1Char"/>
        </w:rPr>
        <w:t>Fate of artificial MDN addition</w:t>
      </w:r>
      <w:bookmarkEnd w:id="254"/>
    </w:p>
    <w:p w14:paraId="12D7397B" w14:textId="77777777" w:rsidR="00086155" w:rsidRPr="009867C1" w:rsidRDefault="00086155" w:rsidP="00086155"/>
    <w:p w14:paraId="65C4ECF6" w14:textId="77777777" w:rsidR="00086155" w:rsidRPr="009867C1" w:rsidRDefault="00086155" w:rsidP="00086155">
      <w:pPr>
        <w:pStyle w:val="Heading3"/>
        <w:rPr>
          <w:lang w:val="en-CA"/>
        </w:rPr>
      </w:pPr>
      <w:bookmarkStart w:id="255" w:name="_Toc99385495"/>
      <w:r w:rsidRPr="009867C1">
        <w:rPr>
          <w:lang w:val="en-CA"/>
        </w:rPr>
        <w:t>Introduction</w:t>
      </w:r>
      <w:bookmarkEnd w:id="255"/>
    </w:p>
    <w:p w14:paraId="4EC38BEF" w14:textId="6D4A4905" w:rsidR="00086155" w:rsidRPr="009867C1" w:rsidRDefault="00086155" w:rsidP="00086155">
      <w:pPr>
        <w:ind w:firstLine="720"/>
      </w:pPr>
      <w:r w:rsidRPr="009867C1">
        <w:t>Every spring and fall, the return of ocean-going salmon to their natal streams to spawn and die represents an ecosystem nutrient subsidy to coastal forests in the Pacific Northwest. The ecosystem-level effects of marine derived nutrient (MDN) inputs have long been studied in riparian forests, and salmon fertilization has been shown to have individual and community-level effects on vegetation, soil, and animals (</w:t>
      </w:r>
      <w:r w:rsidRPr="00A00C0E">
        <w:t>Chapter 1</w:t>
      </w:r>
      <w:r w:rsidRPr="009867C1">
        <w:t xml:space="preserve">). Salmon carcasses are distributed by bears, wolves and other animals throughout the forest </w:t>
      </w:r>
      <w:r w:rsidRPr="009867C1">
        <w:fldChar w:fldCharType="begin"/>
      </w:r>
      <w:r w:rsidR="00AC0205">
        <w:instrText xml:space="preserve"> ADDIN ZOTERO_ITEM CSL_CITATION {"citationID":"9hKGnhpu","properties":{"formattedCitation":"(Reimchen, 2017)","plainCitation":"(Reimchen, 2017)","noteIndex":0},"citationItems":[{"id":183,"uris":["http://zotero.org/users/2189142/items/5XY9XX4M"],"itemData":{"id":183,"type":"article-journal","abstract":"Based on five years of field studies (1992, 1993, 1994, 1998, 2000), I quantified bi-directional movement of salmon nutrients through an estuary, stream, and old growth forest in a large protected reserve on Haida Gwaii, British Columbia. In 1993, when most data were collected, about 6000 Chum Salmon (Oncorhynchus keta) entered the river of which 22% of the total biomass of senescent carcasses were swept downstream into the estuary and were scavenged by gulls (n = 350) and subtidal invertebrates. Of the 3700 salmon (10 000 kg) transferred by American Black Bear (Ursus americanus) to the riparian zone and partially consumed along the 800 m of stream channel, 5070 kg of salmon tissues abandoned by the bears were scavenged by Northwestern Crows (Corvus caurinus; n = 200) but mostly (4100 kg) by calliphorid blowfly larvae resulting in larval densities averaging 240/m2 throughout the riparian zone. Total nitrogen input to the soils from the combined effects of bear and scavenger activity as well as carcass input was 18 g/m2 within 10 m of the stream channel. δ15N of foliar tissues of Lanky Moss (Rhytidiadelphus loreus), Red Huckleberry (Vaccinium parvifolium), Salal (Gaultheria shallon), and Western Hemlock (Tsuga heterophylla) ranged about 15‰ to 20‰ among adjacent microsites in each species, with higher values occurring in salmon carcass zones. Total nitrogen in foliar tissues ranged from 1% to 2.4% among microsites and was best predicted by positive correlations with foliar 15N values and secondarily by presence/absence of salmon carcasses. This is the first study to integrate estuarine to riparian ecological processes in the cycling of salmonid nutrients and identifies a range of ecological baselines that can inform the multiple restoration programs underway in degraded watersheds in the North Pacific.","container-title":"Canadian Field Naturalist","ISSN":"0008-3550","language":"en","source":"pubag.nal.usda.gov","title":"Diverse Ecological Pathways of Salmon Nutrients Through an Intact Marine-terrestrial Interface","URL":"https://pubag.nal.usda.gov/catalog/6040059","author":[{"family":"Reimchen","given":"T.E."}],"accessed":{"date-parts":[["2019",8,4]]},"issued":{"date-parts":[["2017"]]},"citation-key":"reimchen_2017"}}],"schema":"https://github.com/citation-style-language/schema/raw/master/csl-citation.json"} </w:instrText>
      </w:r>
      <w:r w:rsidRPr="009867C1">
        <w:fldChar w:fldCharType="separate"/>
      </w:r>
      <w:r w:rsidR="0042141C" w:rsidRPr="009867C1">
        <w:t>(Reimchen, 2017)</w:t>
      </w:r>
      <w:r w:rsidRPr="009867C1">
        <w:fldChar w:fldCharType="end"/>
      </w:r>
      <w:r w:rsidRPr="009867C1">
        <w:t xml:space="preserve">. The distributed carcasses, as well as urine and feces of scavenging animals, decompose and the concomitant nutrients enter soil systems and can be incorporated into plant tissues </w:t>
      </w:r>
      <w:r w:rsidRPr="009867C1">
        <w:fldChar w:fldCharType="begin"/>
      </w:r>
      <w:r w:rsidR="00AC0205">
        <w:instrText xml:space="preserve"> ADDIN ZOTERO_ITEM CSL_CITATION {"citationID":"w46D8u26","properties":{"formattedCitation":"(Hocking &amp; Reynolds, 2011)","plainCitation":"(Hocking &amp; Reynolds, 2011)","noteIndex":0},"citationItems":[{"id":550,"uris":["http://zotero.org/users/2189142/items/JR362H46"],"itemData":{"id":550,"type":"article-journal","abstract":"The study of natural gradients in nutrient subsidies between ecosystems allows for predictions of how changes in one system can affect biodiversity in another. We performed a large-scale empirical test of the role of Pacific salmon (Oncorhynchus spp.) in structuring riparian plant communities. A comparison of 50 watersheds in the remote Great Bear Rainforest of British Columbia’s central coast in Canada shows that salmon influence nutrient loading to plants, shifting plant communities toward nutrient-rich species, which in turn decreases plant diversity. These effects are mediated by interactions between salmon density and the physical characteristics of watersheds. Predicting how salmon affect terrestrial ecosystems is central to conservation plans that aim to better integrate ecosystem values into resource management.","container-title":"Science","DOI":"10.1126/science.1201079","ISSN":"0036-8075, 1095-9203","issue":"6024","journalAbbreviation":"Science","language":"en","note":"PMID: 21442794","page":"1609-1612","source":"www.sciencemag.org.ezproxy.library.ubc.ca","title":"Impacts of Salmon on Riparian Plant Diversity","volume":"331","author":[{"family":"Hocking","given":"Morgan D."},{"family":"Reynolds","given":"John D."}],"issued":{"date-parts":[["2011",3,25]]},"citation-key":"hocking_2011"}}],"schema":"https://github.com/citation-style-language/schema/raw/master/csl-citation.json"} </w:instrText>
      </w:r>
      <w:r w:rsidRPr="009867C1">
        <w:fldChar w:fldCharType="separate"/>
      </w:r>
      <w:r w:rsidR="0042141C" w:rsidRPr="009867C1">
        <w:t>(Hocking &amp; Reynolds, 2011)</w:t>
      </w:r>
      <w:r w:rsidRPr="009867C1">
        <w:fldChar w:fldCharType="end"/>
      </w:r>
      <w:r w:rsidRPr="009867C1">
        <w:t>. Plant uptake is mediated by bacteria, fungi, insects, and other soil organisms (</w:t>
      </w:r>
      <w:r w:rsidR="00A00C0E">
        <w:t>C</w:t>
      </w:r>
      <w:r w:rsidRPr="00A00C0E">
        <w:t>hapters 2-5</w:t>
      </w:r>
      <w:r w:rsidRPr="009867C1">
        <w:t xml:space="preserve">). Ultimately these nutrients end up in animal, vegetation, and soil compartments; the equilibrial long-term concentrations of these nutrients has commonly been demonstrated through elemental and isotope analysis </w:t>
      </w:r>
      <w:r w:rsidRPr="009867C1">
        <w:fldChar w:fldCharType="begin"/>
      </w:r>
      <w:r w:rsidR="00AC0205">
        <w:instrText xml:space="preserve"> ADDIN ZOTERO_ITEM CSL_CITATION {"citationID":"5rHhFdIY","properties":{"formattedCitation":"(Sayer, 2008)","plainCitation":"(Sayer, 2008)","noteIndex":0},"citationItems":[{"id":206,"uris":["http://zotero.org/users/2189142/items/NKXFZRH5"],"itemData":{"id":206,"type":"thesis","abstract":"The scope and ecological implications of riparian vegetation marine-derived nitrogen (MDN) and alder-derived nitrogen (ADN) use were investigated. Several plant species were sampled during early and late summer at paired salmon and reference streams. Foliar stable nitrogen (δ15N) and carbon (δ13C) isotope values, %N, and Picea lutzii needle length were measured. P. lutzii demonstrated the greatest increase in δ15N and %N at salmon streams. Several species δ15N values increased after salmon spawning, indicating immediate MDN uptake. Spatial δ15N gradients were inconsistent. Alders had a greater influence on some species %N than salmon, but salmon had a greater influence on P. lutzii %N. P. lutzii needle length is positively correlated with MDN use. These findings are the first to depict salmon influences on Kenai Peninsula riparian vegetation mineral nutrition. They demonstrate that MDN effects are not universal across all plant species and are influenced by plant community ecology.","event-place":"United States -- Alaska","genre":"M.S.","language":"English","number-of-pages":"96","publisher":"University of Alaska Anchorage","publisher-place":"United States -- Alaska","source":"ProQuest","title":"Marine derived nitrogen use by Kenai Peninsula riparian plants: Effects on mineral nutrition and growth","title-short":"Marine derived nitrogen use by Kenai Peninsula riparian plants","URL":"http://search.proquest.com/docview/304337010/abstract/C7CCAEBBB7F540B2PQ/1","author":[{"family":"Sayer","given":"Allison M."}],"accessed":{"date-parts":[["2019",8,3]]},"issued":{"date-parts":[["2008"]]},"citation-key":"sayer_2008"}}],"schema":"https://github.com/citation-style-language/schema/raw/master/csl-citation.json"} </w:instrText>
      </w:r>
      <w:r w:rsidRPr="009867C1">
        <w:fldChar w:fldCharType="separate"/>
      </w:r>
      <w:r w:rsidR="0042141C" w:rsidRPr="009867C1">
        <w:t>(Sayer, 2008)</w:t>
      </w:r>
      <w:r w:rsidRPr="009867C1">
        <w:fldChar w:fldCharType="end"/>
      </w:r>
      <w:r w:rsidRPr="009867C1">
        <w:t xml:space="preserve">. </w:t>
      </w:r>
    </w:p>
    <w:p w14:paraId="3EDC1F40" w14:textId="7C033D45" w:rsidR="00086155" w:rsidRPr="009867C1" w:rsidRDefault="00086155" w:rsidP="00086155">
      <w:pPr>
        <w:ind w:firstLine="720"/>
      </w:pPr>
      <w:r w:rsidRPr="009867C1">
        <w:t xml:space="preserve">Equilibrial concentrations may however be an inaccurate indicator of nutrient flux as equilibrial isotope concentrations are a function of both bulk nutrient flux and the net strength of molecular bonds in any given compartment. Due to their higher molecular weight, heavier isotopes tend to be retained in the ecosystem component with the strongest bonds </w:t>
      </w:r>
      <w:r w:rsidRPr="009867C1">
        <w:fldChar w:fldCharType="begin"/>
      </w:r>
      <w:r w:rsidR="00AC0205">
        <w:instrText xml:space="preserve"> ADDIN ZOTERO_ITEM CSL_CITATION {"citationID":"yephsi4H","properties":{"formattedCitation":"(Fry, 2007)","plainCitation":"(Fry, 2007)","noteIndex":0},"citationItems":[{"id":475,"uris":["http://zotero.org/users/2189142/items/RFHXKG2M"],"itemData":{"id":475,"type":"book","abstract":"A solid introduction to stable isotopes that can also be used as an instructive review for more experienced researchers and professionals. The book approaches the use of isotopes from the perspective of ecological and biological research, but its concepts can be applied within other disciplines. A novel, step-by-step spreadsheet modeling approach is also presented for circulating tracers in any ecological system, including any favorite system an ecologist might dream up while sitting at a computer. The author’s humorous and lighthearted style painlessly imparts the principles of isotope ecology. The online material contains color illustrations, spreadsheet models, technical appendices, and problems and answers.","edition":"1st ed. 2006. 3rd. Corr. printing 2007 edition","event-place":"New York, NY","ISBN":"978-0-387-30513-4","language":"English","number-of-pages":"308","publisher":"Springer","publisher-place":"New York, NY","source":"Amazon","title":"Stable Isotope Ecology","author":[{"family":"Fry","given":"Brian"}],"issued":{"date-parts":[["2007",12,21]]},"citation-key":"fry_2007"}}],"schema":"https://github.com/citation-style-language/schema/raw/master/csl-citation.json"} </w:instrText>
      </w:r>
      <w:r w:rsidRPr="009867C1">
        <w:fldChar w:fldCharType="separate"/>
      </w:r>
      <w:r w:rsidR="0042141C" w:rsidRPr="009867C1">
        <w:t>(Fry, 2007)</w:t>
      </w:r>
      <w:r w:rsidRPr="009867C1">
        <w:fldChar w:fldCharType="end"/>
      </w:r>
      <w:r w:rsidRPr="009867C1">
        <w:t xml:space="preserve">. In forest soil systems, some of the strongest N-bond containing compounds are fungal chitin </w:t>
      </w:r>
      <w:r w:rsidRPr="009867C1">
        <w:fldChar w:fldCharType="begin"/>
      </w:r>
      <w:r w:rsidR="00AC0205">
        <w:instrText xml:space="preserve"> ADDIN ZOTERO_ITEM CSL_CITATION {"citationID":"bRBVH1b4","properties":{"formattedCitation":"(Bowman &amp; Free, 2006; Tharanathan &amp; Kittur, 2003)","plainCitation":"(Bowman &amp; Free, 2006; Tharanathan &amp; Kittur, 2003)","noteIndex":0},"citationItems":[{"id":205,"uris":["http://zotero.org/users/2189142/items/L6ZQW5P6"],"itemData":{"id":205,"type":"article-journal","abstract":"The fungal cell wall is a dynamic structure that protects the cell from changes in osmotic pressure and other environmental stresses, while allowing the fungal cell to interact with its environment. The structure and biosynthesis of a fungal cell wall is unique to the fungi, and is therefore an excellent target for the development of anti-fungal drugs. The structure of the fungal cell wall and the drugs that target its biosynthesis are reviewed. Based on studies in a number of fungi, the cell wall has been shown to be primarily composed of chitin, glucans, mannans and glycoproteins. The biosynthesis of the various components of the fungal cell wall and the importance of the components in the formation of a functional cell wall, as revealed through mutational analyses, are discussed. There is strong evidence that the chitin, glucans and glycoproteins are covalently cross-linked together and that the cross-linking is a dynamic process that occurs extracellularly. BioEssays 28: 799–808, 2006. © 2006 Wiley Periodicals, Inc.","container-title":"BioEssays","DOI":"10.1002/bies.20441","ISSN":"1521-1878","issue":"8","language":"en","page":"799-808","source":"Wiley Online Library","title":"The structure and synthesis of the fungal cell wall","volume":"28","author":[{"family":"Bowman","given":"Shaun M."},{"family":"Free","given":"Stephen J."}],"issued":{"date-parts":[["2006"]]},"citation-key":"bowman_2006"}},{"id":204,"uris":["http://zotero.org/users/2189142/items/4YT48QKG"],"itemData":{"id":204,"type":"article-journal","abstract":"Of the truly abundant polysaccharides in Nature, only chitin has yet to find utilization in large quantity. Chitin is the second most abundant natural biopolymer derived from exoskeletons of crustaceans and also from cell walls of fungi and insects. Chitin is a linear β1,4-linked polymer of N-acetyl-D-glucosamine (GlcNAc), whereas chitosan, a copolymer of GlcNAc (</w:instrText>
      </w:r>
      <w:r w:rsidR="00AC0205">
        <w:rPr>
          <w:rFonts w:ascii="Cambria Math" w:hAnsi="Cambria Math" w:cs="Cambria Math"/>
        </w:rPr>
        <w:instrText>∼</w:instrText>
      </w:r>
      <w:r w:rsidR="00AC0205">
        <w:instrText xml:space="preserve">20%) and glulcosamine (GlcN, 80%) residues, is a product derived from de-N-acetylation of chitin in the presence of hot alkali. Chitosan is, in fact, a collective name representing a family of de-N-acetylated chitins deacetylated to different degrees. Both chitin/chitosan and their modified derivatives find extensive applications in medicine, agriculture, food, and non-food industries as well. They have emerged as a new class of physiological materials of highly sophisticated functions. Their application versatility is a great challenge to the scientific community and to industry. All these are the result of their versatile biological activity, excellent biocompatibility, and complete biodegradability in combination with low toxicity. Commercial availability of high-purity forms of chitin/chitosan and the continuous appearance of new types of chitin/chitosan derivatives with more and more useful and specific properties have led to an unlimited R&amp;D efforts on this most versatile amino polysaccharide, chitin to find new applications, which are necessary to realize its full potential. Incidentally, this too has become an environmental priority. No doubt, chitin is surely an undisputed biomolecule of great potential. Referee: Dr. D. Julian McClements, Food Science Dept., University of Massachusetts, Amherst, MA 01003","container-title":"Critical Reviews in Food Science and Nutrition","DOI":"10.1080/10408690390826455","ISSN":"1040-8398","issue":"1","note":"PMID: 12587986","page":"61-87","source":"Taylor and Francis+NEJM","title":"Chitin — The Undisputed Biomolecule of Great Potential","volume":"43","author":[{"family":"Tharanathan","given":"Rudrapatnam N."},{"family":"Kittur","given":"Farooqahmed S."}],"issued":{"date-parts":[["2003",1,1]]},"citation-key":"tharanathan_2003"}}],"schema":"https://github.com/citation-style-language/schema/raw/master/csl-citation.json"} </w:instrText>
      </w:r>
      <w:r w:rsidRPr="009867C1">
        <w:fldChar w:fldCharType="separate"/>
      </w:r>
      <w:r w:rsidR="0042141C" w:rsidRPr="009867C1">
        <w:t>(Bowman &amp; Free, 2006; Tharanathan &amp; Kittur, 2003)</w:t>
      </w:r>
      <w:r w:rsidRPr="009867C1">
        <w:fldChar w:fldCharType="end"/>
      </w:r>
      <w:r w:rsidRPr="009867C1">
        <w:t xml:space="preserve">, and </w:t>
      </w:r>
      <w:r w:rsidRPr="009867C1">
        <w:rPr>
          <w:vertAlign w:val="superscript"/>
        </w:rPr>
        <w:t>15</w:t>
      </w:r>
      <w:r w:rsidRPr="009867C1">
        <w:t xml:space="preserve">N has been shown to accumulate in these compounds </w:t>
      </w:r>
      <w:r w:rsidRPr="009867C1">
        <w:fldChar w:fldCharType="begin"/>
      </w:r>
      <w:r w:rsidR="00AC0205">
        <w:instrText xml:space="preserve"> ADDIN ZOTERO_ITEM CSL_CITATION {"citationID":"QbcIOiml","properties":{"formattedCitation":"(E. A. Hobbie et al., 2012; E. A. Hobbie &amp; H\\uc0\\u246{}gberg, 2012)","plainCitation":"(E. A. Hobbie et al., 2012; E. A. Hobbie &amp; Högberg, 2012)","noteIndex":0},"citationItems":[{"id":406,"uris":["http://zotero.org/users/2189142/items/MDGJ6QDZ"],"itemData":{"id":406,"type":"article-journal","abstract":"Contents\n\n\n\n\n\n\n\n\n\n\n\nSummary\n367\n\n\nI.\nIntroduction\n367\n\n\nII.\nBackground on isotopes\n368\n\n\nIII.\nPatterns of soil δ15N\n370\n\n\nIV.\nPatterns of fungal δ15N\n372\n\n\nV.\nBiochemical basis for the influence of fungi on δ15N patterns in plant–soil systems 373\n\n\nVI.\nPatterns of δ15N in plant and fungal culture studies\n374\n\n\nVII.\nMycoheterotrophic and parasitic plants\n375\n\n\nVIII.\nPatterns of foliar δ15N in autotrophic plants\n376\n\n\nIX.\nControls over plant δ15N\n377\n\n\nX.\nConclusions and research needs\n378\n\n\n\nAcknowledgements\n379\n\n\n\nReferences\n379\n\n\n\n\n\n\n\n\nSummary\n\nIn this review, we synthesize field and culture studies of the 15N/14N (expressed as δ15N) of autotrophic plants, mycoheterotrophic plants, parasitic plants, soil, and mycorrhizal fungi to assess the major controls of isotopic patterns. One major control for plants and fungi is the partitioning of nitrogen (N) into either 15N-depleted chitin, ammonia, or transfer compounds or 15N-enriched proteinaceous N. For example, parasitic plants and autotrophic hosts are similar in δ15N (with no partitioning between chitin and protein), mycoheterotrophic plants are higher in δ15N than their fungal hosts, presumably with preferential assimilation of fungal protein, and autotrophic, mycorrhizal plants are lower in 15N than their fungal symbionts, with saprotrophic fungi intermediate, because mycorrhizal fungi transfer 15N-depleted ammonia or amino acids to plants. Similarly, nodules of N2-fixing bacteria transferring ammonia are often higher in δ15N than their plant hosts. N losses via denitrification greatly influence bulk soil δ15N, whereas δ15N patterns within soil profiles are influenced both by vertical patterns of N losses and by N transfers within the soil–plant system. Climate correlates poorly with soil δ15N; climate may primarily influence δ15N patterns in soils and plants by determining the primary loss mechanisms and which types of mycorrhizal fungi and associated vegetation dominate across climatic gradients.","container-title":"New Phytologist","DOI":"10.1111/j.1469-8137.2012.04300.x","ISSN":"1469-8137","issue":"2","journalAbbreviation":"New Phytol","language":"en","page":"367-382","source":"Wiley Online Library","title":"Nitrogen isotopes link mycorrhizal fungi and plants to nitrogen dynamics","volume":"196","author":[{"family":"Hobbie","given":"Erik A."},{"family":"Högberg","given":"Peter"}],"issued":{"date-parts":[["2012",10,1]]},"citation-key":"hobbie_2012a"}},{"id":866,"uris":["http://zotero.org/users/2189142/items/QCKHI64D"],"itemData":{"id":866,"type":"article-journal","abstract":"Isotopes of nitrogen (δ15N) and carbon (δ13C) in ectomycorrhizal and saprotrophic fungi contain important information about ecological functioning, but the complexity of physiological and ecosystem processes contributing to fungal carbon and nitrogen dynamics has limited our ability to explain differences across taxa. Here, we measured δ15N and δ13C in needles, litter, soil, wood, fungal caps, and fungal stipes at numerous forested sites in Oregon, USA to determine how functional attributes and biochemical processes may influence isotopic values. Ectomycorrhizal fungi were classified by hydrophobicity of ectomycorrhizae and by patterns of hyphal exploration; saprotrophic fungi were classified into wood decay and litter decay fungi. For δ15N, caps of hydrophobic taxa averaged 8.6‰, hydrophilic taxa 3.2‰, and saprotrophic taxa 0.5‰, whereas needles averaged 3‰ and soil at 5–12 cm averaged 2‰. Caps were higher in δ15N, δ13C, %N, and %C than stipes by 1.7‰, 0.6‰, 1.75%, and 2.61%, respectively, presumably because of greater protein content in caps than stipes. Isotopic enrichment of caps relative to stipes was greater in hydrophobic taxa (3.1‰ for 15N and 0.8‰ for 13C) than in hydrophilic taxa (1.1‰ for 15N and 0.5‰ for 13C). In multiple regressions, 45% of variance in δ15Ncap–stipe and 30% of variance in δ13Ccap–stipe was accounted for by various elemental, isotopic, and categorical variables. We estimated that fungal protein was enriched in 15N relative to fungal chitin by 15‰ in hydrophobic taxa and by 7‰ in hydrophilic taxa. Fungal protein was enriched in 13C by 4.2 ± 0.5‰ relative to carbohydrates. Isotopic signatures of sources and isotopic fractionation during metabolic processing influence both isotopic patterns of sporocarps and the isotopic partitioning between caps and stipes; functional groups differed in processing of both nitrogen isotopes and carbon isotopes.","container-title":"Soil Biology and Biochemistry","DOI":"10.1016/j.soilbio.2012.01.014","ISSN":"0038-0717","journalAbbreviation":"Soil Biology and Biochemistry","page":"60-68","source":"ScienceDirect","title":"Controls of isotopic patterns in saprotrophic and ectomycorrhizal fungi","volume":"48","author":[{"family":"Hobbie","given":"Erik A."},{"family":"Sánchez","given":"Fernando S."},{"family":"Rygiewicz","given":"Paul T."}],"issued":{"date-parts":[["2012",5]]},"citation-key":"hobbie_2012"}}],"schema":"https://github.com/citation-style-language/schema/raw/master/csl-citation.json"} </w:instrText>
      </w:r>
      <w:r w:rsidRPr="009867C1">
        <w:fldChar w:fldCharType="separate"/>
      </w:r>
      <w:r w:rsidR="0042141C" w:rsidRPr="009867C1">
        <w:t>(E. A. Hobbie et al., 2012; E. A. Hobbie &amp; Högberg, 2012)</w:t>
      </w:r>
      <w:r w:rsidRPr="009867C1">
        <w:fldChar w:fldCharType="end"/>
      </w:r>
      <w:r w:rsidRPr="009867C1">
        <w:t>. Along salmon streams, it has been shown that mycorrhizal fungi have isotopically enriched signatures relative both to the surrounding soil and neighbouring vegetation (</w:t>
      </w:r>
      <w:r w:rsidR="00A00C0E" w:rsidRPr="00A00C0E">
        <w:t>C</w:t>
      </w:r>
      <w:r w:rsidRPr="00A00C0E">
        <w:t>hapter 3</w:t>
      </w:r>
      <w:r w:rsidRPr="009867C1">
        <w:t xml:space="preserve">). It has been shown that one process contributing to this differential is mycorrhizal fungi transferring isotopically-depleted nitrogen to their host plants </w:t>
      </w:r>
      <w:r w:rsidRPr="009867C1">
        <w:fldChar w:fldCharType="begin"/>
      </w:r>
      <w:r w:rsidR="00AC0205">
        <w:instrText xml:space="preserve"> ADDIN ZOTERO_ITEM CSL_CITATION {"citationID":"5RyFGXH1","properties":{"formattedCitation":"(E. A. Hobbie &amp; H\\uc0\\u246{}gberg, 2012)","plainCitation":"(E. A. Hobbie &amp; Högberg, 2012)","noteIndex":0},"citationItems":[{"id":406,"uris":["http://zotero.org/users/2189142/items/MDGJ6QDZ"],"itemData":{"id":406,"type":"article-journal","abstract":"Contents\n\n\n\n\n\n\n\n\n\n\n\nSummary\n367\n\n\nI.\nIntroduction\n367\n\n\nII.\nBackground on isotopes\n368\n\n\nIII.\nPatterns of soil δ15N\n370\n\n\nIV.\nPatterns of fungal δ15N\n372\n\n\nV.\nBiochemical basis for the influence of fungi on δ15N patterns in plant–soil systems 373\n\n\nVI.\nPatterns of δ15N in plant and fungal culture studies\n374\n\n\nVII.\nMycoheterotrophic and parasitic plants\n375\n\n\nVIII.\nPatterns of foliar δ15N in autotrophic plants\n376\n\n\nIX.\nControls over plant δ15N\n377\n\n\nX.\nConclusions and research needs\n378\n\n\n\nAcknowledgements\n379\n\n\n\nReferences\n379\n\n\n\n\n\n\n\n\nSummary\n\nIn this review, we synthesize field and culture studies of the 15N/14N (expressed as δ15N) of autotrophic plants, mycoheterotrophic plants, parasitic plants, soil, and mycorrhizal fungi to assess the major controls of isotopic patterns. One major control for plants and fungi is the partitioning of nitrogen (N) into either 15N-depleted chitin, ammonia, or transfer compounds or 15N-enriched proteinaceous N. For example, parasitic plants and autotrophic hosts are similar in δ15N (with no partitioning between chitin and protein), mycoheterotrophic plants are higher in δ15N than their fungal hosts, presumably with preferential assimilation of fungal protein, and autotrophic, mycorrhizal plants are lower in 15N than their fungal symbionts, with saprotrophic fungi intermediate, because mycorrhizal fungi transfer 15N-depleted ammonia or amino acids to plants. Similarly, nodules of N2-fixing bacteria transferring ammonia are often higher in δ15N than their plant hosts. N losses via denitrification greatly influence bulk soil δ15N, whereas δ15N patterns within soil profiles are influenced both by vertical patterns of N losses and by N transfers within the soil–plant system. Climate correlates poorly with soil δ15N; climate may primarily influence δ15N patterns in soils and plants by determining the primary loss mechanisms and which types of mycorrhizal fungi and associated vegetation dominate across climatic gradients.","container-title":"New Phytologist","DOI":"10.1111/j.1469-8137.2012.04300.x","ISSN":"1469-8137","issue":"2","journalAbbreviation":"New Phytol","language":"en","page":"367-382","source":"Wiley Online Library","title":"Nitrogen isotopes link mycorrhizal fungi and plants to nitrogen dynamics","volume":"196","author":[{"family":"Hobbie","given":"Erik A."},{"family":"Högberg","given":"Peter"}],"issued":{"date-parts":[["2012",10,1]]},"citation-key":"hobbie_2012a"}}],"schema":"https://github.com/citation-style-language/schema/raw/master/csl-citation.json"} </w:instrText>
      </w:r>
      <w:r w:rsidRPr="009867C1">
        <w:fldChar w:fldCharType="separate"/>
      </w:r>
      <w:r w:rsidR="0042141C" w:rsidRPr="009867C1">
        <w:t>(E. A. Hobbie &amp; Högberg, 2012)</w:t>
      </w:r>
      <w:r w:rsidRPr="009867C1">
        <w:fldChar w:fldCharType="end"/>
      </w:r>
      <w:r w:rsidRPr="009867C1">
        <w:t xml:space="preserve">. </w:t>
      </w:r>
    </w:p>
    <w:p w14:paraId="1DA7A269" w14:textId="10F98FD9" w:rsidR="00086155" w:rsidRPr="009867C1" w:rsidRDefault="00086155" w:rsidP="00086155">
      <w:pPr>
        <w:ind w:firstLine="720"/>
      </w:pPr>
      <w:r w:rsidRPr="009867C1">
        <w:t xml:space="preserve">In soils, this nutrient subsidy has shown to be highly localized in space: soil nitrate, ammonium, and </w:t>
      </w:r>
      <w:r w:rsidRPr="009867C1">
        <w:rPr>
          <w:vertAlign w:val="superscript"/>
        </w:rPr>
        <w:t>15</w:t>
      </w:r>
      <w:r w:rsidRPr="009867C1">
        <w:t xml:space="preserve">N have been found to be highest in soils within 10 cm of salmon carcasses in Alaska, with this effect decreasing to background concentrations at around 30 cm </w:t>
      </w:r>
      <w:r w:rsidRPr="009867C1">
        <w:fldChar w:fldCharType="begin"/>
      </w:r>
      <w:r w:rsidR="00AC0205">
        <w:instrText xml:space="preserve"> ADDIN ZOTERO_ITEM CSL_CITATION {"citationID":"xx7IlIbL","properties":{"formattedCitation":"(Gende et al., 2007)","plainCitation":"(Gende et al., 2007)","noteIndex":0},"citationItems":[{"id":474,"uris":["http://zotero.org/users/2189142/items/3J3JTBR8"],"itemData":{"id":474,"type":"article-journal","abstract":"Long-term studies in Alaska have demonstrated that bears may capture and carry to the riparian forest a large number of salmon that return to spawn in small freshwater streams. Most of the carcasses are partially consumed, resulting in a large amount of salmon nutrients in the form of biomass deposited on the forest floor. Using an experimental approach, we examined how these carcasses may influence the spatial and temporal dynamics of soil C and N in a riparian forest in southeastern Alaska. At their peak, ammonium (NH4+-N) concentrations in soil 10 cm from carcasses were as much as several orders of magnitude greater than soils in adjacent control plots without carcasses and remained elevated until the onset of winter. Nitrate (NO3–-N) and δ15N concentrations also increased coincident with maximum NH4+-N concentrations. However, soil N concentrations were only moderately elevated 20 cm from carcasses and closely resembled background concentrations at 30 cm. These results suggest that salmon carcasses, v..., Des études à long terme réalisées en Alaska ont démontré que les ours peuvent capturer et transporter vers la forêt riveraine un grand nombre de saumons qui reviennent frayer dans les petits ruisseaux d’eau douce. La plupart des carcasses sont partiellement consommées entraînant le dépôt dune grande quantité de nutriments sous forme de biomasse sur le parterre forestier. À l’aide d’une approche expérimentale, nous avons examiné comment ces carcasses peuvent influencer la dynamique spatiale et temporelle du C et de N du sol dans une forêt riveraine du sud-est de l’Alaska. À son maximum, la concentration d’ammonium (NH4+-N) dans le sol à 10 cm des carcasses était jusqu’à plusieurs ordres de grandeur plus élevée que dans le sol de parcelles témoins adjacentes sans carcasses et est demeurée élevée jusqu’au début de l’hiver. Les concentrations de nitrate (NO3–-N) et de δ15N ont aussi augmenté en même temps que la concentration maximum de NH4+-N. Cependant, la concentration de N dans le sol était seulement modé...","container-title":"Canadian Journal of Forest Research","DOI":"10.1139/X06-318","ISSN":"0045-5067","issue":"7","journalAbbreviation":"Can. J. For. Res.","page":"1194-1202","source":"NRC Research Press","title":"The effects of salmon carcasses on soil nitrogen pools in a riparian forest of southeastern Alaska","volume":"37","author":[{"family":"Gende","given":"Scott M."},{"family":"Miller","given":"Amy E."},{"family":"Hood","given":"Eran"}],"issued":{"date-parts":[["2007",7,1]]},"citation-key":"gende_2007"}}],"schema":"https://github.com/citation-style-language/schema/raw/master/csl-citation.json"} </w:instrText>
      </w:r>
      <w:r w:rsidRPr="009867C1">
        <w:fldChar w:fldCharType="separate"/>
      </w:r>
      <w:r w:rsidR="0042141C" w:rsidRPr="009867C1">
        <w:t>(Gende et al., 2007)</w:t>
      </w:r>
      <w:r w:rsidRPr="009867C1">
        <w:fldChar w:fldCharType="end"/>
      </w:r>
      <w:r w:rsidRPr="009867C1">
        <w:t xml:space="preserve">. Another salmon carcass addition experiment on 11 streams conducted on the </w:t>
      </w:r>
      <w:r w:rsidR="00A00C0E">
        <w:t>C</w:t>
      </w:r>
      <w:r w:rsidRPr="009867C1">
        <w:t xml:space="preserve">entral </w:t>
      </w:r>
      <w:r w:rsidR="00A00C0E">
        <w:t>C</w:t>
      </w:r>
      <w:r w:rsidRPr="009867C1">
        <w:t>oast</w:t>
      </w:r>
      <w:r w:rsidR="00A00C0E">
        <w:t xml:space="preserve"> of British Columbia</w:t>
      </w:r>
      <w:r w:rsidRPr="009867C1">
        <w:t xml:space="preserve"> found that salmon addition increased plant %N and δ</w:t>
      </w:r>
      <w:r w:rsidRPr="009867C1">
        <w:rPr>
          <w:vertAlign w:val="superscript"/>
        </w:rPr>
        <w:t>15</w:t>
      </w:r>
      <w:r w:rsidRPr="009867C1">
        <w:t xml:space="preserve">N eight months after application relative to control sites 2 m away </w:t>
      </w:r>
      <w:r w:rsidRPr="009867C1">
        <w:fldChar w:fldCharType="begin"/>
      </w:r>
      <w:r w:rsidR="00AC0205">
        <w:instrText xml:space="preserve"> ADDIN ZOTERO_ITEM CSL_CITATION {"citationID":"YRGMCanW","properties":{"formattedCitation":"(Hocking &amp; Reynolds, 2012)","plainCitation":"(Hocking &amp; Reynolds, 2012)","noteIndex":0},"citationItems":[{"id":515,"uris":["http://zotero.org/users/2189142/items/8AG4QIVC"],"itemData":{"id":515,"type":"article-journal","abstract":"Bears (Ursus spp.) and other predators can capture and transport large numbers of Pacific salmon (Oncorhynchus spp.) to riparian areas beside small coastal streams, a process that may affect site productivity and local plant communities. We used a novel experimental manipulation of salmon carcasses to analyze understory plant uptake of salmon-derived N. A hierarchical before–after, control–impact design was used with the addition of chum salmon (Oncorhynchus keta (Walbaum in Artedi, 1792)) carcasses to forest sites along 11 streams on the central coast of British Columbia, Canada. Eight months after carcass placement, the foliar %N and δ15N in three herbaceous and one moss species had increased by an average of 14%–60% (%N) and 0.5–3.3‰ (δ15N) at treatment carcass sites versus control sites. Treatment effects for %N were typically greater than for δ15N. Nitrogen isotope signatures at carcass sites were highly variable (δ15N range = 30.1‰) and were mediated by plant species, stream salmon density, carcass ..., Les ours (Ursus spp.) et autres prédateurs peuvent capturer et transporter un grand nombre de saumons du Pacifique (Oncorhynchus spp.) dans les zones riveraines le long de cours d’eau côtiers, un processus qui pourrait influencer la productivité du site et les communautés végétales locales. Nous avons utilisé une nouvelle manipulation expérimentale des carcasses de saumon pour analyser le prélèvement de N provenant du saumon par les plantes du sous-bois. Un plan expérimental hiérarchique avant–après avec témoin a été utilisé avec l’ajout de carcasses de saumon kéta (Oncorhynchus keta (Walbaum in Artedi, 1792)) dans des stations forestières le long de 11 cours d’eau sur la côte centrale de la Colombie-Britannique, au Canada. Huit mois après avoir placé les carcasses, %N et δ15N dans les feuilles de trois espèces d’herbacées et une espèce de mousse avaient augmenté en moyenne de 14 % – 60 % (%N) et de 0,5 ‰ – 3,3 ‰ (δ15N) dans les stations traitées avec des carcasses versus les stations témoins. Les effets ...","container-title":"Canadian Journal of Forest Research","DOI":"10.1139/x2012-045","ISSN":"0045-5067","issue":"5","journalAbbreviation":"Can. J. For. Res.","page":"908-917","source":"NRC Research Press","title":"Nitrogen uptake by plants subsidized by Pacific salmon carcasses: a hierarchical experiment","title-short":"Nitrogen uptake by plants subsidized by Pacific salmon carcasses","volume":"42","author":[{"family":"Hocking","given":"Morgan D."},{"family":"Reynolds","given":"John D."}],"issued":{"date-parts":[["2012",4,11]]},"citation-key":"hocking_2012"}}],"schema":"https://github.com/citation-style-language/schema/raw/master/csl-citation.json"} </w:instrText>
      </w:r>
      <w:r w:rsidRPr="009867C1">
        <w:fldChar w:fldCharType="separate"/>
      </w:r>
      <w:r w:rsidR="0042141C" w:rsidRPr="009867C1">
        <w:t>(Hocking &amp; Reynolds, 2012)</w:t>
      </w:r>
      <w:r w:rsidRPr="009867C1">
        <w:fldChar w:fldCharType="end"/>
      </w:r>
      <w:r w:rsidRPr="009867C1">
        <w:t>. These two studies demonstrate that, in the short term at least, salmon nutrients tend to remain near their sites of deposition.</w:t>
      </w:r>
    </w:p>
    <w:p w14:paraId="430E468C" w14:textId="7A13A1B1" w:rsidR="00086155" w:rsidRPr="009867C1" w:rsidRDefault="00086155" w:rsidP="00086155">
      <w:pPr>
        <w:ind w:firstLine="720"/>
      </w:pPr>
      <w:r w:rsidRPr="009867C1">
        <w:t xml:space="preserve">Temporally, </w:t>
      </w:r>
      <w:r w:rsidR="00A00C0E">
        <w:t>re</w:t>
      </w:r>
      <w:r w:rsidRPr="009867C1">
        <w:t>distribution of nitrogen</w:t>
      </w:r>
      <w:r w:rsidR="00A00C0E">
        <w:t xml:space="preserve"> from salmon carcasses</w:t>
      </w:r>
      <w:r w:rsidRPr="009867C1">
        <w:t xml:space="preserve"> seems to occur on a scale of days, </w:t>
      </w:r>
      <w:r w:rsidR="001D1EAB">
        <w:t>with</w:t>
      </w:r>
      <w:r w:rsidRPr="009867C1">
        <w:t xml:space="preserve"> studies in Alaska, Washington state, and Idaho show</w:t>
      </w:r>
      <w:r w:rsidR="001D1EAB">
        <w:t>ing</w:t>
      </w:r>
      <w:r w:rsidRPr="009867C1">
        <w:t xml:space="preserve"> NH</w:t>
      </w:r>
      <w:r w:rsidRPr="009867C1">
        <w:rPr>
          <w:vertAlign w:val="subscript"/>
        </w:rPr>
        <w:t>4</w:t>
      </w:r>
      <w:r w:rsidRPr="009867C1">
        <w:rPr>
          <w:vertAlign w:val="superscript"/>
        </w:rPr>
        <w:t>+</w:t>
      </w:r>
      <w:r w:rsidRPr="009867C1">
        <w:t>and NO</w:t>
      </w:r>
      <w:r w:rsidRPr="009867C1">
        <w:rPr>
          <w:vertAlign w:val="subscript"/>
        </w:rPr>
        <w:t>3</w:t>
      </w:r>
      <w:r w:rsidRPr="009867C1">
        <w:rPr>
          <w:vertAlign w:val="superscript"/>
        </w:rPr>
        <w:t>-</w:t>
      </w:r>
      <w:r w:rsidRPr="009867C1">
        <w:t xml:space="preserve"> levels rose </w:t>
      </w:r>
      <w:r w:rsidR="001D1EAB">
        <w:t xml:space="preserve">1-3 </w:t>
      </w:r>
      <w:r w:rsidRPr="009867C1">
        <w:t>days after carcass addition. Other nutrients</w:t>
      </w:r>
      <w:r w:rsidR="001D1EAB">
        <w:t xml:space="preserve"> found in salmon carcasses</w:t>
      </w:r>
      <w:r w:rsidRPr="009867C1">
        <w:t xml:space="preserve">, such as phosphorus and calcium, rise over a time scale of months to years </w:t>
      </w:r>
      <w:r w:rsidRPr="009867C1">
        <w:fldChar w:fldCharType="begin"/>
      </w:r>
      <w:r w:rsidR="00AC0205">
        <w:instrText xml:space="preserve"> ADDIN ZOTERO_ITEM CSL_CITATION {"citationID":"0aP4t2Z6","properties":{"formattedCitation":"(Bartz &amp; Naiman, 2005; Drake et al., 2006; Drake, 2005; T. A. Wheeler &amp; Kavanagh, 2017)","plainCitation":"(Bartz &amp; Naiman, 2005; Drake et al., 2006; Drake, 2005; T. A. Wheeler &amp; Kavanagh, 2017)","noteIndex":0},"citationItems":[{"id":979,"uris":["http://zotero.org/users/2189142/items/ZW3R5NUV"],"itemData":{"id":979,"type":"article-journal","container-title":"Ecosystems","issue":"5","page":"529–545","source":"Google Scholar","title":"Effects of salmon-borne nutrients on riparian soils and vegetation in southwest Alaska","volume":"8","author":[{"family":"Bartz","given":"Krista K."},{"family":"Naiman","given":"Robert J."}],"issued":{"date-parts":[["2005"]]},"citation-key":"bartz_2005"}},{"id":174,"uris":["http://zotero.org/users/2189142/items/Q77G9SAN"],"itemData":{"id":174,"type":"article-journal","abstract":"We introduced an 15N-NH4+ tracer to the riparian forest of a salmon-bearing stream (Kennedy Creek, Washington, USA) to quantify the cycling and fate of a late-season pulse of salmon N and, ultimately, mechanisms regulating potential links between salmon abundance and tree growth. The 15N tracer simulated deposition of 7.25 kg of salmon (fresh) to four 50-m2 plots. We added NH4+ (the initial product of salmon carcass decay) and other important nutrients provided by carcasses (P, S, K, Mg, Ca) to soils in late October 2003, coincident with local salmon spawning. We followed the 15N tracer through soil and tree pools for one year. Biological uptake of the 15N tracer occurred quickly: 64% of the 15N tracer was bound in soil microbiota within 14 days, and roots of the dominant riparian tree, western red cedar (Thuja plicata), began to take up 15N tracer within seven days. Root uptake continued through the winter. The 15N tracer content of soil organic matter reached a maximum of ̃52%, five weeks after the application, and a relative equilibrium of ̃40% within five months. Six months after the addition, in spring 2004, at least 37% of the 15N tracer was found in tree tissues: ̃23% in foliage, ̃11% in roots, and ̃3% in stems. Within the stems, xylem and phloem sap contained ̃96% of the tracer N, and ̃4% was in structural xylem N. After one year, at least 28% of the 15N tracer was still found in trees, and loss from the plots was only ̃20%. The large portion of tracer N taken up in the fall and reallocated to leaves and stems the following spring provides mechanistic evidence for a one-year-lagged tree-growth response to salmon nutrients. Salmon nutrients have been deposited in the Kennedy Creek system each fall for centuries, but the system shows no evidence of nutrient saturation. Rates of N uptake and retention are a function of site history and disturbance and also may be the result of a legacy effect, in which annual salmon nutrient addition may lead to increased efficiency of nutrient uptake and use.","container-title":"Ecology","DOI":"10.1890/0012-9658(2006)87[1256:FONIRF]2.0.CO;2","ISSN":"0012-9658","issue":"5","journalAbbreviation":"Ecology","page":"1256-1266","source":"esajournals.org (Atypon)","title":"Fate of nitrogen in riparian forest soils and trees: an 15n tracer study simulating salmon decay","title-short":"Fate of nitrogen in riparian forest soils and trees","volume":"87","author":[{"family":"Drake","given":"Deanne C."},{"family":"Naiman","given":"Robert J."},{"family":"Bechtold","given":"J. Scott"}],"issued":{"date-parts":[["2006",5,1]]},"citation-key":"drake_2006"}},{"id":241,"uris":["http://zotero.org/users/2189142/items/STBQGJNS"],"itemData":{"id":241,"type":"thesis","publisher":"University of Washington","source":"Google Scholar","title":"The fate and influence of salmon nutrients in riparian soils and trees: seasonal to multi-century patterns","title-short":"The fate and influence of salmon nutrients in riparian soils and trees","URL":"http://weber.s.uw.edu/research/publications/ms_phd/Drake_D_PhD_W05.pdf","author":[{"family":"Drake","given":"Deanne. C."}],"accessed":{"date-parts":[["2015",6,24]]},"issued":{"date-parts":[["2005"]]},"citation-key":"drake_2005a"}},{"id":1598,"uris":["http://zotero.org/users/2189142/items/DF4W6BUL"],"itemData":{"id":1598,"type":"article-journal","abstract":"The historic abundance of salmonids returning to natal streams of the inland Pacific Northwest, USA, may have constituted a major nutrient influx into these commonly oligotrophic ecosystems. Inland..., L’abondance historique des salmonidés qui reviennent vers les cours d’eau où ils ont vu le jour dans l’arrière-pays du Pacific Northwest aux États-Unis, ont pu constituer un apport majeur de nutrim...","container-title":"Canadian Journal of Forest Research","DOI":"10.1139/cjfr-2017-0194","ISSN":"0045-5067","issue":"11","journalAbbreviation":"Can. J. For. Res.","page":"1506-1516","source":"NRC Research Press","title":"Soil biogeochemical responses to the deposition of anadromous fish carcasses in inland riparian forests of the Pacific Northwest, USA","volume":"47","author":[{"family":"Wheeler","given":"Tadd A."},{"family":"Kavanagh","given":"Kathleen L."}],"issued":{"date-parts":[["2017",9,5]]},"citation-key":"wheeler_2017"}}],"schema":"https://github.com/citation-style-language/schema/raw/master/csl-citation.json"} </w:instrText>
      </w:r>
      <w:r w:rsidRPr="009867C1">
        <w:fldChar w:fldCharType="separate"/>
      </w:r>
      <w:r w:rsidR="0042141C" w:rsidRPr="009867C1">
        <w:t>(Bartz &amp; Naiman, 2005; Drake et al., 2006; Drake, 2005; T. A. Wheeler &amp; Kavanagh, 2017)</w:t>
      </w:r>
      <w:r w:rsidRPr="009867C1">
        <w:fldChar w:fldCharType="end"/>
      </w:r>
      <w:r w:rsidRPr="009867C1">
        <w:t xml:space="preserve">. </w:t>
      </w:r>
    </w:p>
    <w:p w14:paraId="15B54FBD" w14:textId="5E8BC968" w:rsidR="00086155" w:rsidRPr="009867C1" w:rsidRDefault="00086155" w:rsidP="00086155">
      <w:pPr>
        <w:ind w:firstLine="720"/>
      </w:pPr>
      <w:r w:rsidRPr="009867C1">
        <w:t xml:space="preserve">Unlike equilibrial effects, short-term kinetic flow of nutrients is more difficult to study due to their transient nature, uncertainty in chemical and physical isotopic fractionation </w:t>
      </w:r>
      <w:r w:rsidR="001D1EAB">
        <w:t>factors</w:t>
      </w:r>
      <w:r w:rsidRPr="009867C1">
        <w:t>, and the complexity of forest and soil processes. To address this, a pulse-chase experiment was employed in Washington state by depositing labelled NH</w:t>
      </w:r>
      <w:r w:rsidRPr="009867C1">
        <w:rPr>
          <w:vertAlign w:val="subscript"/>
        </w:rPr>
        <w:t>4</w:t>
      </w:r>
      <w:r w:rsidRPr="009867C1">
        <w:rPr>
          <w:vertAlign w:val="superscript"/>
        </w:rPr>
        <w:t>+</w:t>
      </w:r>
      <w:r w:rsidRPr="009867C1">
        <w:t xml:space="preserve"> alongside other nutrients simulating salmon carcass decay; this </w:t>
      </w:r>
      <w:r w:rsidRPr="009867C1">
        <w:rPr>
          <w:vertAlign w:val="superscript"/>
        </w:rPr>
        <w:t>15</w:t>
      </w:r>
      <w:r w:rsidRPr="009867C1">
        <w:t>N was traced through soil and Western red cedar (</w:t>
      </w:r>
      <w:r w:rsidRPr="009867C1">
        <w:rPr>
          <w:i/>
        </w:rPr>
        <w:t>Thuja plicata</w:t>
      </w:r>
      <w:r w:rsidRPr="009867C1">
        <w:t xml:space="preserve">) tissue pools for one year </w:t>
      </w:r>
      <w:r w:rsidRPr="009867C1">
        <w:fldChar w:fldCharType="begin"/>
      </w:r>
      <w:r w:rsidR="00AC0205">
        <w:instrText xml:space="preserve"> ADDIN ZOTERO_ITEM CSL_CITATION {"citationID":"PsHqZlWM","properties":{"formattedCitation":"(Drake et al., 2006)","plainCitation":"(Drake et al., 2006)","noteIndex":0},"citationItems":[{"id":174,"uris":["http://zotero.org/users/2189142/items/Q77G9SAN"],"itemData":{"id":174,"type":"article-journal","abstract":"We introduced an 15N-NH4+ tracer to the riparian forest of a salmon-bearing stream (Kennedy Creek, Washington, USA) to quantify the cycling and fate of a late-season pulse of salmon N and, ultimately, mechanisms regulating potential links between salmon abundance and tree growth. The 15N tracer simulated deposition of 7.25 kg of salmon (fresh) to four 50-m2 plots. We added NH4+ (the initial product of salmon carcass decay) and other important nutrients provided by carcasses (P, S, K, Mg, Ca) to soils in late October 2003, coincident with local salmon spawning. We followed the 15N tracer through soil and tree pools for one year. Biological uptake of the 15N tracer occurred quickly: 64% of the 15N tracer was bound in soil microbiota within 14 days, and roots of the dominant riparian tree, western red cedar (Thuja plicata), began to take up 15N tracer within seven days. Root uptake continued through the winter. The 15N tracer content of soil organic matter reached a maximum of ̃52%, five weeks after the application, and a relative equilibrium of ̃40% within five months. Six months after the addition, in spring 2004, at least 37% of the 15N tracer was found in tree tissues: ̃23% in foliage, ̃11% in roots, and ̃3% in stems. Within the stems, xylem and phloem sap contained ̃96% of the tracer N, and ̃4% was in structural xylem N. After one year, at least 28% of the 15N tracer was still found in trees, and loss from the plots was only ̃20%. The large portion of tracer N taken up in the fall and reallocated to leaves and stems the following spring provides mechanistic evidence for a one-year-lagged tree-growth response to salmon nutrients. Salmon nutrients have been deposited in the Kennedy Creek system each fall for centuries, but the system shows no evidence of nutrient saturation. Rates of N uptake and retention are a function of site history and disturbance and also may be the result of a legacy effect, in which annual salmon nutrient addition may lead to increased efficiency of nutrient uptake and use.","container-title":"Ecology","DOI":"10.1890/0012-9658(2006)87[1256:FONIRF]2.0.CO;2","ISSN":"0012-9658","issue":"5","journalAbbreviation":"Ecology","page":"1256-1266","source":"esajournals.org (Atypon)","title":"Fate of nitrogen in riparian forest soils and trees: an 15n tracer study simulating salmon decay","title-short":"Fate of nitrogen in riparian forest soils and trees","volume":"87","author":[{"family":"Drake","given":"Deanne C."},{"family":"Naiman","given":"Robert J."},{"family":"Bechtold","given":"J. Scott"}],"issued":{"date-parts":[["2006",5,1]]},"citation-key":"drake_2006"}}],"schema":"https://github.com/citation-style-language/schema/raw/master/csl-citation.json"} </w:instrText>
      </w:r>
      <w:r w:rsidRPr="009867C1">
        <w:fldChar w:fldCharType="separate"/>
      </w:r>
      <w:r w:rsidR="0042141C" w:rsidRPr="009867C1">
        <w:t>(Drake et al., 2006)</w:t>
      </w:r>
      <w:r w:rsidRPr="009867C1">
        <w:fldChar w:fldCharType="end"/>
      </w:r>
      <w:r w:rsidRPr="009867C1">
        <w:t xml:space="preserve">. This study showed maximum </w:t>
      </w:r>
      <w:r w:rsidRPr="009867C1">
        <w:rPr>
          <w:vertAlign w:val="superscript"/>
        </w:rPr>
        <w:t>15</w:t>
      </w:r>
      <w:r w:rsidRPr="009867C1">
        <w:t xml:space="preserve">N presence in soil pools 30 days after application, with uptake by cedar trees occurring over the following six months, spiking in spring growth the following year. The authors estimated that as much as 80% of </w:t>
      </w:r>
      <w:r w:rsidRPr="009867C1">
        <w:rPr>
          <w:vertAlign w:val="superscript"/>
        </w:rPr>
        <w:t>15</w:t>
      </w:r>
      <w:r w:rsidRPr="009867C1">
        <w:t xml:space="preserve">N was retained in plots after one year, indicating that most added nitrogen was stabilized by the soil microbial and plant communities despite high rainfall and presumed high levels of soil leaching. Given that one of the primary means of stabilizing soil nitrogen are mycorrhizal fungi </w:t>
      </w:r>
      <w:r w:rsidRPr="009867C1">
        <w:fldChar w:fldCharType="begin"/>
      </w:r>
      <w:r w:rsidR="00AC0205">
        <w:instrText xml:space="preserve"> ADDIN ZOTERO_ITEM CSL_CITATION {"citationID":"UMl7YygX","properties":{"formattedCitation":"(Frey, 2019)","plainCitation":"(Frey, 2019)","noteIndex":0},"citationItems":[{"id":2614,"uris":["http://zotero.org/users/2189142/items/23982JGZ"],"itemData":{"id":2614,"type":"article-journal","abstract":"Inhabiting the interface between plant roots and soil, mycorrhizal fungi play a unique but underappreciated role in soil organic matter (SOM) dynamics. Their hyphae provide an efficient mechanism for distributing plant carbon throughout the soil, facilitating its deposition into soil pores and onto mineral surfaces, where it can be protected from microbial attack. Mycorrhizal exudates and dead tissues contribute to the microbial necromass pool now known to play a dominant role in SOM formation and stabilization. While mycorrhizal fungi lack the genetic capacity to act as saprotrophs, they use several strategies to access nutrients locked in SOM and thereby promote its decay, including direct enzymatic breakdown, oxidation via Fenton chemistry, and stimulation of heterotrophic microorganisms through carbon provision to the rhizosphere. An additional mechanism, competition with free-living saprotrophs, potentially suppresses SOM decomposition, leading to its accumulation. How these various nutrient acquisition strategies differentially influence SOM formation, stabilization, and loss is an area of critical research need.","container-title":"Annual Review of Ecology, Evolution, and Systematics","DOI":"10.1146/annurev-ecolsys-110617-062331","issue":"1","note":"_eprint: https://doi.org/10.1146/annurev-ecolsys-110617-062331","page":"237-259","source":"Annual Reviews","title":"Mycorrhizal Fungi as Mediators of Soil Organic Matter Dynamics","volume":"50","author":[{"family":"Frey","given":"Serita D."}],"issued":{"date-parts":[["2019"]]},"citation-key":"frey_2019a"}}],"schema":"https://github.com/citation-style-language/schema/raw/master/csl-citation.json"} </w:instrText>
      </w:r>
      <w:r w:rsidRPr="009867C1">
        <w:fldChar w:fldCharType="separate"/>
      </w:r>
      <w:r w:rsidR="0042141C" w:rsidRPr="009867C1">
        <w:t>(Frey, 2019)</w:t>
      </w:r>
      <w:r w:rsidRPr="009867C1">
        <w:fldChar w:fldCharType="end"/>
      </w:r>
      <w:r w:rsidRPr="009867C1">
        <w:t xml:space="preserve">, </w:t>
      </w:r>
      <w:r w:rsidR="00A00C0E">
        <w:t xml:space="preserve">I postulate that </w:t>
      </w:r>
      <w:r w:rsidRPr="009867C1">
        <w:t>high estimates of retained-N in salmon forests are due to fungal N-stabilization and associated plant uptake.</w:t>
      </w:r>
    </w:p>
    <w:p w14:paraId="67C0C832" w14:textId="1412D1C8" w:rsidR="00086155" w:rsidRPr="009867C1" w:rsidRDefault="00086155" w:rsidP="00086155">
      <w:pPr>
        <w:ind w:firstLine="720"/>
      </w:pPr>
      <w:r w:rsidRPr="009867C1">
        <w:t>The objective of th</w:t>
      </w:r>
      <w:r w:rsidR="009010C8">
        <w:t>e present</w:t>
      </w:r>
      <w:r w:rsidRPr="009867C1">
        <w:t xml:space="preserve"> study was to measure short-term uptake and distribution of salmon-like nutrients in salmon forest soils in Heiltsuk traditional territory, British Columbia, Canada. </w:t>
      </w:r>
      <w:r w:rsidR="00A00C0E">
        <w:t>I was</w:t>
      </w:r>
      <w:r w:rsidRPr="009867C1">
        <w:t xml:space="preserve"> particularly interested in the potential role of mycorrhizal fungi in increasing plant uptake and the distribution of nitrogen to surrounding plants. To answer these questions, </w:t>
      </w:r>
      <w:r w:rsidR="00A00C0E">
        <w:t>I</w:t>
      </w:r>
      <w:r w:rsidRPr="009867C1">
        <w:t xml:space="preserve"> employed a modified re-creation of Drake et al.’s 2006 pulse-chase experiment. </w:t>
      </w:r>
      <w:r w:rsidR="00A00C0E">
        <w:t>I</w:t>
      </w:r>
      <w:r w:rsidRPr="009867C1">
        <w:t xml:space="preserve"> wanted to measure how long riparian shrubs took to uptake labelled nitrogen, and predicted that this uptake would decline with distance. </w:t>
      </w:r>
      <w:r w:rsidR="00A00C0E">
        <w:t xml:space="preserve">I </w:t>
      </w:r>
      <w:r w:rsidRPr="009867C1">
        <w:t xml:space="preserve">also wanted to test if isotope distribution was directional or diffused more evenly across the plot. Finally, </w:t>
      </w:r>
      <w:r w:rsidR="00A00C0E">
        <w:t xml:space="preserve">I </w:t>
      </w:r>
      <w:r w:rsidRPr="009867C1">
        <w:t xml:space="preserve">wanted to test if </w:t>
      </w:r>
      <w:r w:rsidR="00A00C0E">
        <w:t xml:space="preserve">a fungicide treatment would stop or slow isotope translocation to </w:t>
      </w:r>
      <w:r w:rsidRPr="009867C1">
        <w:t xml:space="preserve">plant tissues. This study design thus uses a fungicide treatment in an explicit time-and-space design to test the rate of tracer uptake, the distance of spread, and whether or not this </w:t>
      </w:r>
      <w:r w:rsidR="00A00C0E">
        <w:t>was affected</w:t>
      </w:r>
      <w:r w:rsidRPr="009867C1">
        <w:t xml:space="preserve"> by a fungicide treatment.  </w:t>
      </w:r>
    </w:p>
    <w:p w14:paraId="69CD0B64" w14:textId="77777777" w:rsidR="00086155" w:rsidRPr="009867C1" w:rsidRDefault="00086155" w:rsidP="00086155"/>
    <w:p w14:paraId="7A3AE460" w14:textId="77777777" w:rsidR="00086155" w:rsidRPr="009867C1" w:rsidRDefault="00086155" w:rsidP="00086155">
      <w:pPr>
        <w:pStyle w:val="Heading3"/>
        <w:rPr>
          <w:lang w:val="en-CA"/>
        </w:rPr>
      </w:pPr>
      <w:bookmarkStart w:id="256" w:name="_Toc99385496"/>
      <w:r w:rsidRPr="009867C1">
        <w:rPr>
          <w:lang w:val="en-CA"/>
        </w:rPr>
        <w:t>Materials and Methods</w:t>
      </w:r>
      <w:bookmarkEnd w:id="256"/>
    </w:p>
    <w:p w14:paraId="40582A0A" w14:textId="77777777" w:rsidR="00086155" w:rsidRPr="009867C1" w:rsidRDefault="00086155" w:rsidP="00086155">
      <w:pPr>
        <w:pStyle w:val="Heading4"/>
      </w:pPr>
      <w:bookmarkStart w:id="257" w:name="_Toc99385497"/>
      <w:r w:rsidRPr="009867C1">
        <w:t>Study site</w:t>
      </w:r>
      <w:bookmarkEnd w:id="257"/>
    </w:p>
    <w:p w14:paraId="1151A285" w14:textId="785E5205" w:rsidR="00086155" w:rsidRPr="009867C1" w:rsidRDefault="00086155" w:rsidP="00086155">
      <w:pPr>
        <w:ind w:firstLine="720"/>
      </w:pPr>
      <w:r w:rsidRPr="009867C1">
        <w:t>This study was conducted in the Goatbushu watershed in Heiltsuk First Nation traditional territory in the Central Coast Regional District of British Columbia, Canada near the community of Bella Bella (</w:t>
      </w:r>
      <w:r w:rsidRPr="00BA4D66">
        <w:t xml:space="preserve">Appendix </w:t>
      </w:r>
      <w:r w:rsidRPr="009867C1">
        <w:t xml:space="preserve">A). This region is located in the Central variant of the Very Wet Hypermaritime subzone of the Coastal Western Hemlock biogeoclimatic zone (CWHvh2) </w:t>
      </w:r>
      <w:r w:rsidRPr="009867C1">
        <w:fldChar w:fldCharType="begin"/>
      </w:r>
      <w:r w:rsidR="00AC0205">
        <w:instrText xml:space="preserve"> ADDIN ZOTERO_ITEM CSL_CITATION {"citationID":"hN98KClT","properties":{"formattedCitation":"(MFLNRORD, 2018)","plainCitation":"(MFLNRORD, 2018)","noteIndex":0},"citationItems":[{"id":163,"uris":["http://zotero.org/users/2189142/items/YZ875M43"],"itemData":{"id":163,"type":"map","title":"Biogeoclimatic Ecosystem Classification Subzone/Variant Map for the Mid-Coast Subunit","author":[{"family":"MFLNRORD","given":""}],"issued":{"date-parts":[["2018"]]},"citation-key":"mflnrord_2018"}}],"schema":"https://github.com/citation-style-language/schema/raw/master/csl-citation.json"} </w:instrText>
      </w:r>
      <w:r w:rsidRPr="009867C1">
        <w:fldChar w:fldCharType="separate"/>
      </w:r>
      <w:r w:rsidR="0042141C" w:rsidRPr="009867C1">
        <w:t>(MFLNRORD, 2018)</w:t>
      </w:r>
      <w:r w:rsidRPr="009867C1">
        <w:fldChar w:fldCharType="end"/>
      </w:r>
      <w:r w:rsidRPr="009867C1">
        <w:t>, and is dominated by cool maritime climate, high rainfall, and mature temperate rainforests. Goatbushu watershed was chosen to balance of accessibility, availability of a decade of ongoing salmon count data, and maximize synergy with other studies (</w:t>
      </w:r>
      <w:r w:rsidRPr="00BA4D66">
        <w:t xml:space="preserve">Chapters 2-5, </w:t>
      </w:r>
      <w:r w:rsidRPr="009867C1">
        <w:fldChar w:fldCharType="begin"/>
      </w:r>
      <w:r w:rsidR="00AC0205">
        <w:instrText xml:space="preserve"> ADDIN ZOTERO_ITEM CSL_CITATION {"citationID":"tG1VjbMe","properties":{"formattedCitation":"(Wagner &amp; Reynolds, 2019)","plainCitation":"(Wagner &amp; Reynolds, 2019)","dontUpdate":true,"noteIndex":0},"citationItems":[{"id":1850,"uris":["http://zotero.org/users/2189142/items/AHUMBHEI"],"itemData":{"id":1850,"type":"article-journal","abstract":"Resource subsidies across ecosystems can have strong and unforeseen ecological impacts. Marine-derived nutrients from Pacific salmon (Onchorhycus spp.) can be transferred to streams and riparian forests through diverse food web pathways, fertilizing forests and increasing invertebrate abundance, which may in turn affect breeding birds. We quantified the influence of salmon on the abundance and composition of songbird communities across a wide range of salmon-spawning biomass on 14 streams along a remote coastal region of British Columbia, Canada. Point-count data spanning two years were combined with salmon biomass and 13 environmental covariates in riparian forests to test for correlates with bird abundance, foraging guilds, individual species, and avian diversity. We show that bird abundance and diversity increase with salmon biomass and that watershed size and forest composition are less important predictors. This work provides new evidence for the importance of salmon to terrestrial ecosystems and information that can inform ecosystem-based management.","container-title":"PLOS ONE","DOI":"10.1371/journal.pone.0210031","ISSN":"1932-6203","issue":"2","journalAbbreviation":"PLOS ONE","language":"en","page":"e0210031","source":"PLoS Journals","title":"Salmon increase forest bird abundance and diversity","volume":"14","author":[{"family":"Wagner","given":"Marlene A."},{"family":"Reynolds","given":"John D."}],"issued":{"date-parts":[["2019",2,6]]},"citation-key":"wagner_2019"}}],"schema":"https://github.com/citation-style-language/schema/raw/master/csl-citation.json"} </w:instrText>
      </w:r>
      <w:r w:rsidRPr="009867C1">
        <w:fldChar w:fldCharType="separate"/>
      </w:r>
      <w:r w:rsidR="0042141C" w:rsidRPr="009867C1">
        <w:t>Wagner &amp; Reynolds, 2019)</w:t>
      </w:r>
      <w:r w:rsidRPr="009867C1">
        <w:fldChar w:fldCharType="end"/>
      </w:r>
      <w:r w:rsidRPr="009867C1">
        <w:t>. The stream lies at the mouth of a tidal lagoon and estuary (</w:t>
      </w:r>
      <w:r w:rsidRPr="009867C1">
        <w:fldChar w:fldCharType="begin"/>
      </w:r>
      <w:r w:rsidRPr="009867C1">
        <w:instrText xml:space="preserve"> REF _Ref65489291 \h </w:instrText>
      </w:r>
      <w:r w:rsidR="009867C1">
        <w:instrText xml:space="preserve"> \* MERGEFORMAT </w:instrText>
      </w:r>
      <w:r w:rsidRPr="009867C1">
        <w:fldChar w:fldCharType="separate"/>
      </w:r>
      <w:r w:rsidR="000667DB">
        <w:rPr>
          <w:b/>
          <w:bCs/>
        </w:rPr>
        <w:t>Error! Reference source not found.</w:t>
      </w:r>
      <w:r w:rsidRPr="009867C1">
        <w:fldChar w:fldCharType="end"/>
      </w:r>
      <w:r w:rsidRPr="009867C1">
        <w:t xml:space="preserve"> - </w:t>
      </w:r>
      <w:r w:rsidRPr="009867C1">
        <w:fldChar w:fldCharType="begin"/>
      </w:r>
      <w:r w:rsidRPr="009867C1">
        <w:instrText xml:space="preserve"> REF _Ref65489294 \h </w:instrText>
      </w:r>
      <w:r w:rsidR="009867C1">
        <w:instrText xml:space="preserve"> \* MERGEFORMAT </w:instrText>
      </w:r>
      <w:r w:rsidRPr="009867C1">
        <w:fldChar w:fldCharType="separate"/>
      </w:r>
      <w:r w:rsidR="000667DB">
        <w:rPr>
          <w:b/>
          <w:bCs/>
        </w:rPr>
        <w:t>Error! Reference source not found.</w:t>
      </w:r>
      <w:r w:rsidRPr="009867C1">
        <w:fldChar w:fldCharType="end"/>
      </w:r>
      <w:r w:rsidRPr="009867C1">
        <w:t xml:space="preserve">). Mature forests in this area consist of a mix of </w:t>
      </w:r>
      <w:r w:rsidR="00BA4D66">
        <w:t>W</w:t>
      </w:r>
      <w:r w:rsidRPr="009867C1">
        <w:t>estern hemlock (</w:t>
      </w:r>
      <w:r w:rsidRPr="009867C1">
        <w:rPr>
          <w:i/>
        </w:rPr>
        <w:t>Tsuga heterophylla</w:t>
      </w:r>
      <w:r w:rsidRPr="009867C1">
        <w:t xml:space="preserve">), </w:t>
      </w:r>
      <w:r w:rsidR="00BA4D66">
        <w:t>W</w:t>
      </w:r>
      <w:r w:rsidRPr="009867C1">
        <w:t>estern redcedar (</w:t>
      </w:r>
      <w:r w:rsidRPr="009867C1">
        <w:rPr>
          <w:i/>
        </w:rPr>
        <w:t>Thuja plicata</w:t>
      </w:r>
      <w:r w:rsidRPr="009867C1">
        <w:t>), Amabilis fir (</w:t>
      </w:r>
      <w:r w:rsidRPr="009867C1">
        <w:rPr>
          <w:i/>
        </w:rPr>
        <w:t>Abies amabilis</w:t>
      </w:r>
      <w:r w:rsidRPr="009867C1">
        <w:t>), and Sitka spruce (</w:t>
      </w:r>
      <w:r w:rsidRPr="009867C1">
        <w:rPr>
          <w:i/>
        </w:rPr>
        <w:t>Picea sitchensis</w:t>
      </w:r>
      <w:r w:rsidRPr="009867C1">
        <w:t>), with red alder (</w:t>
      </w:r>
      <w:r w:rsidRPr="009867C1">
        <w:rPr>
          <w:i/>
        </w:rPr>
        <w:t>Alnus rubra</w:t>
      </w:r>
      <w:r w:rsidRPr="009867C1">
        <w:t>) appearing in disturbed areas. The understory includes huckleberry and blueberry species (</w:t>
      </w:r>
      <w:r w:rsidRPr="009867C1">
        <w:rPr>
          <w:i/>
        </w:rPr>
        <w:t>Vaccinium parvifolium, V. alaskensae, and V. ovalifolium</w:t>
      </w:r>
      <w:r w:rsidRPr="009867C1">
        <w:t>), false azalea (</w:t>
      </w:r>
      <w:r w:rsidRPr="009867C1">
        <w:rPr>
          <w:i/>
        </w:rPr>
        <w:t>Menziesia furruginea</w:t>
      </w:r>
      <w:r w:rsidRPr="009867C1">
        <w:t>), salal (</w:t>
      </w:r>
      <w:r w:rsidRPr="009867C1">
        <w:rPr>
          <w:i/>
        </w:rPr>
        <w:t>Gaultheria shallon</w:t>
      </w:r>
      <w:r w:rsidRPr="009867C1">
        <w:t>), salmonberry (</w:t>
      </w:r>
      <w:r w:rsidRPr="009867C1">
        <w:rPr>
          <w:i/>
        </w:rPr>
        <w:t>Rubus spectabilis</w:t>
      </w:r>
      <w:r w:rsidRPr="009867C1">
        <w:t>), and devil’s club (</w:t>
      </w:r>
      <w:r w:rsidRPr="009867C1">
        <w:rPr>
          <w:i/>
        </w:rPr>
        <w:t>Oploplanax horridus</w:t>
      </w:r>
      <w:r w:rsidRPr="009867C1">
        <w:t xml:space="preserve">).  The forest was hand-logged in the early 1960s, and accessible areas near the stream mouth today consist of second-growth forest surrounded by old-growth on upland slopes. </w:t>
      </w:r>
    </w:p>
    <w:p w14:paraId="03D4767A" w14:textId="77777777" w:rsidR="00086155" w:rsidRPr="009867C1" w:rsidRDefault="00086155" w:rsidP="00086155">
      <w:pPr>
        <w:pStyle w:val="Heading4"/>
      </w:pPr>
      <w:bookmarkStart w:id="258" w:name="_Toc99385498"/>
      <w:r w:rsidRPr="009867C1">
        <w:t>Experimental design</w:t>
      </w:r>
      <w:bookmarkEnd w:id="258"/>
    </w:p>
    <w:p w14:paraId="08D1D59B" w14:textId="3C31A049" w:rsidR="00086155" w:rsidRPr="009867C1" w:rsidRDefault="00086155" w:rsidP="00086155">
      <w:pPr>
        <w:ind w:firstLine="720"/>
      </w:pPr>
      <w:r w:rsidRPr="009867C1">
        <w:t xml:space="preserve">In early July, six plots were </w:t>
      </w:r>
      <w:r w:rsidR="00BA4D66">
        <w:t>selected</w:t>
      </w:r>
      <w:r w:rsidRPr="009867C1">
        <w:t xml:space="preserve"> near the mouth of Goatbushu creek, three on each side of the stream. In each plot, vegetation data was taken in a five-meter radius circle: all shrubs &gt;10cm tall had height, width and length measured to approximate shrub volume as a rectangular prism. All trees with circumference &gt;5cm had their circumference measured and height estimated. Shrub and tree distance from origin and bearing in polar coordinates were measured and used in combination with volumetric data to generate 2-D shrub-and-tree maps of the plots. Percent cover estimates of coarse woody debris, herbaceous layer, and moss layer were taken for both a 1m</w:t>
      </w:r>
      <w:r w:rsidRPr="009867C1">
        <w:rPr>
          <w:vertAlign w:val="superscript"/>
        </w:rPr>
        <w:t xml:space="preserve">2 </w:t>
      </w:r>
      <w:r w:rsidRPr="009867C1">
        <w:t xml:space="preserve">subplot (detailed) in the centre of the plot and the entire 5m radius circle (approximate).   </w:t>
      </w:r>
    </w:p>
    <w:p w14:paraId="74FC4005" w14:textId="067DA1CB" w:rsidR="00086155" w:rsidRPr="009867C1" w:rsidRDefault="00086155" w:rsidP="00086155">
      <w:pPr>
        <w:ind w:firstLine="720"/>
      </w:pPr>
      <w:r w:rsidRPr="009867C1">
        <w:t xml:space="preserve">In all plots a modified Hoagland solution was used to mimic exudates emerging from salmon decay. Following </w:t>
      </w:r>
      <w:r w:rsidRPr="009867C1">
        <w:fldChar w:fldCharType="begin"/>
      </w:r>
      <w:r w:rsidR="00AC0205">
        <w:instrText xml:space="preserve"> ADDIN ZOTERO_ITEM CSL_CITATION {"citationID":"dTYzpkyz","properties":{"formattedCitation":"(Drake et al., 2006)","plainCitation":"(Drake et al., 2006)","noteIndex":0},"citationItems":[{"id":174,"uris":["http://zotero.org/users/2189142/items/Q77G9SAN"],"itemData":{"id":174,"type":"article-journal","abstract":"We introduced an 15N-NH4+ tracer to the riparian forest of a salmon-bearing stream (Kennedy Creek, Washington, USA) to quantify the cycling and fate of a late-season pulse of salmon N and, ultimately, mechanisms regulating potential links between salmon abundance and tree growth. The 15N tracer simulated deposition of 7.25 kg of salmon (fresh) to four 50-m2 plots. We added NH4+ (the initial product of salmon carcass decay) and other important nutrients provided by carcasses (P, S, K, Mg, Ca) to soils in late October 2003, coincident with local salmon spawning. We followed the 15N tracer through soil and tree pools for one year. Biological uptake of the 15N tracer occurred quickly: 64% of the 15N tracer was bound in soil microbiota within 14 days, and roots of the dominant riparian tree, western red cedar (Thuja plicata), began to take up 15N tracer within seven days. Root uptake continued through the winter. The 15N tracer content of soil organic matter reached a maximum of ̃52%, five weeks after the application, and a relative equilibrium of ̃40% within five months. Six months after the addition, in spring 2004, at least 37% of the 15N tracer was found in tree tissues: ̃23% in foliage, ̃11% in roots, and ̃3% in stems. Within the stems, xylem and phloem sap contained ̃96% of the tracer N, and ̃4% was in structural xylem N. After one year, at least 28% of the 15N tracer was still found in trees, and loss from the plots was only ̃20%. The large portion of tracer N taken up in the fall and reallocated to leaves and stems the following spring provides mechanistic evidence for a one-year-lagged tree-growth response to salmon nutrients. Salmon nutrients have been deposited in the Kennedy Creek system each fall for centuries, but the system shows no evidence of nutrient saturation. Rates of N uptake and retention are a function of site history and disturbance and also may be the result of a legacy effect, in which annual salmon nutrient addition may lead to increased efficiency of nutrient uptake and use.","container-title":"Ecology","DOI":"10.1890/0012-9658(2006)87[1256:FONIRF]2.0.CO;2","ISSN":"0012-9658","issue":"5","journalAbbreviation":"Ecology","page":"1256-1266","source":"esajournals.org (Atypon)","title":"Fate of nitrogen in riparian forest soils and trees: an 15n tracer study simulating salmon decay","title-short":"Fate of nitrogen in riparian forest soils and trees","volume":"87","author":[{"family":"Drake","given":"Deanne C."},{"family":"Naiman","given":"Robert J."},{"family":"Bechtold","given":"J. Scott"}],"issued":{"date-parts":[["2006",5,1]]},"citation-key":"drake_2006"}}],"schema":"https://github.com/citation-style-language/schema/raw/master/csl-citation.json"} </w:instrText>
      </w:r>
      <w:r w:rsidRPr="009867C1">
        <w:fldChar w:fldCharType="separate"/>
      </w:r>
      <w:r w:rsidR="0042141C" w:rsidRPr="009867C1">
        <w:t>(Drake et al., 2006)</w:t>
      </w:r>
      <w:r w:rsidRPr="009867C1">
        <w:fldChar w:fldCharType="end"/>
      </w:r>
      <w:r w:rsidR="00BA4D66">
        <w:t>,  the solution</w:t>
      </w:r>
      <w:r w:rsidRPr="009867C1">
        <w:t xml:space="preserve"> was designed to contain the same nitrogen, potassium, calcium, sulfur, magnesium, and phosphorus as a 1.5 </w:t>
      </w:r>
      <w:r w:rsidR="00CD195B">
        <w:t>k</w:t>
      </w:r>
      <w:r w:rsidRPr="009867C1">
        <w:t xml:space="preserve">g salmon, corresponding to the average pink salmon in this watershed </w:t>
      </w:r>
      <w:r w:rsidRPr="009867C1">
        <w:fldChar w:fldCharType="begin"/>
      </w:r>
      <w:r w:rsidR="00AC0205">
        <w:instrText xml:space="preserve"> ADDIN ZOTERO_ITEM CSL_CITATION {"citationID":"T6GsBIYq","properties":{"formattedCitation":"(Hocking &amp; Reynolds, 2011)","plainCitation":"(Hocking &amp; Reynolds, 2011)","noteIndex":0},"citationItems":[{"id":550,"uris":["http://zotero.org/users/2189142/items/JR362H46"],"itemData":{"id":550,"type":"article-journal","abstract":"The study of natural gradients in nutrient subsidies between ecosystems allows for predictions of how changes in one system can affect biodiversity in another. We performed a large-scale empirical test of the role of Pacific salmon (Oncorhynchus spp.) in structuring riparian plant communities. A comparison of 50 watersheds in the remote Great Bear Rainforest of British Columbia’s central coast in Canada shows that salmon influence nutrient loading to plants, shifting plant communities toward nutrient-rich species, which in turn decreases plant diversity. These effects are mediated by interactions between salmon density and the physical characteristics of watersheds. Predicting how salmon affect terrestrial ecosystems is central to conservation plans that aim to better integrate ecosystem values into resource management.","container-title":"Science","DOI":"10.1126/science.1201079","ISSN":"0036-8075, 1095-9203","issue":"6024","journalAbbreviation":"Science","language":"en","note":"PMID: 21442794","page":"1609-1612","source":"www.sciencemag.org.ezproxy.library.ubc.ca","title":"Impacts of Salmon on Riparian Plant Diversity","volume":"331","author":[{"family":"Hocking","given":"Morgan D."},{"family":"Reynolds","given":"John D."}],"issued":{"date-parts":[["2011",3,25]]},"citation-key":"hocking_2011"}}],"schema":"https://github.com/citation-style-language/schema/raw/master/csl-citation.json"} </w:instrText>
      </w:r>
      <w:r w:rsidRPr="009867C1">
        <w:fldChar w:fldCharType="separate"/>
      </w:r>
      <w:r w:rsidR="0042141C" w:rsidRPr="009867C1">
        <w:t>(Hocking &amp; Reynolds, 2011)</w:t>
      </w:r>
      <w:r w:rsidRPr="009867C1">
        <w:fldChar w:fldCharType="end"/>
      </w:r>
      <w:r w:rsidRPr="009867C1">
        <w:t>. This was smaller than a similar addition performed by Drake et al., whom were mimicking larger chum salmon found at their Washington State site. Nitrogen and sulfur were added via ammonium sulfate ((NH</w:t>
      </w:r>
      <w:r w:rsidRPr="009867C1">
        <w:rPr>
          <w:vertAlign w:val="subscript"/>
        </w:rPr>
        <w:t>4</w:t>
      </w:r>
      <w:r w:rsidRPr="009867C1">
        <w:t>)</w:t>
      </w:r>
      <w:r w:rsidRPr="00CD195B">
        <w:rPr>
          <w:vertAlign w:val="subscript"/>
        </w:rPr>
        <w:t>2</w:t>
      </w:r>
      <w:r w:rsidRPr="009867C1">
        <w:t>SO</w:t>
      </w:r>
      <w:r w:rsidRPr="009867C1">
        <w:rPr>
          <w:vertAlign w:val="subscript"/>
        </w:rPr>
        <w:t>4</w:t>
      </w:r>
      <w:r w:rsidRPr="009867C1">
        <w:t>); phosphorus and calcium as calcium phosphate (Ca(HPO</w:t>
      </w:r>
      <w:r w:rsidRPr="009867C1">
        <w:rPr>
          <w:vertAlign w:val="subscript"/>
        </w:rPr>
        <w:t>4</w:t>
      </w:r>
      <w:r w:rsidRPr="009867C1">
        <w:t>)</w:t>
      </w:r>
      <w:r w:rsidRPr="009867C1">
        <w:rPr>
          <w:vertAlign w:val="superscript"/>
        </w:rPr>
        <w:t>2-</w:t>
      </w:r>
      <w:r w:rsidRPr="009867C1">
        <w:t>H</w:t>
      </w:r>
      <w:r w:rsidRPr="009867C1">
        <w:rPr>
          <w:vertAlign w:val="subscript"/>
        </w:rPr>
        <w:t>2</w:t>
      </w:r>
      <w:r w:rsidRPr="009867C1">
        <w:t>O); potassium and sulfur as potassium sulfate (K</w:t>
      </w:r>
      <w:r w:rsidRPr="009867C1">
        <w:rPr>
          <w:vertAlign w:val="subscript"/>
        </w:rPr>
        <w:t>2</w:t>
      </w:r>
      <w:r w:rsidRPr="009867C1">
        <w:t>SO</w:t>
      </w:r>
      <w:r w:rsidRPr="009867C1">
        <w:rPr>
          <w:vertAlign w:val="subscript"/>
        </w:rPr>
        <w:t>4</w:t>
      </w:r>
      <w:r w:rsidRPr="009867C1">
        <w:t>); and magnesium and sulfur as magnesium sulfate (MgSO</w:t>
      </w:r>
      <w:r w:rsidRPr="009867C1">
        <w:rPr>
          <w:vertAlign w:val="subscript"/>
        </w:rPr>
        <w:t>4</w:t>
      </w:r>
      <w:r w:rsidRPr="009867C1">
        <w:t>). All salts were dissolved in 7.5 L distilled water and applied via hand sprayer directly to a 1m</w:t>
      </w:r>
      <w:r w:rsidRPr="009867C1">
        <w:rPr>
          <w:vertAlign w:val="superscript"/>
        </w:rPr>
        <w:t>2</w:t>
      </w:r>
      <w:r w:rsidRPr="009867C1">
        <w:t xml:space="preserve"> area of soil over a period of 10 minutes to allow for percolation and avoid pooling. Given molar ratio constraints from using these salts, it was not possible to exactly match element masses in the solution with ratios found in salmon carcasses; hence element addition was prioritized in the order: nitrogen, phosphorus, potassium, magnesium. This resulted in a solution with approximately 30X as much sul</w:t>
      </w:r>
      <w:r w:rsidR="009010C8">
        <w:t>f</w:t>
      </w:r>
      <w:r w:rsidRPr="009867C1">
        <w:t xml:space="preserve">ur as desired and 11X as much calcium. See </w:t>
      </w:r>
      <w:r w:rsidR="000B4213">
        <w:t>Appendix D</w:t>
      </w:r>
      <w:r w:rsidRPr="009867C1">
        <w:t xml:space="preserve"> for detailed stochiometric calculations.</w:t>
      </w:r>
    </w:p>
    <w:p w14:paraId="0C31002C" w14:textId="61955DC9" w:rsidR="00086155" w:rsidRPr="009867C1" w:rsidRDefault="00086155" w:rsidP="00086155">
      <w:pPr>
        <w:ind w:firstLine="720"/>
      </w:pPr>
      <w:r w:rsidRPr="009867C1">
        <w:t>Two plots were treated exactly as above and served as controls (i</w:t>
      </w:r>
      <w:r w:rsidR="00CD195B">
        <w:t>.</w:t>
      </w:r>
      <w:r w:rsidRPr="009867C1">
        <w:t>e.</w:t>
      </w:r>
      <w:r w:rsidR="001D1EAB">
        <w:t>,</w:t>
      </w:r>
      <w:r w:rsidRPr="009867C1">
        <w:t xml:space="preserve"> control plots also received fertilization). Two plots</w:t>
      </w:r>
      <w:r w:rsidR="009010C8">
        <w:t xml:space="preserve"> additionally</w:t>
      </w:r>
      <w:r w:rsidRPr="009867C1">
        <w:t xml:space="preserve"> received 10 atom% </w:t>
      </w:r>
      <w:r w:rsidRPr="009867C1">
        <w:rPr>
          <w:vertAlign w:val="superscript"/>
        </w:rPr>
        <w:t>15</w:t>
      </w:r>
      <w:r w:rsidRPr="009867C1">
        <w:t xml:space="preserve">N labeled ammonium sulfate as nitrogen source and served as the </w:t>
      </w:r>
      <w:r w:rsidRPr="009867C1">
        <w:rPr>
          <w:vertAlign w:val="superscript"/>
        </w:rPr>
        <w:t>15</w:t>
      </w:r>
      <w:r w:rsidRPr="009867C1">
        <w:t xml:space="preserve">N treatment. In two final plots the fertilizer mix with labelled ammonium sulfate was applied as well as a fungicide and served as the </w:t>
      </w:r>
      <w:r w:rsidRPr="009867C1">
        <w:rPr>
          <w:vertAlign w:val="superscript"/>
        </w:rPr>
        <w:t>15</w:t>
      </w:r>
      <w:r w:rsidRPr="009867C1">
        <w:t xml:space="preserve">N + fungicide treatment. This resulted in two replicates of each treatment, one on each side of the stream, for a total of six plots. </w:t>
      </w:r>
    </w:p>
    <w:p w14:paraId="4EE0514E" w14:textId="33DC8F84" w:rsidR="00086155" w:rsidRPr="009867C1" w:rsidRDefault="00086155" w:rsidP="00086155">
      <w:pPr>
        <w:ind w:firstLine="720"/>
      </w:pPr>
      <w:r w:rsidRPr="009867C1">
        <w:t>Many fungicides are toxic to fish, and the importance of this creek as an active salmon spawning site precluded the use of strong or long-lasting fungicides in this experiment. An off-the shelf</w:t>
      </w:r>
      <w:r w:rsidR="001D1EAB">
        <w:t xml:space="preserve"> brand</w:t>
      </w:r>
      <w:r w:rsidRPr="009867C1">
        <w:t xml:space="preserve"> (Daconil) chlorothalonil was chosen due to its widespread use in agriculture, gardens and golf courses and its low toxicity in natural settings </w:t>
      </w:r>
      <w:r w:rsidRPr="009867C1">
        <w:fldChar w:fldCharType="begin"/>
      </w:r>
      <w:r w:rsidR="00AC0205">
        <w:instrText xml:space="preserve"> ADDIN ZOTERO_ITEM CSL_CITATION {"citationID":"Z5iYCq0h","properties":{"formattedCitation":"(Van Scoy &amp; Tjeerdema, 2014)","plainCitation":"(Van Scoy &amp; Tjeerdema, 2014)","noteIndex":0},"citationItems":[{"id":2549,"uris":["http://zotero.org/users/2189142/items/538ZCRDV"],"itemData":{"id":2549,"type":"article-journal","container-title":"Reviews of Environmental Contamination and Toxicology Volume 232","note":"publisher: Springer","page":"89–105","source":"Google Scholar","title":"Environmental fate and toxicology of chlorothalonil","author":[{"family":"Van Scoy","given":"April R."},{"family":"Tjeerdema","given":"Ronald S."}],"issued":{"date-parts":[["2014"]]},"citation-key":"vanscoy_2014"}}],"schema":"https://github.com/citation-style-language/schema/raw/master/csl-citation.json"} </w:instrText>
      </w:r>
      <w:r w:rsidRPr="009867C1">
        <w:fldChar w:fldCharType="separate"/>
      </w:r>
      <w:r w:rsidR="0042141C" w:rsidRPr="009867C1">
        <w:t>(Van Scoy &amp; Tjeerdema, 2014)</w:t>
      </w:r>
      <w:r w:rsidRPr="009867C1">
        <w:fldChar w:fldCharType="end"/>
      </w:r>
      <w:r w:rsidRPr="009867C1">
        <w:t xml:space="preserve">. Chlorothalonil has limited mobility in soil and adsorbs aggressively to organic particles in both soil and water </w:t>
      </w:r>
      <w:r w:rsidRPr="009867C1">
        <w:fldChar w:fldCharType="begin"/>
      </w:r>
      <w:r w:rsidR="00AC0205">
        <w:instrText xml:space="preserve"> ADDIN ZOTERO_ITEM CSL_CITATION {"citationID":"naDR9OAD","properties":{"formattedCitation":"(Dell et al., 1994)","plainCitation":"(Dell et al., 1994)","noteIndex":0},"citationItems":[{"id":208,"uris":["http://zotero.org/users/2189142/items/XQFS25FG"],"itemData":{"id":208,"type":"article-journal","container-title":"Journal of Environmental Quality","DOI":"10.2134/jeq1994.00472425002300010013x","ISSN":"0047-2425","issue":"1","language":"en","page":"92-96","source":"dl-sciencesocieties-org.ezproxy.library.ubc.ca","title":"Estimation of Sorption Coefficients for Fungicides in Soil and Turfgrass Thatch","volume":"23","author":[{"family":"Dell","given":"C. J."},{"family":"Throssell","given":"C. S."},{"family":"Bischoff","given":"M."},{"family":"Turco","given":"R. F."}],"issued":{"date-parts":[["1994"]],"season":"2/01"},"citation-key":"dell_1994"}}],"schema":"https://github.com/citation-style-language/schema/raw/master/csl-citation.json"} </w:instrText>
      </w:r>
      <w:r w:rsidRPr="009867C1">
        <w:fldChar w:fldCharType="separate"/>
      </w:r>
      <w:r w:rsidR="0042141C" w:rsidRPr="009867C1">
        <w:t>(Dell et al., 1994)</w:t>
      </w:r>
      <w:r w:rsidRPr="009867C1">
        <w:fldChar w:fldCharType="end"/>
      </w:r>
      <w:r w:rsidRPr="009867C1">
        <w:t xml:space="preserve">; hence diffusion is minimal (centimeters to tens of centimeters). When in water, it has low solubility </w:t>
      </w:r>
      <w:r w:rsidRPr="009867C1">
        <w:fldChar w:fldCharType="begin"/>
      </w:r>
      <w:r w:rsidR="00AC0205">
        <w:instrText xml:space="preserve"> ADDIN ZOTERO_ITEM CSL_CITATION {"citationID":"YvUxTED1","properties":{"formattedCitation":"(Vogue et al., 1994)","plainCitation":"(Vogue et al., 1994)","noteIndex":0},"citationItems":[{"id":1332,"uris":["http://zotero.org/users/2189142/items/6VDM286G"],"itemData":{"id":1332,"type":"webpage","title":"OSU Extension Pesticide Properties Database","URL":"http://npic.orst.edu/ingred/ppdmove.htm","author":[{"family":"Vogue","given":"PA"},{"family":"Kerle","given":"EA"},{"family":"Jenkins","given":"JJ"}],"accessed":{"date-parts":[["2017",6,12]]},"issued":{"date-parts":[["1994"]]},"citation-key":"vogue_1994"}}],"schema":"https://github.com/citation-style-language/schema/raw/master/csl-citation.json"} </w:instrText>
      </w:r>
      <w:r w:rsidRPr="009867C1">
        <w:fldChar w:fldCharType="separate"/>
      </w:r>
      <w:r w:rsidR="0042141C" w:rsidRPr="009867C1">
        <w:t>(Vogue et al., 1994)</w:t>
      </w:r>
      <w:r w:rsidRPr="009867C1">
        <w:fldChar w:fldCharType="end"/>
      </w:r>
      <w:r w:rsidRPr="009867C1">
        <w:t xml:space="preserve">, and preferentially adsorbs to floating organic particles. It has a short half-life in soil of 12.3 days, and degrades to negligible values within 76 days </w:t>
      </w:r>
      <w:r w:rsidRPr="009867C1">
        <w:fldChar w:fldCharType="begin"/>
      </w:r>
      <w:r w:rsidR="00AC0205">
        <w:instrText xml:space="preserve"> ADDIN ZOTERO_ITEM CSL_CITATION {"citationID":"0GU9fq65","properties":{"formattedCitation":"(Putnam et al., 2003)","plainCitation":"(Putnam et al., 2003)","noteIndex":0},"citationItems":[{"id":1469,"uris":["http://zotero.org/users/2189142/items/DUUZN9ZV"],"itemData":{"id":1469,"type":"article-journal","abstract":"The effect of a spray-tank adjuvant on the persistence, distribution, and degradation of two pesticides, chlorothalonil and chlorpyrifos, was studied in a commercial cranberry bog. Pesticides were applied according to label instructions to cranberry plants in paired plot studies. Dislodgeable foliar and whole fruit residues of both pesticides and several degradation products were assessed over a growing season. Residues were also assessed in soil samples collected at fruit harvest. Adjuvant increased both fruit and foliar residues but did not significantly alter the dissipation rate or metabolism of either pesticide. The dissipation of dislodgeable foliar chlorothalonil and chlorpyrifos residues followed first-order kinetics, with estimated half-lives of 12.7 and 3.5 d, respectively. All residue levels on harvested fruit were well below the current U.S. EPA tolerances for fresh cranberries. Chlorothalonil (58%) was the major residue in fruit at harvest (76 d post-chlorothalonil application), with 4-hydroxy-2,5,6-trichloroisophthalonitrile and 1,3-dicarbamoyl-2,4,5,6-tetrachlorobenzene accounting for 26% and 6% of the total residues, respectively. Degradation products accounted for 88% of the total chlorothalonil residues in soil at fruit harvest. The products 1,3-dicarbamoyl-2,4,5,6-tetrachlorobenzene, 1-carbamoyl-3-cyano-4-hydroxy-2,5,6-trichlorobenzene, 2,5,6-trichloro-4-methylthioisophthalonitrile, and 2,4,5-trichloroisophthalonitrile have not been previously identified in cranberry bog environments. Chlorpyrifos was detected in fruit at harvest (62 d post-chlorpyrifos application), but no metabolites were found. Chlorpyrifos-oxon and 3,5,6-trichloro-2-pyridinol, however, were detected in earlier fruit samples and in foliage and soil samples. Keywords: Chlorothalonil; chlorpyrifos; degradation; cranberry cultivation; Vaccinium spp.","container-title":"Journal of Agricultural and Food Chemistry","DOI":"10.1021/jf020744r","ISSN":"0021-8561","issue":"1","journalAbbreviation":"J. Agric. Food Chem.","page":"170-176","source":"ACS Publications","title":"The Persistence and Degradation of Chlorothalonil and Chlorpyrifos in a Cranberry Bog","volume":"51","author":[{"family":"Putnam","given":"Raymond A."},{"family":"Nelson","given":"Judd O."},{"family":"Clark","given":"J. Marshall"}],"issued":{"date-parts":[["2003",1,1]]},"citation-key":"putnam_2003"}}],"schema":"https://github.com/citation-style-language/schema/raw/master/csl-citation.json"} </w:instrText>
      </w:r>
      <w:r w:rsidRPr="009867C1">
        <w:fldChar w:fldCharType="separate"/>
      </w:r>
      <w:r w:rsidR="0042141C" w:rsidRPr="009867C1">
        <w:t>(Putnam et al., 2003)</w:t>
      </w:r>
      <w:r w:rsidRPr="009867C1">
        <w:fldChar w:fldCharType="end"/>
      </w:r>
      <w:r w:rsidRPr="009867C1">
        <w:t xml:space="preserve">.  It has been used successfully in ecological experiments by limiting the metabolic activity of fungi </w:t>
      </w:r>
      <w:r w:rsidRPr="009867C1">
        <w:fldChar w:fldCharType="begin"/>
      </w:r>
      <w:r w:rsidR="00AC0205">
        <w:instrText xml:space="preserve"> ADDIN ZOTERO_ITEM CSL_CITATION {"citationID":"t0muVfL2","properties":{"formattedCitation":"(Habte et al., 1992; Laatikainen &amp; Heinonen-Tanski, 2002)","plainCitation":"(Habte et al., 1992; Laatikainen &amp; Heinonen-Tanski, 2002)","noteIndex":0},"citationItems":[{"id":1330,"uris":["http://zotero.org/users/2189142/items/8P8FBDHR"],"itemData":{"id":1330,"type":"article-journal","abstract":"The residual effect of the fungicide chlorothalonil on the vesicular-arbuscular mycorrhizal (VAM) symbiosis was evaluated in a greenhouse experiment. The soil used was an oxisol (Tropeptic Eutrustox) treated with P to obtain target levels near-optimal for VAM activity or sufficient for nonmycorrhizal host growth. In the uninoculated soil treated with the former P level, the fungicide reduced VAM colonization of roots and completely suppressed symbiotic effectiveness measured in terms of pinnule P content. When this soil was inoculated with Glomus aggregatum, symbiotic effectiveness was significantly reduced but not eliminated by 50 mg of the fungicide kg−1. At higher chlorothalonil levels, VAM effectiveness but not VAM colonization was completely suppressed in the inoculated soil. The pattern with which chlorothalonil influenced tissue P content and dry matter yield at the time of harvest closely paralleled its effect on VAM effectiveness. In the soil treated with P level sufficient for nonmycorrhizal host growth, the adverse effect of the fungicide on the above variables was appreciably milder than when the host relied on VAM fungi for its P supply. The toxic effect of the fungicide, therefore, was partly offset by P fertilization, suggesting that VAM fungi were more sensitive to chlorothalonil than the host. Our results demonstrate that although the toxic effect of chlorothalonil declined as a function of time, a significant level of toxicity persisted 12.5 weeks after the chemical was applied to soil.","container-title":"Plant and Soil","DOI":"10.1007/BF00010603","ISSN":"0032-079X, 1573-5036","issue":"2","journalAbbreviation":"Plant Soil","language":"en","page":"263-268","source":"link-springer-com.ezproxy.library.ubc.ca","title":"Residual toxicity of soil-applied chlorothalonil on mycorrhizal symbiosis in Leucaena leucocephala","volume":"140","author":[{"family":"Habte","given":"M."},{"family":"Aziz","given":"T."},{"family":"Yuen","given":"J. E."}],"issued":{"date-parts":[["1992",2,1]]},"citation-key":"habte_1992"}},{"id":1346,"uris":["http://zotero.org/users/2189142/items/6VU7WX8D"],"itemData":{"id":1346,"type":"article-journal","abstract":"The effects of pesticides on 64 ectomycorrhizal fungi of boreal forest trees were studied in vitro. The pesticides (fungicides: benomyl, chlorothalonil, copper oxychloride, maneb and propiconazole; herbicides: chlorthiamid, glyphosate, hexazinone, linuron and terbuthylazine; insecticide: cypermethrin) were selected as those commonly used in Nordic forest nurseries and afforestation sites. In general, the fungicides proved to be more toxic to ectomycorrhizal fungi than the herbicides and cypermethrin. The fungicides, chlorothalonil and propiconazole, had the clearest inhibitory effect on growth of mycorrhizal fungi. Conversely, maneb, glyphosate and terbuthylazine stimulated the growth of some mycorrhizal fungi. Leccinum versipelle and L. scabrum, Paxillus involutus and Cenococcum geophilum were the most sensitive ectomycorrhizal fungi to the various pesticides.","container-title":"Microbiological Research","DOI":"10.1078/0944-5013-00139","ISSN":"0944-5013","issue":"2","journalAbbreviation":"Microbiological Research","page":"127-137","source":"ScienceDirect","title":"Mycorrhizal growth in pure cultures in the presence of pesticides","volume":"157","author":[{"family":"Laatikainen","given":"Tarja"},{"family":"Heinonen-Tanski","given":"H."}],"issued":{"date-parts":[["2002",1,1]]},"citation-key":"laatikainen_2002"}}],"schema":"https://github.com/citation-style-language/schema/raw/master/csl-citation.json"} </w:instrText>
      </w:r>
      <w:r w:rsidRPr="009867C1">
        <w:fldChar w:fldCharType="separate"/>
      </w:r>
      <w:r w:rsidR="0042141C" w:rsidRPr="009867C1">
        <w:t>(Habte et al., 1992; Laatikainen &amp; Heinonen-Tanski, 2002)</w:t>
      </w:r>
      <w:r w:rsidRPr="009867C1">
        <w:fldChar w:fldCharType="end"/>
      </w:r>
      <w:r w:rsidRPr="009867C1">
        <w:t xml:space="preserve">, but it </w:t>
      </w:r>
      <w:r w:rsidR="0056263C">
        <w:t xml:space="preserve">has been shown to </w:t>
      </w:r>
      <w:r w:rsidRPr="009867C1">
        <w:t xml:space="preserve">not reduce mycorrhizal colonization rates </w:t>
      </w:r>
      <w:r w:rsidRPr="009867C1">
        <w:fldChar w:fldCharType="begin"/>
      </w:r>
      <w:r w:rsidR="00AC0205">
        <w:instrText xml:space="preserve"> ADDIN ZOTERO_ITEM CSL_CITATION {"citationID":"a137d1q4o4u","properties":{"formattedCitation":"(Aleksandrowicz-Trzcinska, 2008)","plainCitation":"(Aleksandrowicz-Trzcinska, 2008)","noteIndex":0},"citationItems":[{"id":1465,"uris":["http://zotero.org/users/2189142/items/R7F6QPX6"],"itemData":{"id":1465,"type":"article-journal","container-title":"Leśne Prace Badawcze","issue":"1","page":"7–14","source":"Google Scholar","title":"Wzrost naturalnych odnowien sosny zwyczajnej i stan ich mikoryz po chemicznej ochronie przed osutka","volume":"69","author":[{"family":"Aleksandrowicz-Trzcinska","given":"M."}],"issued":{"date-parts":[["2008"]]},"citation-key":"aleksandrowicz-trzcinska_2008"}}],"schema":"https://github.com/citation-style-language/schema/raw/master/csl-citation.json"} </w:instrText>
      </w:r>
      <w:r w:rsidRPr="009867C1">
        <w:fldChar w:fldCharType="separate"/>
      </w:r>
      <w:r w:rsidR="0042141C" w:rsidRPr="009867C1">
        <w:t>(Aleksandrowicz-Trzcinska, 2008)</w:t>
      </w:r>
      <w:r w:rsidRPr="009867C1">
        <w:fldChar w:fldCharType="end"/>
      </w:r>
      <w:r w:rsidR="0056263C">
        <w:t>.</w:t>
      </w:r>
      <w:r w:rsidRPr="009867C1">
        <w:t xml:space="preserve"> </w:t>
      </w:r>
      <w:r w:rsidR="0056263C">
        <w:t xml:space="preserve">This indicates that chlorothalonil likely has </w:t>
      </w:r>
      <w:r w:rsidRPr="009867C1">
        <w:t xml:space="preserve">minimal </w:t>
      </w:r>
      <w:r w:rsidR="00621E51">
        <w:t>medium</w:t>
      </w:r>
      <w:r w:rsidRPr="009867C1">
        <w:t xml:space="preserve">-term impacts </w:t>
      </w:r>
      <w:r w:rsidR="0056263C">
        <w:t>on</w:t>
      </w:r>
      <w:r w:rsidRPr="009867C1">
        <w:t xml:space="preserve"> the mycorrhizal community. Here we applied approximately 12.5g of chlorothalonil to each m</w:t>
      </w:r>
      <w:r w:rsidRPr="009867C1">
        <w:rPr>
          <w:vertAlign w:val="superscript"/>
        </w:rPr>
        <w:t>2</w:t>
      </w:r>
      <w:r w:rsidRPr="009867C1">
        <w:t xml:space="preserve"> plot.</w:t>
      </w:r>
    </w:p>
    <w:p w14:paraId="0E9BF574" w14:textId="488D09CC" w:rsidR="00086155" w:rsidRPr="009867C1" w:rsidRDefault="00086155" w:rsidP="00086155">
      <w:pPr>
        <w:ind w:firstLine="720"/>
      </w:pPr>
      <w:r w:rsidRPr="009867C1">
        <w:t xml:space="preserve">This study employed a spatially-explicit repeated-measures sampling protocol. Ten or more ‘focal shrubs’ were chosen per plot; these were selected to be varying distances from the centre of the plot and included five </w:t>
      </w:r>
      <w:r w:rsidRPr="009867C1">
        <w:rPr>
          <w:i/>
        </w:rPr>
        <w:t xml:space="preserve">Vaccinium </w:t>
      </w:r>
      <w:r w:rsidRPr="00CD195B">
        <w:rPr>
          <w:iCs/>
        </w:rPr>
        <w:t>sp</w:t>
      </w:r>
      <w:r w:rsidR="00CD195B">
        <w:rPr>
          <w:iCs/>
        </w:rPr>
        <w:t>p</w:t>
      </w:r>
      <w:r w:rsidRPr="00CD195B">
        <w:rPr>
          <w:iCs/>
        </w:rPr>
        <w:t>.</w:t>
      </w:r>
      <w:r w:rsidRPr="009867C1">
        <w:t xml:space="preserve"> (a combination of </w:t>
      </w:r>
      <w:r w:rsidRPr="009867C1">
        <w:rPr>
          <w:i/>
        </w:rPr>
        <w:t>V. ovalifolium</w:t>
      </w:r>
      <w:r w:rsidRPr="009867C1">
        <w:t xml:space="preserve"> and </w:t>
      </w:r>
      <w:r w:rsidRPr="009867C1">
        <w:rPr>
          <w:i/>
        </w:rPr>
        <w:t>V. parvifolium</w:t>
      </w:r>
      <w:r w:rsidRPr="009867C1">
        <w:t>) and five false azalea (</w:t>
      </w:r>
      <w:r w:rsidRPr="009867C1">
        <w:rPr>
          <w:i/>
        </w:rPr>
        <w:t>R</w:t>
      </w:r>
      <w:r w:rsidR="000B4213">
        <w:rPr>
          <w:i/>
        </w:rPr>
        <w:t>h</w:t>
      </w:r>
      <w:r w:rsidRPr="009867C1">
        <w:rPr>
          <w:i/>
        </w:rPr>
        <w:t>ododendron menziesii</w:t>
      </w:r>
      <w:r w:rsidRPr="009867C1">
        <w:t xml:space="preserve">, previously </w:t>
      </w:r>
      <w:r w:rsidRPr="009867C1">
        <w:rPr>
          <w:i/>
        </w:rPr>
        <w:t>Menziesia ferruginea</w:t>
      </w:r>
      <w:r w:rsidRPr="009867C1">
        <w:t xml:space="preserve"> </w:t>
      </w:r>
      <w:r w:rsidRPr="009867C1">
        <w:fldChar w:fldCharType="begin"/>
      </w:r>
      <w:r w:rsidR="00AC0205">
        <w:instrText xml:space="preserve"> ADDIN ZOTERO_ITEM CSL_CITATION {"citationID":"AZH3rnah","properties":{"formattedCitation":"(Craven, 2011)","plainCitation":"(Craven, 2011)","noteIndex":0},"citationItems":[{"id":1459,"uris":["http://zotero.org/users/2189142/items/SVUPB48R"],"itemData":{"id":1459,"type":"webpage","genre":"Text","language":"en","note":"DOI: info:doi/10.3767/000651911X568594","title":"Diplarche and Menziesia transferred to Rhododendron (Ericaceae)","URL":"https://www-ingentaconnect-com.ezproxy.library.ubc.ca/content/nhn/blumea/2011/00000056/00000001/art00010","author":[{"family":"Craven","given":"L. A."}],"accessed":{"date-parts":[["2018",7,14]]},"issued":{"date-parts":[["2011"]]},"citation-key":"craven_2011"}}],"schema":"https://github.com/citation-style-language/schema/raw/master/csl-citation.json"} </w:instrText>
      </w:r>
      <w:r w:rsidRPr="009867C1">
        <w:fldChar w:fldCharType="separate"/>
      </w:r>
      <w:r w:rsidR="0042141C" w:rsidRPr="009867C1">
        <w:t>(Craven, 2011)</w:t>
      </w:r>
      <w:r w:rsidRPr="009867C1">
        <w:fldChar w:fldCharType="end"/>
      </w:r>
      <w:r w:rsidRPr="009867C1">
        <w:t>) of differing distances from the origin. A subset of plots also included some salmonberry (</w:t>
      </w:r>
      <w:r w:rsidRPr="009867C1">
        <w:rPr>
          <w:i/>
        </w:rPr>
        <w:t>Rubus spectabilis</w:t>
      </w:r>
      <w:r w:rsidRPr="009867C1">
        <w:t xml:space="preserve">) and </w:t>
      </w:r>
      <w:r w:rsidR="00CD195B">
        <w:t>w</w:t>
      </w:r>
      <w:r w:rsidR="000B4213">
        <w:t xml:space="preserve">estern </w:t>
      </w:r>
      <w:r w:rsidRPr="009867C1">
        <w:t>hemlock seedlings (</w:t>
      </w:r>
      <w:r w:rsidRPr="009867C1">
        <w:rPr>
          <w:i/>
        </w:rPr>
        <w:t>Tsuga heterophyla</w:t>
      </w:r>
      <w:r w:rsidRPr="009867C1">
        <w:t>). 1-4 leaf samples were taken from each shrub at 10 time steps: day 0 (before application), 1, 2, 4 ,7, 12, 20, 27, 33 and 40. Sites were sampled between July 4</w:t>
      </w:r>
      <w:r w:rsidRPr="009867C1">
        <w:rPr>
          <w:vertAlign w:val="superscript"/>
        </w:rPr>
        <w:t>th</w:t>
      </w:r>
      <w:r w:rsidRPr="009867C1">
        <w:t xml:space="preserve"> and August 13</w:t>
      </w:r>
      <w:r w:rsidRPr="009867C1">
        <w:rPr>
          <w:vertAlign w:val="superscript"/>
        </w:rPr>
        <w:t>th</w:t>
      </w:r>
      <w:r w:rsidRPr="009867C1">
        <w:t xml:space="preserve"> 2018. </w:t>
      </w:r>
      <w:r w:rsidR="00621E51">
        <w:t>At</w:t>
      </w:r>
      <w:r w:rsidRPr="009867C1">
        <w:t xml:space="preserve"> every sampling period leaves were picked by hand from each individual (approximately four leaves for </w:t>
      </w:r>
      <w:r w:rsidRPr="009867C1">
        <w:rPr>
          <w:i/>
        </w:rPr>
        <w:t>Vaccinium</w:t>
      </w:r>
      <w:r w:rsidRPr="009867C1">
        <w:t xml:space="preserve"> and two for </w:t>
      </w:r>
      <w:r w:rsidRPr="009867C1">
        <w:rPr>
          <w:i/>
        </w:rPr>
        <w:t>R. menziesii</w:t>
      </w:r>
      <w:r w:rsidRPr="009867C1">
        <w:t>), and frozen for later analyses. In the lab, these were dehydrated in a vacuum drier, pulverized with a Retsch MM 300 homogenizer bead mill, weighed into tin cups and analyzed in an Elementar Vario EL Cube Elemental Analyzer (EA) and Isoprime Isotope Ratio Mass Spectrometer (IRMS) at the UBC Forestry Stable Isotope Facility. In all samples, %C, %N, δ</w:t>
      </w:r>
      <w:r w:rsidRPr="009867C1">
        <w:rPr>
          <w:vertAlign w:val="superscript"/>
        </w:rPr>
        <w:t>13</w:t>
      </w:r>
      <w:r w:rsidRPr="009867C1">
        <w:t>C and δ</w:t>
      </w:r>
      <w:r w:rsidRPr="009867C1">
        <w:rPr>
          <w:vertAlign w:val="superscript"/>
        </w:rPr>
        <w:t>15</w:t>
      </w:r>
      <w:r w:rsidRPr="009867C1">
        <w:t xml:space="preserve">N </w:t>
      </w:r>
      <w:r w:rsidR="00CD195B">
        <w:t xml:space="preserve">were </w:t>
      </w:r>
      <w:r w:rsidRPr="009867C1">
        <w:t xml:space="preserve">measured.   </w:t>
      </w:r>
    </w:p>
    <w:p w14:paraId="10242DFF" w14:textId="77777777" w:rsidR="00086155" w:rsidRPr="009867C1" w:rsidRDefault="00086155" w:rsidP="00086155">
      <w:pPr>
        <w:pStyle w:val="Heading4"/>
      </w:pPr>
      <w:bookmarkStart w:id="259" w:name="_Toc99385499"/>
      <w:r w:rsidRPr="009867C1">
        <w:t>Analysis:</w:t>
      </w:r>
      <w:bookmarkEnd w:id="259"/>
      <w:r w:rsidRPr="009867C1">
        <w:t xml:space="preserve"> </w:t>
      </w:r>
    </w:p>
    <w:p w14:paraId="570554B8" w14:textId="1DBA26E6" w:rsidR="00086155" w:rsidRPr="009867C1" w:rsidRDefault="00086155" w:rsidP="00086155">
      <w:pPr>
        <w:ind w:firstLine="720"/>
      </w:pPr>
      <w:r w:rsidRPr="009867C1">
        <w:t xml:space="preserve">All data management, plotting, and statistical analyses were performed in R </w:t>
      </w:r>
      <w:r w:rsidRPr="009867C1">
        <w:fldChar w:fldCharType="begin"/>
      </w:r>
      <w:r w:rsidR="00AC0205">
        <w:instrText xml:space="preserve"> ADDIN ZOTERO_ITEM CSL_CITATION {"citationID":"L6NL2dqG","properties":{"formattedCitation":"(R Core Team, 2019)","plainCitation":"(R Core Team, 2019)","noteIndex":0},"citationItems":[{"id":218,"uris":["http://zotero.org/users/2189142/items/ISZFK4WI"],"itemData":{"id":218,"type":"book","event-place":"Vienna, Austria","publisher":"R Foundation for Statistical Computing","publisher-place":"Vienna, Austria","title":"R: A language and environment for statistical computing","URL":"https://www.R-project.org/","author":[{"family":"R Core Team","given":""}],"issued":{"date-parts":[["2019"]]},"citation-key":"rcoreteam_2019"}}],"schema":"https://github.com/citation-style-language/schema/raw/master/csl-citation.json"} </w:instrText>
      </w:r>
      <w:r w:rsidRPr="009867C1">
        <w:fldChar w:fldCharType="separate"/>
      </w:r>
      <w:r w:rsidR="0042141C" w:rsidRPr="009867C1">
        <w:t>(R Core Team, 2019)</w:t>
      </w:r>
      <w:r w:rsidRPr="009867C1">
        <w:fldChar w:fldCharType="end"/>
      </w:r>
      <w:r w:rsidRPr="009867C1">
        <w:t>. To visualize treatment effects, raw δ</w:t>
      </w:r>
      <w:r w:rsidRPr="009867C1">
        <w:rPr>
          <w:vertAlign w:val="superscript"/>
        </w:rPr>
        <w:t>15</w:t>
      </w:r>
      <w:r w:rsidRPr="009867C1">
        <w:t xml:space="preserve">N values were plotted as time series and fit with loess function curves with span=1.2 fit using ggplot2 </w:t>
      </w:r>
      <w:r w:rsidRPr="009867C1">
        <w:fldChar w:fldCharType="begin"/>
      </w:r>
      <w:r w:rsidR="00AC0205">
        <w:instrText xml:space="preserve"> ADDIN ZOTERO_ITEM CSL_CITATION {"citationID":"OmgNT8Qp","properties":{"formattedCitation":"(Wickham, 2016)","plainCitation":"(Wickham, 2016)","noteIndex":0},"citationItems":[{"id":10004,"uris":["http://zotero.org/users/2189142/items/H4NCVVI3"],"itemData":{"id":10004,"type":"book","ISBN":"978-3-319-24277-4","publisher":"Springer-Verlag New York","title":"ggplot2: Elegant Graphics for Data Analysis","URL":"https://ggplot2.tidyverse.org","author":[{"family":"Wickham","given":"Hadley"}],"issued":{"date-parts":[["2016"]]},"citation-key":"wickham_2016"}}],"schema":"https://github.com/citation-style-language/schema/raw/master/csl-citation.json"} </w:instrText>
      </w:r>
      <w:r w:rsidRPr="009867C1">
        <w:fldChar w:fldCharType="separate"/>
      </w:r>
      <w:r w:rsidR="0042141C" w:rsidRPr="009867C1">
        <w:t>(Wickham, 2016)</w:t>
      </w:r>
      <w:r w:rsidRPr="009867C1">
        <w:fldChar w:fldCharType="end"/>
      </w:r>
      <w:r w:rsidRPr="009867C1">
        <w:t xml:space="preserve"> (</w:t>
      </w:r>
      <w:r w:rsidRPr="009867C1">
        <w:fldChar w:fldCharType="begin"/>
      </w:r>
      <w:r w:rsidRPr="009867C1">
        <w:instrText xml:space="preserve"> REF _Ref74668025 \h  \* MERGEFORMAT </w:instrText>
      </w:r>
      <w:r w:rsidRPr="009867C1">
        <w:fldChar w:fldCharType="separate"/>
      </w:r>
      <w:r w:rsidR="000667DB" w:rsidRPr="009867C1">
        <w:t xml:space="preserve">Figure </w:t>
      </w:r>
      <w:r w:rsidR="000667DB">
        <w:rPr>
          <w:noProof/>
        </w:rPr>
        <w:t>6</w:t>
      </w:r>
      <w:r w:rsidR="000667DB">
        <w:rPr>
          <w:noProof/>
        </w:rPr>
        <w:noBreakHyphen/>
        <w:t>1</w:t>
      </w:r>
      <w:r w:rsidRPr="009867C1">
        <w:fldChar w:fldCharType="end"/>
      </w:r>
      <w:r w:rsidRPr="009867C1">
        <w:t>). For analysis, δ</w:t>
      </w:r>
      <w:r w:rsidRPr="009867C1">
        <w:rPr>
          <w:vertAlign w:val="superscript"/>
        </w:rPr>
        <w:t>15</w:t>
      </w:r>
      <w:r w:rsidRPr="009867C1">
        <w:t xml:space="preserve">N </w:t>
      </w:r>
      <w:r w:rsidR="00CD195B">
        <w:t xml:space="preserve">values </w:t>
      </w:r>
      <w:r w:rsidRPr="009867C1">
        <w:t xml:space="preserve">were translated such that they were all </w:t>
      </w:r>
      <w:r w:rsidRPr="000B4213">
        <w:t>positive (+5‰) and log-transformed to compress the range, and similarly plotted (</w:t>
      </w:r>
      <w:r w:rsidRPr="000B4213">
        <w:fldChar w:fldCharType="begin"/>
      </w:r>
      <w:r w:rsidRPr="000B4213">
        <w:instrText xml:space="preserve"> REF _Ref74668041 \h  \* MERGEFORMAT </w:instrText>
      </w:r>
      <w:r w:rsidRPr="000B4213">
        <w:fldChar w:fldCharType="separate"/>
      </w:r>
      <w:r w:rsidR="000667DB" w:rsidRPr="009867C1">
        <w:t xml:space="preserve">Figure </w:t>
      </w:r>
      <w:r w:rsidR="000667DB">
        <w:t>6</w:t>
      </w:r>
      <w:r w:rsidR="000667DB">
        <w:noBreakHyphen/>
        <w:t>2</w:t>
      </w:r>
      <w:r w:rsidRPr="000B4213">
        <w:fldChar w:fldCharType="end"/>
      </w:r>
      <w:r w:rsidRPr="000B4213">
        <w:t>). Plants were collapsed within treatments, and distances binned into three groups and again fit with loess curves (</w:t>
      </w:r>
      <w:r w:rsidRPr="000B4213">
        <w:fldChar w:fldCharType="begin"/>
      </w:r>
      <w:r w:rsidRPr="000B4213">
        <w:instrText xml:space="preserve"> REF _Ref74668258 \h  \* MERGEFORMAT </w:instrText>
      </w:r>
      <w:r w:rsidRPr="000B4213">
        <w:fldChar w:fldCharType="separate"/>
      </w:r>
      <w:r w:rsidR="000667DB" w:rsidRPr="009867C1">
        <w:t xml:space="preserve">Figure </w:t>
      </w:r>
      <w:r w:rsidR="000667DB">
        <w:t>6</w:t>
      </w:r>
      <w:r w:rsidR="000667DB">
        <w:noBreakHyphen/>
        <w:t>3</w:t>
      </w:r>
      <w:r w:rsidRPr="000B4213">
        <w:fldChar w:fldCharType="end"/>
      </w:r>
      <w:r w:rsidRPr="000B4213">
        <w:t xml:space="preserve">). Three dimensional plots were constructed of the translated log-transformed values as a function of day since application and distance from the center of the core using the R package car </w:t>
      </w:r>
      <w:r w:rsidRPr="000B4213">
        <w:fldChar w:fldCharType="begin"/>
      </w:r>
      <w:r w:rsidR="00AC0205">
        <w:instrText xml:space="preserve"> ADDIN ZOTERO_ITEM CSL_CITATION {"citationID":"t4p9PZPB","properties":{"formattedCitation":"(J. Fox &amp; Weisberg, 2019)","plainCitation":"(J. Fox &amp; Weisberg, 2019)","noteIndex":0},"citationItems":[{"id":10216,"uris":["http://zotero.org/users/2189142/items/8LXIG243"],"itemData":{"id":10216,"type":"book","edition":"Third","event-place":"Thousand Oaks CA","publisher":"Sage","publisher-place":"Thousand Oaks CA","title":"An R Companion to Applied Regression","URL":"https://socialsciences.mcmaster.ca/jfox/Books/Companion/","author":[{"family":"Fox","given":"John"},{"family":"Weisberg","given":"Sanford"}],"issued":{"date-parts":[["2019"]]},"citation-key":"fox_2019"}}],"schema":"https://github.com/citation-style-language/schema/raw/master/csl-citation.json"} </w:instrText>
      </w:r>
      <w:r w:rsidRPr="000B4213">
        <w:fldChar w:fldCharType="separate"/>
      </w:r>
      <w:r w:rsidR="0042141C" w:rsidRPr="000B4213">
        <w:t>(J. Fox &amp; Weisberg, 2019)</w:t>
      </w:r>
      <w:r w:rsidRPr="000B4213">
        <w:fldChar w:fldCharType="end"/>
      </w:r>
      <w:r w:rsidRPr="000B4213">
        <w:t>; loess smoother curves were fit according to the ‘smooth’ function using package defaults (</w:t>
      </w:r>
      <w:r w:rsidRPr="000B4213">
        <w:fldChar w:fldCharType="begin"/>
      </w:r>
      <w:r w:rsidRPr="000B4213">
        <w:instrText xml:space="preserve"> REF _Ref74668423 \h  \* MERGEFORMAT </w:instrText>
      </w:r>
      <w:r w:rsidRPr="000B4213">
        <w:fldChar w:fldCharType="separate"/>
      </w:r>
      <w:r w:rsidR="000667DB" w:rsidRPr="009867C1">
        <w:t xml:space="preserve">Figure </w:t>
      </w:r>
      <w:r w:rsidR="000667DB">
        <w:t>6</w:t>
      </w:r>
      <w:r w:rsidR="000667DB">
        <w:noBreakHyphen/>
        <w:t>4</w:t>
      </w:r>
      <w:r w:rsidRPr="000B4213">
        <w:fldChar w:fldCharType="end"/>
      </w:r>
      <w:r w:rsidRPr="000B4213">
        <w:t xml:space="preserve">). As a first approximation three linear models were fit to the data: a linear model using the equation </w:t>
      </w:r>
      <m:oMath>
        <m:func>
          <m:funcPr>
            <m:ctrlPr>
              <w:rPr>
                <w:rFonts w:ascii="Cambria Math" w:hAnsi="Cambria Math"/>
              </w:rPr>
            </m:ctrlPr>
          </m:funcPr>
          <m:fName>
            <m:r>
              <w:rPr>
                <w:rFonts w:ascii="Cambria Math" w:hAnsi="Cambria Math"/>
              </w:rPr>
              <m:t>log</m:t>
            </m:r>
          </m:fName>
          <m:e>
            <m:r>
              <w:rPr>
                <w:rFonts w:ascii="Cambria Math" w:hAnsi="Cambria Math"/>
              </w:rPr>
              <m:t>δ15N</m:t>
            </m:r>
          </m:e>
        </m:func>
        <m:r>
          <w:rPr>
            <w:rFonts w:ascii="Cambria Math" w:hAnsi="Cambria Math"/>
          </w:rPr>
          <m:t>~day*distance*treatment</m:t>
        </m:r>
      </m:oMath>
      <w:r w:rsidRPr="000B4213">
        <w:t>, a linear mixed effect model using plant as a random effect, and a generalized linear model using the Gamma family function. Although AIC comparisons indicated best fit with the generalized linear model, we present the linear model fit below due to ease of interpretation and because our main interest was the direction, rather than the size, of effects (</w:t>
      </w:r>
      <w:r w:rsidRPr="000B4213">
        <w:fldChar w:fldCharType="begin"/>
      </w:r>
      <w:r w:rsidRPr="000B4213">
        <w:instrText xml:space="preserve"> REF _Ref74682660 \h </w:instrText>
      </w:r>
      <w:r w:rsidR="009867C1" w:rsidRPr="000B4213">
        <w:instrText xml:space="preserve"> \* MERGEFORMAT </w:instrText>
      </w:r>
      <w:r w:rsidRPr="000B4213">
        <w:fldChar w:fldCharType="separate"/>
      </w:r>
      <w:r w:rsidR="000667DB" w:rsidRPr="009867C1">
        <w:t xml:space="preserve">Table </w:t>
      </w:r>
      <w:r w:rsidR="000667DB">
        <w:t>6</w:t>
      </w:r>
      <w:r w:rsidR="000667DB">
        <w:noBreakHyphen/>
        <w:t>1</w:t>
      </w:r>
      <w:r w:rsidRPr="000B4213">
        <w:fldChar w:fldCharType="end"/>
      </w:r>
      <w:r w:rsidRPr="000B4213">
        <w:t xml:space="preserve">). To capture nonlinearity in the data, a Michaelis-Menten function was fit to the time series data of only the closest plant to the plot center in each plot, using the R function </w:t>
      </w:r>
      <w:r w:rsidRPr="00EB68EF">
        <w:rPr>
          <w:i/>
          <w:iCs/>
        </w:rPr>
        <w:t>nls</w:t>
      </w:r>
      <w:r w:rsidRPr="000B4213">
        <w:t xml:space="preserve"> with additional self-starting functions from </w:t>
      </w:r>
      <w:r w:rsidRPr="00EB68EF">
        <w:rPr>
          <w:i/>
          <w:iCs/>
        </w:rPr>
        <w:t>nlraa</w:t>
      </w:r>
      <w:r w:rsidRPr="000B4213">
        <w:t xml:space="preserve"> </w:t>
      </w:r>
      <w:r w:rsidRPr="000B4213">
        <w:fldChar w:fldCharType="begin"/>
      </w:r>
      <w:r w:rsidR="00AC0205">
        <w:instrText xml:space="preserve"> ADDIN ZOTERO_ITEM CSL_CITATION {"citationID":"oIARRu7U","properties":{"formattedCitation":"(Miguez, 2021)","plainCitation":"(Miguez, 2021)","noteIndex":0},"citationItems":[{"id":10217,"uris":["http://zotero.org/users/2189142/items/2YFJCICP"],"itemData":{"id":10217,"type":"book","title":"nlraa: Nonlinear Regression for Agricultural Applications","URL":"https://CRAN.R-project.org/package=nlraa","author":[{"family":"Miguez","given":"Fernando"}],"issued":{"date-parts":[["2021"]]},"citation-key":"miguez_2021"}}],"schema":"https://github.com/citation-style-language/schema/raw/master/csl-citation.json"} </w:instrText>
      </w:r>
      <w:r w:rsidRPr="000B4213">
        <w:fldChar w:fldCharType="separate"/>
      </w:r>
      <w:r w:rsidR="0042141C" w:rsidRPr="000B4213">
        <w:t>(Miguez, 2021)</w:t>
      </w:r>
      <w:r w:rsidRPr="000B4213">
        <w:fldChar w:fldCharType="end"/>
      </w:r>
      <w:r w:rsidRPr="000B4213">
        <w:t>. This function estimates two parameters: Vmax, which estimates the δ15N value at the asymptote of the function, and KM, which estimates the day at which uptake reached half of Vmax.</w:t>
      </w:r>
      <w:r w:rsidRPr="009867C1">
        <w:rPr>
          <w:rFonts w:eastAsiaTheme="minorEastAsia"/>
          <w:color w:val="222222"/>
          <w:sz w:val="20"/>
          <w:szCs w:val="20"/>
          <w:shd w:val="clear" w:color="auto" w:fill="FFFFFF"/>
        </w:rPr>
        <w:t xml:space="preserve"> </w:t>
      </w:r>
      <w:r w:rsidRPr="009867C1">
        <w:rPr>
          <w:color w:val="222222"/>
          <w:sz w:val="20"/>
          <w:szCs w:val="20"/>
          <w:shd w:val="clear" w:color="auto" w:fill="FFFFFF"/>
        </w:rPr>
        <w:t xml:space="preserve">  </w:t>
      </w:r>
      <w:r w:rsidRPr="009867C1">
        <w:t xml:space="preserve"> </w:t>
      </w:r>
    </w:p>
    <w:p w14:paraId="029002D2" w14:textId="77777777" w:rsidR="00086155" w:rsidRPr="009867C1" w:rsidRDefault="00086155" w:rsidP="00086155"/>
    <w:p w14:paraId="69C8DBF2" w14:textId="77777777" w:rsidR="00086155" w:rsidRPr="009867C1" w:rsidRDefault="00086155" w:rsidP="00086155">
      <w:pPr>
        <w:pStyle w:val="Heading3"/>
        <w:rPr>
          <w:lang w:val="en-CA"/>
        </w:rPr>
      </w:pPr>
      <w:bookmarkStart w:id="260" w:name="_Toc99385500"/>
      <w:r w:rsidRPr="009867C1">
        <w:rPr>
          <w:lang w:val="en-CA"/>
        </w:rPr>
        <w:t>Results</w:t>
      </w:r>
      <w:bookmarkEnd w:id="260"/>
    </w:p>
    <w:p w14:paraId="59AAD2D1" w14:textId="77777777" w:rsidR="00086155" w:rsidRPr="009867C1" w:rsidRDefault="00086155" w:rsidP="00086155">
      <w:pPr>
        <w:pStyle w:val="Heading4"/>
      </w:pPr>
      <w:bookmarkStart w:id="261" w:name="_Toc99385501"/>
      <w:r w:rsidRPr="009867C1">
        <w:t>Rate and distance of uptake</w:t>
      </w:r>
      <w:bookmarkEnd w:id="261"/>
    </w:p>
    <w:p w14:paraId="09668F18" w14:textId="34452CF5" w:rsidR="00086155" w:rsidRPr="009867C1" w:rsidRDefault="00086155" w:rsidP="00086155">
      <w:pPr>
        <w:ind w:firstLine="720"/>
      </w:pPr>
      <w:r w:rsidRPr="009867C1">
        <w:t xml:space="preserve">Appreciable amounts of </w:t>
      </w:r>
      <w:r w:rsidR="005809A4" w:rsidRPr="005809A4">
        <w:rPr>
          <w:vertAlign w:val="superscript"/>
        </w:rPr>
        <w:t>15</w:t>
      </w:r>
      <w:r w:rsidR="005809A4">
        <w:t xml:space="preserve">N </w:t>
      </w:r>
      <w:r w:rsidRPr="009867C1">
        <w:t xml:space="preserve">labelled </w:t>
      </w:r>
      <w:r w:rsidR="00110AAE">
        <w:t>nitrogen</w:t>
      </w:r>
      <w:r w:rsidRPr="009867C1">
        <w:t xml:space="preserve"> w</w:t>
      </w:r>
      <w:r w:rsidR="00110AAE">
        <w:t>as</w:t>
      </w:r>
      <w:r w:rsidRPr="009867C1">
        <w:t xml:space="preserve"> taken up by day 4 by the closest plant in both the </w:t>
      </w:r>
      <w:r w:rsidRPr="009867C1">
        <w:rPr>
          <w:vertAlign w:val="superscript"/>
        </w:rPr>
        <w:t>15</w:t>
      </w:r>
      <w:r w:rsidRPr="009867C1">
        <w:t xml:space="preserve">N and the </w:t>
      </w:r>
      <w:r w:rsidRPr="009867C1">
        <w:rPr>
          <w:vertAlign w:val="superscript"/>
        </w:rPr>
        <w:t>15</w:t>
      </w:r>
      <w:r w:rsidRPr="009867C1">
        <w:t>N + fungicide treatments (</w:t>
      </w:r>
      <w:r w:rsidRPr="009867C1">
        <w:fldChar w:fldCharType="begin"/>
      </w:r>
      <w:r w:rsidRPr="009867C1">
        <w:instrText xml:space="preserve"> REF _Ref74668025 \h </w:instrText>
      </w:r>
      <w:r w:rsidR="009867C1">
        <w:instrText xml:space="preserve"> \* MERGEFORMAT </w:instrText>
      </w:r>
      <w:r w:rsidRPr="009867C1">
        <w:fldChar w:fldCharType="separate"/>
      </w:r>
      <w:r w:rsidR="000667DB" w:rsidRPr="009867C1">
        <w:t xml:space="preserve">Figure </w:t>
      </w:r>
      <w:r w:rsidR="000667DB">
        <w:rPr>
          <w:noProof/>
        </w:rPr>
        <w:t>6</w:t>
      </w:r>
      <w:r w:rsidR="000667DB">
        <w:rPr>
          <w:noProof/>
        </w:rPr>
        <w:noBreakHyphen/>
        <w:t>1</w:t>
      </w:r>
      <w:r w:rsidRPr="009867C1">
        <w:fldChar w:fldCharType="end"/>
      </w:r>
      <w:r w:rsidRPr="009867C1">
        <w:t>). Among these plants, uptake levelled off at approximately day 12 for the δ</w:t>
      </w:r>
      <w:r w:rsidRPr="009867C1">
        <w:rPr>
          <w:vertAlign w:val="superscript"/>
        </w:rPr>
        <w:t>15</w:t>
      </w:r>
      <w:r w:rsidRPr="009867C1">
        <w:t xml:space="preserve">N treatment, and at approximately day 27 for the </w:t>
      </w:r>
      <w:r w:rsidRPr="009867C1">
        <w:rPr>
          <w:vertAlign w:val="superscript"/>
        </w:rPr>
        <w:t>15</w:t>
      </w:r>
      <w:r w:rsidRPr="009867C1">
        <w:t xml:space="preserve">N + fungicide treatment. </w:t>
      </w:r>
    </w:p>
    <w:p w14:paraId="3E8C462A" w14:textId="046378A9" w:rsidR="00086155" w:rsidRPr="009867C1" w:rsidRDefault="00086155" w:rsidP="00086155">
      <w:pPr>
        <w:ind w:firstLine="720"/>
      </w:pPr>
      <w:r w:rsidRPr="009867C1">
        <w:t xml:space="preserve">Relative to plants further away, the closest plant took up roughly an order of magnitude more labelled nitrogen than more distant plants by the end of the experiment (thousands </w:t>
      </w:r>
      <w:r w:rsidRPr="009867C1">
        <w:rPr>
          <w:color w:val="222222"/>
          <w:sz w:val="20"/>
          <w:szCs w:val="20"/>
          <w:shd w:val="clear" w:color="auto" w:fill="FFFFFF"/>
        </w:rPr>
        <w:t>‰</w:t>
      </w:r>
      <w:r w:rsidR="00EB68EF">
        <w:rPr>
          <w:color w:val="222222"/>
          <w:sz w:val="20"/>
          <w:szCs w:val="20"/>
          <w:shd w:val="clear" w:color="auto" w:fill="FFFFFF"/>
        </w:rPr>
        <w:t xml:space="preserve"> </w:t>
      </w:r>
      <w:r w:rsidRPr="009867C1">
        <w:t>δ</w:t>
      </w:r>
      <w:r w:rsidRPr="009867C1">
        <w:rPr>
          <w:vertAlign w:val="superscript"/>
        </w:rPr>
        <w:t>15</w:t>
      </w:r>
      <w:r w:rsidRPr="009867C1">
        <w:t>N relative to hundreds), with uptake curves</w:t>
      </w:r>
      <w:r w:rsidR="000B4213">
        <w:t xml:space="preserve"> decreasing</w:t>
      </w:r>
      <w:r w:rsidRPr="009867C1">
        <w:t xml:space="preserve"> roughly exponentially with distance (</w:t>
      </w:r>
      <w:r w:rsidRPr="009867C1">
        <w:fldChar w:fldCharType="begin"/>
      </w:r>
      <w:r w:rsidRPr="009867C1">
        <w:instrText xml:space="preserve"> REF _Ref74668423 \h </w:instrText>
      </w:r>
      <w:r w:rsidR="009867C1">
        <w:instrText xml:space="preserve"> \* MERGEFORMAT </w:instrText>
      </w:r>
      <w:r w:rsidRPr="009867C1">
        <w:fldChar w:fldCharType="separate"/>
      </w:r>
      <w:r w:rsidR="000667DB" w:rsidRPr="009867C1">
        <w:t xml:space="preserve">Figure </w:t>
      </w:r>
      <w:r w:rsidR="000667DB">
        <w:rPr>
          <w:noProof/>
        </w:rPr>
        <w:t>6</w:t>
      </w:r>
      <w:r w:rsidR="000667DB">
        <w:rPr>
          <w:noProof/>
        </w:rPr>
        <w:noBreakHyphen/>
        <w:t>4</w:t>
      </w:r>
      <w:r w:rsidRPr="009867C1">
        <w:fldChar w:fldCharType="end"/>
      </w:r>
      <w:r w:rsidRPr="009867C1">
        <w:t>). Similar uptake was seen irrespective of plant species.</w:t>
      </w:r>
    </w:p>
    <w:p w14:paraId="266C86CF" w14:textId="003ADA4C" w:rsidR="00086155" w:rsidRPr="009867C1" w:rsidRDefault="00086155" w:rsidP="00086155">
      <w:pPr>
        <w:ind w:firstLine="720"/>
      </w:pPr>
      <w:r w:rsidRPr="009867C1">
        <w:t xml:space="preserve">The main effects of </w:t>
      </w:r>
      <w:r w:rsidR="009010C8">
        <w:t>the</w:t>
      </w:r>
      <w:r w:rsidRPr="009867C1">
        <w:t xml:space="preserve"> linear modelling showed significant positive correlation with time and a negative correlation with distance (</w:t>
      </w:r>
      <w:r w:rsidRPr="009867C1">
        <w:fldChar w:fldCharType="begin"/>
      </w:r>
      <w:r w:rsidRPr="009867C1">
        <w:instrText xml:space="preserve"> REF _Ref74682660 \h </w:instrText>
      </w:r>
      <w:r w:rsidR="009867C1">
        <w:instrText xml:space="preserve"> \* MERGEFORMAT </w:instrText>
      </w:r>
      <w:r w:rsidRPr="009867C1">
        <w:fldChar w:fldCharType="separate"/>
      </w:r>
      <w:r w:rsidR="000667DB" w:rsidRPr="009867C1">
        <w:t xml:space="preserve">Table </w:t>
      </w:r>
      <w:r w:rsidR="000667DB">
        <w:rPr>
          <w:noProof/>
        </w:rPr>
        <w:t>6</w:t>
      </w:r>
      <w:r w:rsidR="000667DB">
        <w:rPr>
          <w:noProof/>
        </w:rPr>
        <w:noBreakHyphen/>
        <w:t>1</w:t>
      </w:r>
      <w:r w:rsidRPr="009867C1">
        <w:fldChar w:fldCharType="end"/>
      </w:r>
      <w:r w:rsidRPr="009867C1">
        <w:t xml:space="preserve">). Slopes for both the control and the fungicide treatments were significantly lower than the </w:t>
      </w:r>
      <w:r w:rsidRPr="009867C1">
        <w:rPr>
          <w:vertAlign w:val="superscript"/>
        </w:rPr>
        <w:t>15</w:t>
      </w:r>
      <w:r w:rsidRPr="009867C1">
        <w:t xml:space="preserve">N treatment. </w:t>
      </w:r>
      <w:r w:rsidR="009010C8">
        <w:t>I</w:t>
      </w:r>
      <w:r w:rsidRPr="009867C1">
        <w:t xml:space="preserve"> found multiple significant secondary and tertiary interaction effects. As we expected given the nonlinear nature of the data, model fit was generally poor.</w:t>
      </w:r>
    </w:p>
    <w:p w14:paraId="2C7C8CF7" w14:textId="0212EA4D" w:rsidR="00086155" w:rsidRPr="009867C1" w:rsidRDefault="00F72217" w:rsidP="000B4213">
      <w:pPr>
        <w:ind w:firstLine="720"/>
      </w:pPr>
      <w:r>
        <w:t xml:space="preserve">The fungicide treatment both reduced and delayed uptake. </w:t>
      </w:r>
      <w:r w:rsidR="000B4213">
        <w:t>N</w:t>
      </w:r>
      <w:r w:rsidR="00086155" w:rsidRPr="009867C1">
        <w:t>onlinear Michaelis-Menten parameterizations</w:t>
      </w:r>
      <w:r w:rsidR="005C4A32">
        <w:t xml:space="preserve"> including only</w:t>
      </w:r>
      <w:r w:rsidR="00086155" w:rsidRPr="009867C1">
        <w:t xml:space="preserve"> the </w:t>
      </w:r>
      <w:r w:rsidR="005C4A32">
        <w:t xml:space="preserve">plants </w:t>
      </w:r>
      <w:r w:rsidR="00086155" w:rsidRPr="009867C1">
        <w:t xml:space="preserve">closest </w:t>
      </w:r>
      <w:r w:rsidR="005C4A32">
        <w:t>to the centers of the plot</w:t>
      </w:r>
      <w:r w:rsidR="00086155" w:rsidRPr="009867C1">
        <w:t xml:space="preserve"> found highe</w:t>
      </w:r>
      <w:r w:rsidR="005C4A32">
        <w:t>r</w:t>
      </w:r>
      <w:r w:rsidR="00086155" w:rsidRPr="009867C1">
        <w:t xml:space="preserve"> V</w:t>
      </w:r>
      <w:r w:rsidR="00086155" w:rsidRPr="009867C1">
        <w:rPr>
          <w:vertAlign w:val="subscript"/>
        </w:rPr>
        <w:t>max</w:t>
      </w:r>
      <w:r w:rsidR="00086155" w:rsidRPr="009867C1">
        <w:t xml:space="preserve"> in the </w:t>
      </w:r>
      <w:r w:rsidR="00086155" w:rsidRPr="009867C1">
        <w:rPr>
          <w:vertAlign w:val="superscript"/>
        </w:rPr>
        <w:t>15</w:t>
      </w:r>
      <w:r w:rsidR="00086155" w:rsidRPr="009867C1">
        <w:t>N treatment</w:t>
      </w:r>
      <w:r w:rsidR="005C4A32">
        <w:t xml:space="preserve"> than t</w:t>
      </w:r>
      <w:r w:rsidR="00086155" w:rsidRPr="009867C1">
        <w:t xml:space="preserve">he </w:t>
      </w:r>
      <w:r w:rsidR="00086155" w:rsidRPr="009867C1">
        <w:rPr>
          <w:vertAlign w:val="superscript"/>
        </w:rPr>
        <w:t>15</w:t>
      </w:r>
      <w:r w:rsidR="00086155" w:rsidRPr="009867C1">
        <w:t>N + fungicide treatment (</w:t>
      </w:r>
      <w:r w:rsidR="00086155" w:rsidRPr="009867C1">
        <w:fldChar w:fldCharType="begin"/>
      </w:r>
      <w:r w:rsidR="00086155" w:rsidRPr="009867C1">
        <w:instrText xml:space="preserve"> REF _Ref74683805 \h </w:instrText>
      </w:r>
      <w:r w:rsidR="009867C1">
        <w:instrText xml:space="preserve"> \* MERGEFORMAT </w:instrText>
      </w:r>
      <w:r w:rsidR="00086155" w:rsidRPr="009867C1">
        <w:fldChar w:fldCharType="separate"/>
      </w:r>
      <w:r w:rsidR="000667DB" w:rsidRPr="009867C1">
        <w:t xml:space="preserve">Figure </w:t>
      </w:r>
      <w:r w:rsidR="000667DB">
        <w:rPr>
          <w:noProof/>
        </w:rPr>
        <w:t>6</w:t>
      </w:r>
      <w:r w:rsidR="000667DB">
        <w:rPr>
          <w:noProof/>
        </w:rPr>
        <w:noBreakHyphen/>
        <w:t>5</w:t>
      </w:r>
      <w:r w:rsidR="00086155" w:rsidRPr="009867C1">
        <w:fldChar w:fldCharType="end"/>
      </w:r>
      <w:r w:rsidR="00086155" w:rsidRPr="009867C1">
        <w:t xml:space="preserve">). </w:t>
      </w:r>
      <w:r w:rsidR="005C4A32">
        <w:t>Similarly, t</w:t>
      </w:r>
      <w:r w:rsidR="00086155" w:rsidRPr="009867C1">
        <w:t xml:space="preserve">he </w:t>
      </w:r>
      <w:r w:rsidR="00086155" w:rsidRPr="009867C1">
        <w:rPr>
          <w:vertAlign w:val="superscript"/>
        </w:rPr>
        <w:t>15</w:t>
      </w:r>
      <w:r w:rsidR="00086155" w:rsidRPr="009867C1">
        <w:t>N treatment reached its K</w:t>
      </w:r>
      <w:r w:rsidR="00086155" w:rsidRPr="009867C1">
        <w:rPr>
          <w:vertAlign w:val="subscript"/>
        </w:rPr>
        <w:t>M</w:t>
      </w:r>
      <w:r w:rsidR="00086155" w:rsidRPr="009867C1">
        <w:t xml:space="preserve"> soone</w:t>
      </w:r>
      <w:r w:rsidR="005C4A32">
        <w:t>r than the fungicide treatment</w:t>
      </w:r>
      <w:r w:rsidR="00086155" w:rsidRPr="009867C1">
        <w:t xml:space="preserve"> (~day 2</w:t>
      </w:r>
      <w:r w:rsidR="005C4A32">
        <w:t xml:space="preserve"> vs day 4</w:t>
      </w:r>
      <w:r w:rsidR="00086155" w:rsidRPr="009867C1">
        <w:t xml:space="preserve">). </w:t>
      </w:r>
    </w:p>
    <w:p w14:paraId="4138AA6F" w14:textId="77777777" w:rsidR="00086155" w:rsidRPr="009867C1" w:rsidRDefault="00086155" w:rsidP="00086155">
      <w:pPr>
        <w:ind w:firstLine="720"/>
      </w:pPr>
      <w:r w:rsidRPr="009867C1">
        <w:t xml:space="preserve">  </w:t>
      </w:r>
    </w:p>
    <w:p w14:paraId="35EF41D6" w14:textId="77777777" w:rsidR="00086155" w:rsidRPr="009867C1" w:rsidRDefault="00086155" w:rsidP="00086155">
      <w:pPr>
        <w:pStyle w:val="Heading3"/>
      </w:pPr>
      <w:bookmarkStart w:id="262" w:name="_Toc99385502"/>
      <w:r w:rsidRPr="009867C1">
        <w:t>Discussion</w:t>
      </w:r>
      <w:bookmarkEnd w:id="262"/>
    </w:p>
    <w:p w14:paraId="36BD7C98" w14:textId="4CD2F7E5" w:rsidR="00086155" w:rsidRPr="009867C1" w:rsidRDefault="000B4213" w:rsidP="00086155">
      <w:pPr>
        <w:ind w:firstLine="720"/>
      </w:pPr>
      <w:r>
        <w:t>S</w:t>
      </w:r>
      <w:r w:rsidR="00086155" w:rsidRPr="009867C1">
        <w:t xml:space="preserve">ignificant uptake of labelled </w:t>
      </w:r>
      <w:r w:rsidR="00086155" w:rsidRPr="009867C1">
        <w:rPr>
          <w:vertAlign w:val="superscript"/>
        </w:rPr>
        <w:t>15</w:t>
      </w:r>
      <w:r w:rsidR="00086155" w:rsidRPr="009867C1">
        <w:t>N</w:t>
      </w:r>
      <w:r>
        <w:t xml:space="preserve"> occurred in the plants</w:t>
      </w:r>
      <w:r w:rsidR="00086155" w:rsidRPr="009867C1">
        <w:t xml:space="preserve">, particularly </w:t>
      </w:r>
      <w:r>
        <w:t>those</w:t>
      </w:r>
      <w:r w:rsidR="00086155" w:rsidRPr="009867C1">
        <w:t xml:space="preserve"> closest to </w:t>
      </w:r>
      <w:r>
        <w:t xml:space="preserve">the </w:t>
      </w:r>
      <w:r w:rsidR="00086155" w:rsidRPr="009867C1">
        <w:t>addition</w:t>
      </w:r>
      <w:r w:rsidR="001D54D0">
        <w:t>s</w:t>
      </w:r>
      <w:r w:rsidR="00086155" w:rsidRPr="009867C1">
        <w:t xml:space="preserve">. </w:t>
      </w:r>
      <w:r w:rsidR="001D54D0">
        <w:t>F</w:t>
      </w:r>
      <w:r w:rsidR="00086155" w:rsidRPr="009867C1">
        <w:t xml:space="preserve">ungicide treatment interfered with </w:t>
      </w:r>
      <w:r w:rsidR="001D54D0">
        <w:t xml:space="preserve">this </w:t>
      </w:r>
      <w:r w:rsidR="00086155" w:rsidRPr="009867C1">
        <w:t>uptake</w:t>
      </w:r>
      <w:r w:rsidR="001D54D0">
        <w:t>, as fungicide treatments demonstrated both slower and lower uptake than treatments without fungicide</w:t>
      </w:r>
      <w:r w:rsidR="00086155" w:rsidRPr="009867C1">
        <w:t xml:space="preserve">. </w:t>
      </w:r>
      <w:r w:rsidR="001D54D0">
        <w:t>It should be noted that these results</w:t>
      </w:r>
      <w:r w:rsidR="00086155" w:rsidRPr="009867C1">
        <w:t xml:space="preserve"> </w:t>
      </w:r>
      <w:r>
        <w:t>occurred</w:t>
      </w:r>
      <w:r w:rsidR="00086155" w:rsidRPr="009867C1">
        <w:t xml:space="preserve"> despite </w:t>
      </w:r>
      <w:r>
        <w:t xml:space="preserve">having a </w:t>
      </w:r>
      <w:r w:rsidR="00086155" w:rsidRPr="009867C1">
        <w:t>large rainstorm bl</w:t>
      </w:r>
      <w:r>
        <w:t>ow</w:t>
      </w:r>
      <w:r w:rsidR="00086155" w:rsidRPr="009867C1">
        <w:t xml:space="preserve"> in</w:t>
      </w:r>
      <w:r>
        <w:t xml:space="preserve"> the day after application</w:t>
      </w:r>
      <w:r w:rsidR="00086155" w:rsidRPr="009867C1">
        <w:t xml:space="preserve">, which may have leached and/or displaced both </w:t>
      </w:r>
      <w:r w:rsidR="00086155" w:rsidRPr="009867C1">
        <w:rPr>
          <w:vertAlign w:val="superscript"/>
        </w:rPr>
        <w:t>15</w:t>
      </w:r>
      <w:r w:rsidR="00086155" w:rsidRPr="009867C1">
        <w:t xml:space="preserve">N signal and other added nutrients from the addition area. </w:t>
      </w:r>
      <w:r w:rsidR="001D54D0">
        <w:t>I</w:t>
      </w:r>
      <w:r w:rsidR="00086155" w:rsidRPr="009867C1">
        <w:t xml:space="preserve"> conclude that, in principle, this experiment is a good proof-of-concept that may be employed in future studies. </w:t>
      </w:r>
    </w:p>
    <w:p w14:paraId="1E61A27F" w14:textId="3BF5FEE7" w:rsidR="00086155" w:rsidRPr="009867C1" w:rsidRDefault="00086155" w:rsidP="00086155">
      <w:pPr>
        <w:ind w:firstLine="720"/>
      </w:pPr>
      <w:r w:rsidRPr="009867C1">
        <w:t xml:space="preserve">In a previous experiment, a similar isotope addition approach was used to trace nutrient additions in a large mature cedar </w:t>
      </w:r>
      <w:r w:rsidRPr="009867C1">
        <w:fldChar w:fldCharType="begin"/>
      </w:r>
      <w:r w:rsidR="00AC0205">
        <w:instrText xml:space="preserve"> ADDIN ZOTERO_ITEM CSL_CITATION {"citationID":"c5N4wyAz","properties":{"formattedCitation":"(Drake et al., 2006)","plainCitation":"(Drake et al., 2006)","noteIndex":0},"citationItems":[{"id":174,"uris":["http://zotero.org/users/2189142/items/Q77G9SAN"],"itemData":{"id":174,"type":"article-journal","abstract":"We introduced an 15N-NH4+ tracer to the riparian forest of a salmon-bearing stream (Kennedy Creek, Washington, USA) to quantify the cycling and fate of a late-season pulse of salmon N and, ultimately, mechanisms regulating potential links between salmon abundance and tree growth. The 15N tracer simulated deposition of 7.25 kg of salmon (fresh) to four 50-m2 plots. We added NH4+ (the initial product of salmon carcass decay) and other important nutrients provided by carcasses (P, S, K, Mg, Ca) to soils in late October 2003, coincident with local salmon spawning. We followed the 15N tracer through soil and tree pools for one year. Biological uptake of the 15N tracer occurred quickly: 64% of the 15N tracer was bound in soil microbiota within 14 days, and roots of the dominant riparian tree, western red cedar (Thuja plicata), began to take up 15N tracer within seven days. Root uptake continued through the winter. The 15N tracer content of soil organic matter reached a maximum of ̃52%, five weeks after the application, and a relative equilibrium of ̃40% within five months. Six months after the addition, in spring 2004, at least 37% of the 15N tracer was found in tree tissues: ̃23% in foliage, ̃11% in roots, and ̃3% in stems. Within the stems, xylem and phloem sap contained ̃96% of the tracer N, and ̃4% was in structural xylem N. After one year, at least 28% of the 15N tracer was still found in trees, and loss from the plots was only ̃20%. The large portion of tracer N taken up in the fall and reallocated to leaves and stems the following spring provides mechanistic evidence for a one-year-lagged tree-growth response to salmon nutrients. Salmon nutrients have been deposited in the Kennedy Creek system each fall for centuries, but the system shows no evidence of nutrient saturation. Rates of N uptake and retention are a function of site history and disturbance and also may be the result of a legacy effect, in which annual salmon nutrient addition may lead to increased efficiency of nutrient uptake and use.","container-title":"Ecology","DOI":"10.1890/0012-9658(2006)87[1256:FONIRF]2.0.CO;2","ISSN":"0012-9658","issue":"5","journalAbbreviation":"Ecology","page":"1256-1266","source":"esajournals.org (Atypon)","title":"Fate of nitrogen in riparian forest soils and trees: an 15n tracer study simulating salmon decay","title-short":"Fate of nitrogen in riparian forest soils and trees","volume":"87","author":[{"family":"Drake","given":"Deanne C."},{"family":"Naiman","given":"Robert J."},{"family":"Bechtold","given":"J. Scott"}],"issued":{"date-parts":[["2006",5,1]]},"citation-key":"drake_2006"}}],"schema":"https://github.com/citation-style-language/schema/raw/master/csl-citation.json"} </w:instrText>
      </w:r>
      <w:r w:rsidRPr="009867C1">
        <w:fldChar w:fldCharType="separate"/>
      </w:r>
      <w:r w:rsidR="0042141C" w:rsidRPr="009867C1">
        <w:t>(Drake et al., 2006)</w:t>
      </w:r>
      <w:r w:rsidRPr="009867C1">
        <w:fldChar w:fldCharType="end"/>
      </w:r>
      <w:r w:rsidRPr="009867C1">
        <w:t>. In large cedars, expression of the label in foliar tissues was found to take months, with most of the uptake inferred to take place over the winter. Here in riparian ericaceous shrubs</w:t>
      </w:r>
      <w:r w:rsidR="000B4213">
        <w:t>,</w:t>
      </w:r>
      <w:r w:rsidRPr="009867C1">
        <w:t xml:space="preserve"> uptake occurs </w:t>
      </w:r>
      <w:r w:rsidR="000B4213">
        <w:t>much faster</w:t>
      </w:r>
      <w:r w:rsidR="001D54D0">
        <w:t>, with signal showing in terminal leaves one to three days after application, even in late-summer when nutrient allocation to mature leaves is expected to be low</w:t>
      </w:r>
      <w:r w:rsidRPr="009867C1">
        <w:t xml:space="preserve">. </w:t>
      </w:r>
    </w:p>
    <w:p w14:paraId="22A39C5C" w14:textId="0B0D2094" w:rsidR="00086155" w:rsidRPr="009867C1" w:rsidRDefault="00086155" w:rsidP="00086155">
      <w:pPr>
        <w:ind w:firstLine="720"/>
      </w:pPr>
      <w:r w:rsidRPr="009867C1">
        <w:t xml:space="preserve">While high levels of uptake </w:t>
      </w:r>
      <w:r w:rsidR="00CD195B">
        <w:t xml:space="preserve">were observed </w:t>
      </w:r>
      <w:r w:rsidRPr="009867C1">
        <w:t>in the closest plant, uptake</w:t>
      </w:r>
      <w:r w:rsidR="000B4213">
        <w:t xml:space="preserve"> also occurred</w:t>
      </w:r>
      <w:r w:rsidRPr="009867C1">
        <w:t xml:space="preserve"> in plants further away in two of the four isotope addition plots (for example, plots 2 and 3, </w:t>
      </w:r>
      <w:r w:rsidRPr="009867C1">
        <w:fldChar w:fldCharType="begin"/>
      </w:r>
      <w:r w:rsidRPr="009867C1">
        <w:instrText xml:space="preserve"> REF _Ref74668041 \h </w:instrText>
      </w:r>
      <w:r w:rsidR="009867C1">
        <w:instrText xml:space="preserve"> \* MERGEFORMAT </w:instrText>
      </w:r>
      <w:r w:rsidRPr="009867C1">
        <w:fldChar w:fldCharType="separate"/>
      </w:r>
      <w:r w:rsidR="000667DB" w:rsidRPr="009867C1">
        <w:t xml:space="preserve">Figure </w:t>
      </w:r>
      <w:r w:rsidR="000667DB">
        <w:rPr>
          <w:noProof/>
        </w:rPr>
        <w:t>6</w:t>
      </w:r>
      <w:r w:rsidR="000667DB">
        <w:rPr>
          <w:noProof/>
        </w:rPr>
        <w:noBreakHyphen/>
        <w:t>2</w:t>
      </w:r>
      <w:r w:rsidRPr="009867C1">
        <w:fldChar w:fldCharType="end"/>
      </w:r>
      <w:r w:rsidRPr="009867C1">
        <w:t xml:space="preserve">). </w:t>
      </w:r>
      <w:r w:rsidR="000B4213">
        <w:t>There was</w:t>
      </w:r>
      <w:r w:rsidRPr="009867C1">
        <w:t xml:space="preserve"> some evidence that this uptake was directional, </w:t>
      </w:r>
      <w:r w:rsidR="000B4213">
        <w:t>with plants</w:t>
      </w:r>
      <w:r w:rsidRPr="009867C1">
        <w:t xml:space="preserve"> </w:t>
      </w:r>
      <w:r w:rsidR="000B4213">
        <w:t xml:space="preserve">that acquired </w:t>
      </w:r>
      <w:r w:rsidR="000B4213" w:rsidRPr="000B4213">
        <w:rPr>
          <w:vertAlign w:val="superscript"/>
        </w:rPr>
        <w:t>15</w:t>
      </w:r>
      <w:r w:rsidR="000B4213">
        <w:t>N tend</w:t>
      </w:r>
      <w:r w:rsidR="00CD195B">
        <w:t>ing</w:t>
      </w:r>
      <w:r w:rsidR="000B4213">
        <w:t xml:space="preserve"> </w:t>
      </w:r>
      <w:r w:rsidRPr="009867C1">
        <w:t xml:space="preserve">to be in the same cardinal direction in each plot. </w:t>
      </w:r>
    </w:p>
    <w:p w14:paraId="79B22E11" w14:textId="286F0C63" w:rsidR="00086155" w:rsidRPr="009867C1" w:rsidRDefault="00442168" w:rsidP="00086155">
      <w:pPr>
        <w:ind w:firstLine="720"/>
      </w:pPr>
      <w:r w:rsidRPr="009867C1">
        <w:t xml:space="preserve">To </w:t>
      </w:r>
      <w:r w:rsidR="006A36F0">
        <w:t>my</w:t>
      </w:r>
      <w:r w:rsidRPr="009867C1">
        <w:t xml:space="preserve"> knowledge this is the first time that inhibition of nutrient uptake</w:t>
      </w:r>
      <w:r w:rsidR="006A36F0">
        <w:t xml:space="preserve"> in plants</w:t>
      </w:r>
      <w:r w:rsidRPr="009867C1">
        <w:t xml:space="preserve"> has been shown to be associated with chlorothalonil application. </w:t>
      </w:r>
      <w:r w:rsidR="00086155" w:rsidRPr="009867C1">
        <w:t xml:space="preserve">The mechanism of action of chlorothalonil is to inhibit fungal cell thiols, also known as mercaptans. They are the functional group in the amino acid cysteine and important in a number of enzymatic cofactors. In general, fungicides are applied as foliar sprays rather than a ‘soil drench’ application as used here. </w:t>
      </w:r>
      <w:r w:rsidR="006A36F0">
        <w:t>E</w:t>
      </w:r>
      <w:r w:rsidR="00086155" w:rsidRPr="009867C1">
        <w:t xml:space="preserve">cological studies using chlorothalonil generally look at inhibitory effects on fungi in greenhouse or laboratory settings </w:t>
      </w:r>
      <w:r w:rsidR="00086155" w:rsidRPr="009867C1">
        <w:fldChar w:fldCharType="begin"/>
      </w:r>
      <w:r w:rsidR="00AC0205">
        <w:instrText xml:space="preserve"> ADDIN ZOTERO_ITEM CSL_CITATION {"citationID":"Y20Bwe9x","properties":{"formattedCitation":"(Teste et al., 2006)","plainCitation":"(Teste et al., 2006)","noteIndex":0},"citationItems":[{"id":1358,"uris":["http://zotero.org/users/2189142/items/5JKS8RD5"],"itemData":{"id":1358,"type":"article-journal","abstract":"We conducted greenhouse experiments using Douglas-fir (Pseudotsuga menziesii var. glauca) seedlings where chemical methods (fungicides) were used to prevent ectomycorrhizal colonization of single seed","container-title":"Mycorrhiza","DOI":"10.1007/s00572-006-0083-4","ISSN":"0940-6360, 1432-1890","issue":"1","journalAbbreviation":"Mycorrhiza","language":"en","page":"51-65","source":"link-springer-com.ezproxy.library.ubc.ca","title":"Methods to control ectomycorrhizal colonization: effectiveness of chemical and physical barriers","title-short":"Methods to control ectomycorrhizal colonization","volume":"17","author":[{"family":"Teste","given":"François P."},{"family":"Karst","given":"Justine"},{"family":"Jones","given":"Melanie D."},{"family":"Simard","given":"Suzanne W."},{"family":"Durall","given":"Daniel M."}],"issued":{"date-parts":[["2006",12,1]]},"citation-key":"teste_2006"}}],"schema":"https://github.com/citation-style-language/schema/raw/master/csl-citation.json"} </w:instrText>
      </w:r>
      <w:r w:rsidR="00086155" w:rsidRPr="009867C1">
        <w:fldChar w:fldCharType="separate"/>
      </w:r>
      <w:r w:rsidR="0042141C" w:rsidRPr="009867C1">
        <w:t>(Teste et al., 2006)</w:t>
      </w:r>
      <w:r w:rsidR="00086155" w:rsidRPr="009867C1">
        <w:fldChar w:fldCharType="end"/>
      </w:r>
      <w:r w:rsidR="00086155" w:rsidRPr="009867C1">
        <w:t xml:space="preserve"> and few have been conducted under field conditions. In one field study, molecular techniques were used to measure the community effects of chlorothalonil application on three soil treatments: turfgrass, forest soil, and agricultural soil </w:t>
      </w:r>
      <w:r w:rsidR="00086155" w:rsidRPr="009867C1">
        <w:fldChar w:fldCharType="begin"/>
      </w:r>
      <w:r w:rsidR="00AC0205">
        <w:instrText xml:space="preserve"> ADDIN ZOTERO_ITEM CSL_CITATION {"citationID":"avsitud85l","properties":{"formattedCitation":"(Sigler &amp; Turco, 2002)","plainCitation":"(Sigler &amp; Turco, 2002)","noteIndex":0},"citationItems":[{"id":1468,"uris":["http://zotero.org/users/2189142/items/5EUNI3SQ"],"itemData":{"id":1468,"type":"article-journal","abstract":"The impact of the fungicide chlorothalonil on dominant bacterial and fungal populations following application to turfgrass, forest, and agricultural soils was investigated. Chlorothalonil was applied to each soil at three rates, representing 0.2, 1 and 5 times the recommended label rate for turfgrass, and incubated for a 2-week period. Changes to the microbial community caused by the chlorothalonil application were assessed following DNA extraction, PCR-amplification using both bacteria domain- and fungal-specific primers, then separation with denaturing gradient gel electrophoresis (DGGE). Digitized DGGE images were used to determine two parameters: the number of bands per lane and the Shannon–Wiener index of diversity (H′), both of which were used only for comparison of the different treatments, and not as true diversity measurements. Bands appearing to be either enhanced or inhibited as a result of the chlorothalonil treatment were excised and sequenced. Increased rates of chlorothalonil impacted eight bacterial populations (two inhibitions, four enhancements, and two non-specific responses) and four fungal populations (all inhibitions). Band number and H′ indicated an altered but not significantly different (P&lt;0.05) bacterial and fungal community structure following chlorothalonil application. Sequencing of excised DGGE bands indicated an impact on several groups of bacteria (Cytophaga–Flavobacterium–Bacteroides, α-, β-, γ-, and δ-proteobacteria) and two fungal taxa (zygomycota and ascomycota). Although changes to the overall community structure of dominant species were non-significant, we conclude that following a single chlorothalonil application and a short incubation period, community changes including both enhancement and inhibition of a variety of dominant organisms can occur.","container-title":"Applied Soil Ecology","DOI":"10.1016/S0929-1393(02)00088-4","ISSN":"0929-1393","issue":"2","journalAbbreviation":"Applied Soil Ecology","page":"107-118","source":"ScienceDirect","title":"The impact of chlorothalonil application on soil bacterial and fungal populations as assessed by denaturing gradient gel electrophoresis","volume":"21","author":[{"family":"Sigler","given":"William V"},{"family":"Turco","given":"Ronald F"}],"issued":{"date-parts":[["2002",9,1]]},"citation-key":"sigler_2002"}}],"schema":"https://github.com/citation-style-language/schema/raw/master/csl-citation.json"} </w:instrText>
      </w:r>
      <w:r w:rsidR="00086155" w:rsidRPr="009867C1">
        <w:fldChar w:fldCharType="separate"/>
      </w:r>
      <w:r w:rsidR="0042141C" w:rsidRPr="009867C1">
        <w:t>(Sigler &amp; Turco, 2002)</w:t>
      </w:r>
      <w:r w:rsidR="00086155" w:rsidRPr="009867C1">
        <w:fldChar w:fldCharType="end"/>
      </w:r>
      <w:r w:rsidR="00086155" w:rsidRPr="009867C1">
        <w:t xml:space="preserve">. These authors suggested that chlorothalonil inhibits new fungal growth, but leaves existing structures in place. This is in line with other work showing minimal impact on mycorrhizal structures </w:t>
      </w:r>
      <w:r w:rsidR="00086155" w:rsidRPr="009867C1">
        <w:fldChar w:fldCharType="begin"/>
      </w:r>
      <w:r w:rsidR="00AC0205">
        <w:instrText xml:space="preserve"> ADDIN ZOTERO_ITEM CSL_CITATION {"citationID":"NOQn69wh","properties":{"formattedCitation":"(Aleksandrowicz-Trzcinska, 2008; Teste et al., 2006)","plainCitation":"(Aleksandrowicz-Trzcinska, 2008; Teste et al., 2006)","noteIndex":0},"citationItems":[{"id":1465,"uris":["http://zotero.org/users/2189142/items/R7F6QPX6"],"itemData":{"id":1465,"type":"article-journal","container-title":"Leśne Prace Badawcze","issue":"1","page":"7–14","source":"Google Scholar","title":"Wzrost naturalnych odnowien sosny zwyczajnej i stan ich mikoryz po chemicznej ochronie przed osutka","volume":"69","author":[{"family":"Aleksandrowicz-Trzcinska","given":"M."}],"issued":{"date-parts":[["2008"]]},"citation-key":"aleksandrowicz-trzcinska_2008"}},{"id":1358,"uris":["http://zotero.org/users/2189142/items/5JKS8RD5"],"itemData":{"id":1358,"type":"article-journal","abstract":"We conducted greenhouse experiments using Douglas-fir (Pseudotsuga menziesii var. glauca) seedlings where chemical methods (fungicides) were used to prevent ectomycorrhizal colonization of single seed","container-title":"Mycorrhiza","DOI":"10.1007/s00572-006-0083-4","ISSN":"0940-6360, 1432-1890","issue":"1","journalAbbreviation":"Mycorrhiza","language":"en","page":"51-65","source":"link-springer-com.ezproxy.library.ubc.ca","title":"Methods to control ectomycorrhizal colonization: effectiveness of chemical and physical barriers","title-short":"Methods to control ectomycorrhizal colonization","volume":"17","author":[{"family":"Teste","given":"François P."},{"family":"Karst","given":"Justine"},{"family":"Jones","given":"Melanie D."},{"family":"Simard","given":"Suzanne W."},{"family":"Durall","given":"Daniel M."}],"issued":{"date-parts":[["2006",12,1]]},"citation-key":"teste_2006"}}],"schema":"https://github.com/citation-style-language/schema/raw/master/csl-citation.json"} </w:instrText>
      </w:r>
      <w:r w:rsidR="00086155" w:rsidRPr="009867C1">
        <w:fldChar w:fldCharType="separate"/>
      </w:r>
      <w:r w:rsidR="0042141C" w:rsidRPr="009867C1">
        <w:t>(Aleksandrowicz-Trzcinska, 2008; Teste et al., 2006)</w:t>
      </w:r>
      <w:r w:rsidR="00086155" w:rsidRPr="009867C1">
        <w:fldChar w:fldCharType="end"/>
      </w:r>
      <w:r w:rsidR="00086155" w:rsidRPr="009867C1">
        <w:t xml:space="preserve">. By day 40 the fungicide treatment had almost converged with the asymptote seen in the </w:t>
      </w:r>
      <w:r w:rsidR="00086155" w:rsidRPr="009867C1">
        <w:rPr>
          <w:vertAlign w:val="superscript"/>
        </w:rPr>
        <w:t>15</w:t>
      </w:r>
      <w:r w:rsidR="00086155" w:rsidRPr="009867C1">
        <w:t xml:space="preserve">N treatment, corresponding roughly to a 90% reduction in the active chemical. </w:t>
      </w:r>
    </w:p>
    <w:p w14:paraId="439E284E" w14:textId="5D0D3CD7" w:rsidR="00086155" w:rsidRPr="009867C1" w:rsidRDefault="00086155" w:rsidP="00086155">
      <w:pPr>
        <w:ind w:firstLine="720"/>
      </w:pPr>
      <w:r w:rsidRPr="009867C1">
        <w:t>In conclusion, this study showed uptake of labelled nitrogen over a period of days in riparian shrubs</w:t>
      </w:r>
      <w:r w:rsidR="00442168">
        <w:t xml:space="preserve">. Uptake </w:t>
      </w:r>
      <w:r w:rsidRPr="009867C1">
        <w:t>declined with distance,</w:t>
      </w:r>
      <w:r w:rsidR="00442168">
        <w:t xml:space="preserve"> was potentially directional,</w:t>
      </w:r>
      <w:r w:rsidRPr="009867C1">
        <w:t xml:space="preserve"> and this uptake </w:t>
      </w:r>
      <w:r w:rsidR="006A36F0">
        <w:t>was</w:t>
      </w:r>
      <w:r w:rsidRPr="009867C1">
        <w:t xml:space="preserve"> disrupted in the short-term through a soil-drench fungicide treatment. This study thus serves as an important preliminary study that can be used to control for fungal nitrogen uptake in other experimental settings.</w:t>
      </w:r>
    </w:p>
    <w:p w14:paraId="257D01FE" w14:textId="77777777" w:rsidR="00086155" w:rsidRPr="009867C1" w:rsidRDefault="00086155" w:rsidP="00086155"/>
    <w:p w14:paraId="47C235F4" w14:textId="77777777" w:rsidR="00086155" w:rsidRPr="009867C1" w:rsidRDefault="00086155" w:rsidP="00086155"/>
    <w:p w14:paraId="009CB2D4" w14:textId="77777777" w:rsidR="00086155" w:rsidRPr="009867C1" w:rsidRDefault="00086155" w:rsidP="00086155"/>
    <w:p w14:paraId="168512AF" w14:textId="77777777" w:rsidR="00086155" w:rsidRPr="009867C1" w:rsidRDefault="00086155" w:rsidP="00086155"/>
    <w:p w14:paraId="0A2A88BD" w14:textId="77777777" w:rsidR="00086155" w:rsidRPr="009867C1" w:rsidRDefault="00086155" w:rsidP="00086155">
      <w:pPr>
        <w:sectPr w:rsidR="00086155" w:rsidRPr="009867C1" w:rsidSect="00FD6419">
          <w:pgSz w:w="12240" w:h="15840"/>
          <w:pgMar w:top="1440" w:right="1440" w:bottom="1440" w:left="1440" w:header="708" w:footer="708" w:gutter="0"/>
          <w:cols w:space="708"/>
          <w:docGrid w:linePitch="360"/>
        </w:sectPr>
      </w:pPr>
    </w:p>
    <w:p w14:paraId="1CCC6C61" w14:textId="709CEC08" w:rsidR="00086155" w:rsidRPr="009867C1" w:rsidRDefault="00AA7BA2" w:rsidP="00086155">
      <w:pPr>
        <w:pStyle w:val="Heading3"/>
      </w:pPr>
      <w:bookmarkStart w:id="263" w:name="_Toc99385503"/>
      <w:r w:rsidRPr="009867C1">
        <w:t xml:space="preserve">Tables and </w:t>
      </w:r>
      <w:r w:rsidR="00086155" w:rsidRPr="009867C1">
        <w:t>Figures</w:t>
      </w:r>
      <w:bookmarkEnd w:id="263"/>
    </w:p>
    <w:p w14:paraId="6966796C" w14:textId="77777777" w:rsidR="00086155" w:rsidRPr="009867C1" w:rsidRDefault="00086155" w:rsidP="00086155">
      <w:pPr>
        <w:keepNext/>
      </w:pPr>
      <w:r w:rsidRPr="009867C1">
        <w:rPr>
          <w:noProof/>
        </w:rPr>
        <w:drawing>
          <wp:inline distT="0" distB="0" distL="0" distR="0" wp14:anchorId="716BB8B8" wp14:editId="4C9A64FA">
            <wp:extent cx="8229600" cy="41148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8229600" cy="4114800"/>
                    </a:xfrm>
                    <a:prstGeom prst="rect">
                      <a:avLst/>
                    </a:prstGeom>
                    <a:noFill/>
                    <a:ln>
                      <a:noFill/>
                    </a:ln>
                  </pic:spPr>
                </pic:pic>
              </a:graphicData>
            </a:graphic>
          </wp:inline>
        </w:drawing>
      </w:r>
    </w:p>
    <w:p w14:paraId="606B82E3" w14:textId="1CBE0B81" w:rsidR="00AA7BA2" w:rsidRPr="009867C1" w:rsidRDefault="00086155" w:rsidP="00086155">
      <w:pPr>
        <w:pStyle w:val="Caption"/>
        <w:rPr>
          <w:vanish/>
          <w:specVanish/>
        </w:rPr>
      </w:pPr>
      <w:bookmarkStart w:id="264" w:name="_Ref74668025"/>
      <w:bookmarkStart w:id="265" w:name="_Toc101783838"/>
      <w:bookmarkStart w:id="266" w:name="_Toc74923597"/>
      <w:r w:rsidRPr="009867C1">
        <w:t xml:space="preserve">Figure </w:t>
      </w:r>
      <w:r w:rsidR="008C26C1">
        <w:fldChar w:fldCharType="begin"/>
      </w:r>
      <w:r w:rsidR="008C26C1">
        <w:instrText xml:space="preserve"> STYLEREF 2 \s </w:instrText>
      </w:r>
      <w:r w:rsidR="008C26C1">
        <w:fldChar w:fldCharType="separate"/>
      </w:r>
      <w:r w:rsidR="000667DB">
        <w:rPr>
          <w:noProof/>
        </w:rPr>
        <w:t>6</w:t>
      </w:r>
      <w:r w:rsidR="008C26C1">
        <w:fldChar w:fldCharType="end"/>
      </w:r>
      <w:r w:rsidR="008C26C1">
        <w:noBreakHyphen/>
      </w:r>
      <w:r w:rsidR="008C26C1">
        <w:fldChar w:fldCharType="begin"/>
      </w:r>
      <w:r w:rsidR="008C26C1">
        <w:instrText xml:space="preserve"> SEQ Figure \* ARABIC \s 2 </w:instrText>
      </w:r>
      <w:r w:rsidR="008C26C1">
        <w:fldChar w:fldCharType="separate"/>
      </w:r>
      <w:r w:rsidR="000667DB">
        <w:rPr>
          <w:noProof/>
        </w:rPr>
        <w:t>1</w:t>
      </w:r>
      <w:r w:rsidR="008C26C1">
        <w:fldChar w:fldCharType="end"/>
      </w:r>
      <w:bookmarkEnd w:id="264"/>
      <w:r w:rsidRPr="009867C1">
        <w:t>: Time series of δ</w:t>
      </w:r>
      <w:r w:rsidRPr="009867C1">
        <w:rPr>
          <w:vertAlign w:val="superscript"/>
        </w:rPr>
        <w:t>15</w:t>
      </w:r>
      <w:r w:rsidRPr="009867C1">
        <w:t>N values per plant</w:t>
      </w:r>
      <w:bookmarkEnd w:id="265"/>
    </w:p>
    <w:p w14:paraId="1B4D24ED" w14:textId="58E750CD" w:rsidR="00086155" w:rsidRPr="009867C1" w:rsidRDefault="00086155" w:rsidP="00086155">
      <w:pPr>
        <w:pStyle w:val="Caption"/>
      </w:pPr>
      <w:r w:rsidRPr="009867C1">
        <w:t xml:space="preserve"> (each facet) in each of the three treatments (control, </w:t>
      </w:r>
      <w:r w:rsidRPr="009867C1">
        <w:rPr>
          <w:vertAlign w:val="superscript"/>
        </w:rPr>
        <w:t>15</w:t>
      </w:r>
      <w:r w:rsidRPr="009867C1">
        <w:t xml:space="preserve">N, and </w:t>
      </w:r>
      <w:r w:rsidRPr="009867C1">
        <w:rPr>
          <w:vertAlign w:val="superscript"/>
        </w:rPr>
        <w:t>15</w:t>
      </w:r>
      <w:r w:rsidRPr="009867C1">
        <w:t xml:space="preserve">N + fungicide; columns). For each plant, the distance from the center the plot, the plant species, and bearing are indicated in the title bar of each facet (H = hemlock seedling, RS = </w:t>
      </w:r>
      <w:r w:rsidRPr="009867C1">
        <w:rPr>
          <w:i/>
          <w:iCs/>
        </w:rPr>
        <w:t>Rubus spectabilis</w:t>
      </w:r>
      <w:r w:rsidRPr="009867C1">
        <w:t xml:space="preserve">, FA = False Azalea, VP = </w:t>
      </w:r>
      <w:r w:rsidRPr="009867C1">
        <w:rPr>
          <w:i/>
          <w:iCs/>
        </w:rPr>
        <w:t>Vaccinium parviflorum</w:t>
      </w:r>
      <w:r w:rsidRPr="009867C1">
        <w:t xml:space="preserve">, VO = </w:t>
      </w:r>
      <w:r w:rsidRPr="009867C1">
        <w:rPr>
          <w:i/>
          <w:iCs/>
        </w:rPr>
        <w:t>Vaccinium ovalifolium</w:t>
      </w:r>
      <w:r w:rsidRPr="009867C1">
        <w:t>).</w:t>
      </w:r>
      <w:bookmarkEnd w:id="266"/>
      <w:r w:rsidRPr="009867C1">
        <w:t xml:space="preserve">  </w:t>
      </w:r>
    </w:p>
    <w:p w14:paraId="798E5D7A" w14:textId="77777777" w:rsidR="00086155" w:rsidRPr="009867C1" w:rsidRDefault="00086155" w:rsidP="00086155">
      <w:pPr>
        <w:rPr>
          <w:noProof/>
        </w:rPr>
      </w:pPr>
    </w:p>
    <w:p w14:paraId="65A5192A" w14:textId="77777777" w:rsidR="00086155" w:rsidRPr="009867C1" w:rsidRDefault="00086155" w:rsidP="00086155">
      <w:pPr>
        <w:rPr>
          <w:noProof/>
        </w:rPr>
      </w:pPr>
    </w:p>
    <w:p w14:paraId="09C3463D" w14:textId="77777777" w:rsidR="00086155" w:rsidRPr="009867C1" w:rsidRDefault="00086155" w:rsidP="00086155">
      <w:pPr>
        <w:keepNext/>
      </w:pPr>
      <w:r w:rsidRPr="009867C1">
        <w:rPr>
          <w:noProof/>
        </w:rPr>
        <w:drawing>
          <wp:inline distT="0" distB="0" distL="0" distR="0" wp14:anchorId="5A20A7A8" wp14:editId="31CCB3E5">
            <wp:extent cx="8229600" cy="41148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8229600" cy="4114800"/>
                    </a:xfrm>
                    <a:prstGeom prst="rect">
                      <a:avLst/>
                    </a:prstGeom>
                    <a:noFill/>
                    <a:ln>
                      <a:noFill/>
                    </a:ln>
                  </pic:spPr>
                </pic:pic>
              </a:graphicData>
            </a:graphic>
          </wp:inline>
        </w:drawing>
      </w:r>
    </w:p>
    <w:p w14:paraId="6EA5468B" w14:textId="7A1D3C0B" w:rsidR="00AA7BA2" w:rsidRPr="009867C1" w:rsidRDefault="00086155" w:rsidP="00086155">
      <w:pPr>
        <w:pStyle w:val="Caption"/>
        <w:rPr>
          <w:vanish/>
          <w:specVanish/>
        </w:rPr>
      </w:pPr>
      <w:bookmarkStart w:id="267" w:name="_Ref74668041"/>
      <w:bookmarkStart w:id="268" w:name="_Toc101783839"/>
      <w:bookmarkStart w:id="269" w:name="_Toc74923598"/>
      <w:r w:rsidRPr="009867C1">
        <w:t xml:space="preserve">Figure </w:t>
      </w:r>
      <w:r w:rsidR="008C26C1">
        <w:fldChar w:fldCharType="begin"/>
      </w:r>
      <w:r w:rsidR="008C26C1">
        <w:instrText xml:space="preserve"> STYLEREF 2 \s </w:instrText>
      </w:r>
      <w:r w:rsidR="008C26C1">
        <w:fldChar w:fldCharType="separate"/>
      </w:r>
      <w:r w:rsidR="000667DB">
        <w:rPr>
          <w:noProof/>
        </w:rPr>
        <w:t>6</w:t>
      </w:r>
      <w:r w:rsidR="008C26C1">
        <w:fldChar w:fldCharType="end"/>
      </w:r>
      <w:r w:rsidR="008C26C1">
        <w:noBreakHyphen/>
      </w:r>
      <w:r w:rsidR="008C26C1">
        <w:fldChar w:fldCharType="begin"/>
      </w:r>
      <w:r w:rsidR="008C26C1">
        <w:instrText xml:space="preserve"> SEQ Figure \* ARABIC \s 2 </w:instrText>
      </w:r>
      <w:r w:rsidR="008C26C1">
        <w:fldChar w:fldCharType="separate"/>
      </w:r>
      <w:r w:rsidR="000667DB">
        <w:rPr>
          <w:noProof/>
        </w:rPr>
        <w:t>2</w:t>
      </w:r>
      <w:r w:rsidR="008C26C1">
        <w:fldChar w:fldCharType="end"/>
      </w:r>
      <w:bookmarkEnd w:id="267"/>
      <w:r w:rsidRPr="009867C1">
        <w:t>: Time series of log δ</w:t>
      </w:r>
      <w:r w:rsidRPr="009867C1">
        <w:rPr>
          <w:vertAlign w:val="superscript"/>
        </w:rPr>
        <w:t>15</w:t>
      </w:r>
      <w:r w:rsidRPr="009867C1">
        <w:t>N values per plant</w:t>
      </w:r>
      <w:bookmarkEnd w:id="268"/>
    </w:p>
    <w:p w14:paraId="236A4DCE" w14:textId="74AB7265" w:rsidR="00086155" w:rsidRPr="009867C1" w:rsidRDefault="00086155" w:rsidP="00086155">
      <w:pPr>
        <w:pStyle w:val="Caption"/>
      </w:pPr>
      <w:r w:rsidRPr="009867C1">
        <w:t xml:space="preserve"> (each facet) in each of the three treatments (control, </w:t>
      </w:r>
      <w:r w:rsidRPr="009867C1">
        <w:rPr>
          <w:vertAlign w:val="superscript"/>
        </w:rPr>
        <w:t>15</w:t>
      </w:r>
      <w:r w:rsidRPr="009867C1">
        <w:t xml:space="preserve">N, and </w:t>
      </w:r>
      <w:r w:rsidRPr="009867C1">
        <w:rPr>
          <w:vertAlign w:val="superscript"/>
        </w:rPr>
        <w:t>15</w:t>
      </w:r>
      <w:r w:rsidRPr="009867C1">
        <w:t xml:space="preserve">N + fungicide; columns). For each plant, the distance from the center the plot, the plant species, and bearing are indicated in the title bar of each facet (H = hemlock seedling, RS = </w:t>
      </w:r>
      <w:r w:rsidRPr="009867C1">
        <w:rPr>
          <w:i/>
          <w:iCs/>
        </w:rPr>
        <w:t>Rubus spectabilis</w:t>
      </w:r>
      <w:r w:rsidRPr="009867C1">
        <w:t xml:space="preserve">, FA = False Azalea, VP = </w:t>
      </w:r>
      <w:r w:rsidRPr="009867C1">
        <w:rPr>
          <w:i/>
          <w:iCs/>
        </w:rPr>
        <w:t>Vaccinium parviflorum</w:t>
      </w:r>
      <w:r w:rsidRPr="009867C1">
        <w:t xml:space="preserve">, VO = </w:t>
      </w:r>
      <w:r w:rsidRPr="009867C1">
        <w:rPr>
          <w:i/>
          <w:iCs/>
        </w:rPr>
        <w:t>Vaccinium ovalifolium</w:t>
      </w:r>
      <w:r w:rsidRPr="009867C1">
        <w:t>).</w:t>
      </w:r>
      <w:bookmarkEnd w:id="269"/>
      <w:r w:rsidRPr="009867C1">
        <w:t xml:space="preserve">  </w:t>
      </w:r>
    </w:p>
    <w:p w14:paraId="4037A1CA" w14:textId="77777777" w:rsidR="00086155" w:rsidRPr="009867C1" w:rsidRDefault="00086155" w:rsidP="00086155">
      <w:pPr>
        <w:sectPr w:rsidR="00086155" w:rsidRPr="009867C1" w:rsidSect="00794BA7">
          <w:pgSz w:w="15840" w:h="12240" w:orient="landscape"/>
          <w:pgMar w:top="1440" w:right="1440" w:bottom="1440" w:left="1440" w:header="708" w:footer="708" w:gutter="0"/>
          <w:cols w:space="708"/>
          <w:docGrid w:linePitch="360"/>
        </w:sectPr>
      </w:pPr>
    </w:p>
    <w:p w14:paraId="3146A6F0" w14:textId="77777777" w:rsidR="00086155" w:rsidRPr="009867C1" w:rsidRDefault="00086155" w:rsidP="00086155">
      <w:pPr>
        <w:keepNext/>
      </w:pPr>
      <w:r w:rsidRPr="009867C1">
        <w:rPr>
          <w:noProof/>
        </w:rPr>
        <w:drawing>
          <wp:inline distT="0" distB="0" distL="0" distR="0" wp14:anchorId="151E2632" wp14:editId="40AC0303">
            <wp:extent cx="5943600" cy="59436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171FC406" w14:textId="20881730" w:rsidR="00AA7BA2" w:rsidRPr="009867C1" w:rsidRDefault="00086155" w:rsidP="00086155">
      <w:pPr>
        <w:pStyle w:val="Caption"/>
        <w:rPr>
          <w:vanish/>
          <w:specVanish/>
        </w:rPr>
      </w:pPr>
      <w:bookmarkStart w:id="270" w:name="_Ref74668258"/>
      <w:bookmarkStart w:id="271" w:name="_Toc101783840"/>
      <w:bookmarkStart w:id="272" w:name="_Toc74923599"/>
      <w:r w:rsidRPr="009867C1">
        <w:t xml:space="preserve">Figure </w:t>
      </w:r>
      <w:r w:rsidR="008C26C1">
        <w:fldChar w:fldCharType="begin"/>
      </w:r>
      <w:r w:rsidR="008C26C1">
        <w:instrText xml:space="preserve"> STYLEREF 2 \s </w:instrText>
      </w:r>
      <w:r w:rsidR="008C26C1">
        <w:fldChar w:fldCharType="separate"/>
      </w:r>
      <w:r w:rsidR="000667DB">
        <w:rPr>
          <w:noProof/>
        </w:rPr>
        <w:t>6</w:t>
      </w:r>
      <w:r w:rsidR="008C26C1">
        <w:fldChar w:fldCharType="end"/>
      </w:r>
      <w:r w:rsidR="008C26C1">
        <w:noBreakHyphen/>
      </w:r>
      <w:r w:rsidR="008C26C1">
        <w:fldChar w:fldCharType="begin"/>
      </w:r>
      <w:r w:rsidR="008C26C1">
        <w:instrText xml:space="preserve"> SEQ Figure \* ARABIC \s 2 </w:instrText>
      </w:r>
      <w:r w:rsidR="008C26C1">
        <w:fldChar w:fldCharType="separate"/>
      </w:r>
      <w:r w:rsidR="000667DB">
        <w:rPr>
          <w:noProof/>
        </w:rPr>
        <w:t>3</w:t>
      </w:r>
      <w:r w:rsidR="008C26C1">
        <w:fldChar w:fldCharType="end"/>
      </w:r>
      <w:bookmarkEnd w:id="270"/>
      <w:r w:rsidRPr="009867C1">
        <w:t>: log trans</w:t>
      </w:r>
      <w:r w:rsidR="00E3024F">
        <w:t>formed</w:t>
      </w:r>
      <w:r w:rsidRPr="009867C1">
        <w:t xml:space="preserve"> δ</w:t>
      </w:r>
      <w:r w:rsidRPr="009867C1">
        <w:rPr>
          <w:vertAlign w:val="superscript"/>
        </w:rPr>
        <w:t>15</w:t>
      </w:r>
      <w:r w:rsidRPr="009867C1">
        <w:t>N values as a function of days since application.</w:t>
      </w:r>
      <w:bookmarkEnd w:id="271"/>
    </w:p>
    <w:p w14:paraId="7E7F15E2" w14:textId="55902D1E" w:rsidR="00086155" w:rsidRPr="009867C1" w:rsidRDefault="00086155" w:rsidP="00086155">
      <w:pPr>
        <w:pStyle w:val="Caption"/>
      </w:pPr>
      <w:r w:rsidRPr="009867C1">
        <w:t xml:space="preserve"> Colour denotes distance from the center of the plot, and have been binned into three groups for easier interpretation. Faceted by treatment. δ</w:t>
      </w:r>
      <w:r w:rsidRPr="009867C1">
        <w:rPr>
          <w:vertAlign w:val="superscript"/>
        </w:rPr>
        <w:t>15</w:t>
      </w:r>
      <w:r w:rsidRPr="009867C1">
        <w:t>N values have been translated such that all values were positive prior to the log-transform. The fungicide treatment led to slower uptake.</w:t>
      </w:r>
      <w:bookmarkEnd w:id="272"/>
      <w:r w:rsidRPr="009867C1">
        <w:t xml:space="preserve"> </w:t>
      </w:r>
    </w:p>
    <w:p w14:paraId="6C7770FD" w14:textId="77777777" w:rsidR="00086155" w:rsidRPr="009867C1" w:rsidRDefault="00086155" w:rsidP="00086155">
      <w:pPr>
        <w:sectPr w:rsidR="00086155" w:rsidRPr="009867C1" w:rsidSect="001035CD">
          <w:pgSz w:w="12240" w:h="15840"/>
          <w:pgMar w:top="1440" w:right="1440" w:bottom="1440" w:left="1440" w:header="708" w:footer="708" w:gutter="0"/>
          <w:cols w:space="708"/>
          <w:docGrid w:linePitch="360"/>
        </w:sectPr>
      </w:pPr>
    </w:p>
    <w:p w14:paraId="3D369DB6" w14:textId="7060E48F" w:rsidR="00086155" w:rsidRPr="009867C1" w:rsidRDefault="006A36F0" w:rsidP="00086155">
      <w:pPr>
        <w:keepNext/>
      </w:pPr>
      <w:r>
        <w:rPr>
          <w:noProof/>
        </w:rPr>
        <w:drawing>
          <wp:inline distT="0" distB="0" distL="0" distR="0" wp14:anchorId="20310949" wp14:editId="6B613369">
            <wp:extent cx="8229600" cy="3244132"/>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6">
                      <a:extLst>
                        <a:ext uri="{28A0092B-C50C-407E-A947-70E740481C1C}">
                          <a14:useLocalDpi xmlns:a14="http://schemas.microsoft.com/office/drawing/2010/main" val="0"/>
                        </a:ext>
                      </a:extLst>
                    </a:blip>
                    <a:srcRect b="29977"/>
                    <a:stretch/>
                  </pic:blipFill>
                  <pic:spPr bwMode="auto">
                    <a:xfrm>
                      <a:off x="0" y="0"/>
                      <a:ext cx="8229600" cy="3244132"/>
                    </a:xfrm>
                    <a:prstGeom prst="rect">
                      <a:avLst/>
                    </a:prstGeom>
                    <a:noFill/>
                    <a:ln>
                      <a:noFill/>
                    </a:ln>
                    <a:extLst>
                      <a:ext uri="{53640926-AAD7-44D8-BBD7-CCE9431645EC}">
                        <a14:shadowObscured xmlns:a14="http://schemas.microsoft.com/office/drawing/2010/main"/>
                      </a:ext>
                    </a:extLst>
                  </pic:spPr>
                </pic:pic>
              </a:graphicData>
            </a:graphic>
          </wp:inline>
        </w:drawing>
      </w:r>
    </w:p>
    <w:p w14:paraId="4C0F9097" w14:textId="58AB65AE" w:rsidR="00AA7BA2" w:rsidRPr="009867C1" w:rsidRDefault="00086155" w:rsidP="00086155">
      <w:pPr>
        <w:pStyle w:val="Caption"/>
        <w:rPr>
          <w:vanish/>
          <w:specVanish/>
        </w:rPr>
      </w:pPr>
      <w:bookmarkStart w:id="273" w:name="_Ref74668423"/>
      <w:bookmarkStart w:id="274" w:name="_Toc101783841"/>
      <w:bookmarkStart w:id="275" w:name="_Toc74923600"/>
      <w:r w:rsidRPr="009867C1">
        <w:t xml:space="preserve">Figure </w:t>
      </w:r>
      <w:r w:rsidR="008C26C1">
        <w:fldChar w:fldCharType="begin"/>
      </w:r>
      <w:r w:rsidR="008C26C1">
        <w:instrText xml:space="preserve"> STYLEREF 2 \s </w:instrText>
      </w:r>
      <w:r w:rsidR="008C26C1">
        <w:fldChar w:fldCharType="separate"/>
      </w:r>
      <w:r w:rsidR="000667DB">
        <w:rPr>
          <w:noProof/>
        </w:rPr>
        <w:t>6</w:t>
      </w:r>
      <w:r w:rsidR="008C26C1">
        <w:fldChar w:fldCharType="end"/>
      </w:r>
      <w:r w:rsidR="008C26C1">
        <w:noBreakHyphen/>
      </w:r>
      <w:r w:rsidR="008C26C1">
        <w:fldChar w:fldCharType="begin"/>
      </w:r>
      <w:r w:rsidR="008C26C1">
        <w:instrText xml:space="preserve"> SEQ Figure \* ARABIC \s 2 </w:instrText>
      </w:r>
      <w:r w:rsidR="008C26C1">
        <w:fldChar w:fldCharType="separate"/>
      </w:r>
      <w:r w:rsidR="000667DB">
        <w:rPr>
          <w:noProof/>
        </w:rPr>
        <w:t>4</w:t>
      </w:r>
      <w:r w:rsidR="008C26C1">
        <w:fldChar w:fldCharType="end"/>
      </w:r>
      <w:bookmarkEnd w:id="273"/>
      <w:r w:rsidRPr="009867C1">
        <w:t>: 3-D plots of translated log δ</w:t>
      </w:r>
      <w:r w:rsidRPr="009867C1">
        <w:rPr>
          <w:vertAlign w:val="superscript"/>
        </w:rPr>
        <w:t>15</w:t>
      </w:r>
      <w:r w:rsidRPr="009867C1">
        <w:t>N values for the three treatment groups as a function of distance from the center of the plot and days since application.</w:t>
      </w:r>
      <w:bookmarkEnd w:id="274"/>
    </w:p>
    <w:p w14:paraId="734D1612" w14:textId="38AFD1C7" w:rsidR="00086155" w:rsidRPr="009867C1" w:rsidRDefault="00086155" w:rsidP="00086155">
      <w:pPr>
        <w:pStyle w:val="Caption"/>
      </w:pPr>
      <w:r w:rsidRPr="009867C1">
        <w:t xml:space="preserve"> Note the different y-axis scales.</w:t>
      </w:r>
      <w:bookmarkEnd w:id="275"/>
      <w:r w:rsidRPr="009867C1">
        <w:t xml:space="preserve">      </w:t>
      </w:r>
    </w:p>
    <w:p w14:paraId="6F54B143" w14:textId="77777777" w:rsidR="00086155" w:rsidRPr="009867C1" w:rsidRDefault="00086155" w:rsidP="00086155">
      <w:pPr>
        <w:pStyle w:val="Caption"/>
      </w:pPr>
    </w:p>
    <w:p w14:paraId="1F2159F1" w14:textId="77777777" w:rsidR="00086155" w:rsidRPr="009867C1" w:rsidRDefault="00086155" w:rsidP="00086155">
      <w:pPr>
        <w:pStyle w:val="Caption"/>
        <w:sectPr w:rsidR="00086155" w:rsidRPr="009867C1" w:rsidSect="001035CD">
          <w:pgSz w:w="15840" w:h="12240" w:orient="landscape"/>
          <w:pgMar w:top="1440" w:right="1440" w:bottom="1440" w:left="1440" w:header="708" w:footer="708" w:gutter="0"/>
          <w:cols w:space="708"/>
          <w:docGrid w:linePitch="360"/>
        </w:sectPr>
      </w:pPr>
    </w:p>
    <w:p w14:paraId="714D1963" w14:textId="1649C57F" w:rsidR="00AA7BA2" w:rsidRPr="009867C1" w:rsidRDefault="00086155" w:rsidP="00086155">
      <w:pPr>
        <w:pStyle w:val="Caption"/>
        <w:keepNext/>
        <w:rPr>
          <w:vanish/>
          <w:specVanish/>
        </w:rPr>
      </w:pPr>
      <w:bookmarkStart w:id="276" w:name="_Ref74682660"/>
      <w:bookmarkStart w:id="277" w:name="_Toc74949410"/>
      <w:r w:rsidRPr="009867C1">
        <w:t xml:space="preserve">Table </w:t>
      </w:r>
      <w:r w:rsidR="008C26C1">
        <w:fldChar w:fldCharType="begin"/>
      </w:r>
      <w:r w:rsidR="008C26C1">
        <w:instrText xml:space="preserve"> STYLEREF 2 \s </w:instrText>
      </w:r>
      <w:r w:rsidR="008C26C1">
        <w:fldChar w:fldCharType="separate"/>
      </w:r>
      <w:r w:rsidR="000667DB">
        <w:rPr>
          <w:noProof/>
        </w:rPr>
        <w:t>6</w:t>
      </w:r>
      <w:r w:rsidR="008C26C1">
        <w:fldChar w:fldCharType="end"/>
      </w:r>
      <w:r w:rsidR="008C26C1">
        <w:noBreakHyphen/>
      </w:r>
      <w:r w:rsidR="008C26C1">
        <w:fldChar w:fldCharType="begin"/>
      </w:r>
      <w:r w:rsidR="008C26C1">
        <w:instrText xml:space="preserve"> SEQ Table \* ARABIC \s 2 </w:instrText>
      </w:r>
      <w:r w:rsidR="008C26C1">
        <w:fldChar w:fldCharType="separate"/>
      </w:r>
      <w:r w:rsidR="000667DB">
        <w:rPr>
          <w:noProof/>
        </w:rPr>
        <w:t>1</w:t>
      </w:r>
      <w:r w:rsidR="008C26C1">
        <w:fldChar w:fldCharType="end"/>
      </w:r>
      <w:bookmarkEnd w:id="276"/>
      <w:r w:rsidRPr="009867C1">
        <w:t xml:space="preserve">: Regression table for the LM translated log </w:t>
      </w:r>
      <w:r w:rsidRPr="009867C1">
        <w:rPr>
          <w:vertAlign w:val="superscript"/>
        </w:rPr>
        <w:t>15</w:t>
      </w:r>
      <w:r w:rsidRPr="009867C1">
        <w:t>N ~ day * distance * treatment.</w:t>
      </w:r>
      <w:bookmarkEnd w:id="277"/>
    </w:p>
    <w:p w14:paraId="0199F9B3" w14:textId="7D7E39F5" w:rsidR="00086155" w:rsidRPr="009867C1" w:rsidRDefault="00AA7BA2" w:rsidP="00086155">
      <w:pPr>
        <w:pStyle w:val="Caption"/>
        <w:keepNext/>
      </w:pPr>
      <w:r w:rsidRPr="009867C1">
        <w:t xml:space="preserve"> </w:t>
      </w:r>
      <w:r w:rsidR="00086155" w:rsidRPr="009867C1">
        <w:t xml:space="preserve"> Treatment contrasts are taken relative to the δ</w:t>
      </w:r>
      <w:r w:rsidR="00086155" w:rsidRPr="009867C1">
        <w:rPr>
          <w:vertAlign w:val="superscript"/>
        </w:rPr>
        <w:t>15</w:t>
      </w:r>
      <w:r w:rsidR="00086155" w:rsidRPr="009867C1">
        <w:t>N treatment.</w:t>
      </w:r>
    </w:p>
    <w:p w14:paraId="0B0CF031" w14:textId="196EA431" w:rsidR="00086155" w:rsidRPr="009867C1" w:rsidRDefault="000F05F8" w:rsidP="00086155">
      <w:r>
        <w:rPr>
          <w:noProof/>
        </w:rPr>
        <w:drawing>
          <wp:inline distT="0" distB="0" distL="0" distR="0" wp14:anchorId="60CDEB22" wp14:editId="7D9CA68D">
            <wp:extent cx="5943600" cy="33432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11D5E4D8" w14:textId="796BC3E2" w:rsidR="00086155" w:rsidRPr="009867C1" w:rsidRDefault="00E0700F" w:rsidP="00086155">
      <w:pPr>
        <w:keepNext/>
      </w:pPr>
      <w:r>
        <w:rPr>
          <w:noProof/>
        </w:rPr>
        <w:drawing>
          <wp:inline distT="0" distB="0" distL="0" distR="0" wp14:anchorId="3364A7FB" wp14:editId="0FE8A2CE">
            <wp:extent cx="5943600" cy="59436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20234978" w14:textId="101020C5" w:rsidR="003860AC" w:rsidRPr="009867C1" w:rsidRDefault="00086155" w:rsidP="00086155">
      <w:pPr>
        <w:pStyle w:val="Caption"/>
        <w:rPr>
          <w:vanish/>
          <w:specVanish/>
        </w:rPr>
      </w:pPr>
      <w:bookmarkStart w:id="278" w:name="_Ref74683805"/>
      <w:bookmarkStart w:id="279" w:name="_Toc101783842"/>
      <w:bookmarkStart w:id="280" w:name="_Toc74923601"/>
      <w:r w:rsidRPr="009867C1">
        <w:t xml:space="preserve">Figure </w:t>
      </w:r>
      <w:r w:rsidR="008C26C1">
        <w:fldChar w:fldCharType="begin"/>
      </w:r>
      <w:r w:rsidR="008C26C1">
        <w:instrText xml:space="preserve"> STYLEREF 2 \s </w:instrText>
      </w:r>
      <w:r w:rsidR="008C26C1">
        <w:fldChar w:fldCharType="separate"/>
      </w:r>
      <w:r w:rsidR="000667DB">
        <w:rPr>
          <w:noProof/>
        </w:rPr>
        <w:t>6</w:t>
      </w:r>
      <w:r w:rsidR="008C26C1">
        <w:fldChar w:fldCharType="end"/>
      </w:r>
      <w:r w:rsidR="008C26C1">
        <w:noBreakHyphen/>
      </w:r>
      <w:r w:rsidR="008C26C1">
        <w:fldChar w:fldCharType="begin"/>
      </w:r>
      <w:r w:rsidR="008C26C1">
        <w:instrText xml:space="preserve"> SEQ Figure \* ARABIC \s 2 </w:instrText>
      </w:r>
      <w:r w:rsidR="008C26C1">
        <w:fldChar w:fldCharType="separate"/>
      </w:r>
      <w:r w:rsidR="000667DB">
        <w:rPr>
          <w:noProof/>
        </w:rPr>
        <w:t>5</w:t>
      </w:r>
      <w:r w:rsidR="008C26C1">
        <w:fldChar w:fldCharType="end"/>
      </w:r>
      <w:bookmarkEnd w:id="278"/>
      <w:r w:rsidRPr="009867C1">
        <w:t>: Estimated V</w:t>
      </w:r>
      <w:r w:rsidRPr="009867C1">
        <w:rPr>
          <w:vertAlign w:val="subscript"/>
        </w:rPr>
        <w:t>max</w:t>
      </w:r>
      <w:r w:rsidRPr="009867C1">
        <w:t xml:space="preserve"> and K</w:t>
      </w:r>
      <w:r w:rsidRPr="009867C1">
        <w:rPr>
          <w:vertAlign w:val="subscript"/>
        </w:rPr>
        <w:t>M</w:t>
      </w:r>
      <w:r w:rsidRPr="009867C1">
        <w:t xml:space="preserve"> values from </w:t>
      </w:r>
      <w:r w:rsidR="00CD195B">
        <w:t>M</w:t>
      </w:r>
      <w:r w:rsidRPr="009867C1">
        <w:t>ichaelis-</w:t>
      </w:r>
      <w:r w:rsidR="00CD195B">
        <w:t>M</w:t>
      </w:r>
      <w:r w:rsidRPr="009867C1">
        <w:t>enten function fits of the closest plant for each treatment group.</w:t>
      </w:r>
      <w:bookmarkEnd w:id="279"/>
    </w:p>
    <w:p w14:paraId="76D217F3" w14:textId="184A7043" w:rsidR="003860AC" w:rsidRPr="009867C1" w:rsidRDefault="00086155" w:rsidP="003860AC">
      <w:pPr>
        <w:pStyle w:val="Caption"/>
      </w:pPr>
      <w:r w:rsidRPr="009867C1">
        <w:t xml:space="preserve"> Here V</w:t>
      </w:r>
      <w:r w:rsidRPr="009867C1">
        <w:rPr>
          <w:vertAlign w:val="subscript"/>
        </w:rPr>
        <w:t xml:space="preserve">max </w:t>
      </w:r>
      <w:r w:rsidRPr="009867C1">
        <w:t>indicates the</w:t>
      </w:r>
      <w:r w:rsidR="00CD195B">
        <w:t xml:space="preserve"> log of the</w:t>
      </w:r>
      <w:r w:rsidRPr="009867C1">
        <w:t xml:space="preserve"> δ</w:t>
      </w:r>
      <w:r w:rsidRPr="009867C1">
        <w:rPr>
          <w:vertAlign w:val="superscript"/>
        </w:rPr>
        <w:t>15</w:t>
      </w:r>
      <w:r w:rsidRPr="009867C1">
        <w:t>N value reached by the asymptote, and K</w:t>
      </w:r>
      <w:r w:rsidRPr="009867C1">
        <w:rPr>
          <w:vertAlign w:val="subscript"/>
        </w:rPr>
        <w:t>M</w:t>
      </w:r>
      <w:r w:rsidRPr="009867C1">
        <w:t xml:space="preserve"> indicates the day at which uptake reached half of V</w:t>
      </w:r>
      <w:r w:rsidRPr="009867C1">
        <w:rPr>
          <w:vertAlign w:val="subscript"/>
        </w:rPr>
        <w:t>max</w:t>
      </w:r>
      <w:r w:rsidRPr="009867C1">
        <w:t>.</w:t>
      </w:r>
      <w:bookmarkEnd w:id="280"/>
      <w:r w:rsidR="00E0700F">
        <w:t xml:space="preserve"> Here we see the fungicide treatments reached a lower asymptote (V</w:t>
      </w:r>
      <w:r w:rsidR="00E0700F" w:rsidRPr="00E0700F">
        <w:rPr>
          <w:vertAlign w:val="subscript"/>
        </w:rPr>
        <w:t>max</w:t>
      </w:r>
      <w:r w:rsidR="00E0700F">
        <w:t>) and took longer to do so (higher k).</w:t>
      </w:r>
    </w:p>
    <w:p w14:paraId="4E4376FF" w14:textId="77777777" w:rsidR="00086155" w:rsidRPr="009867C1" w:rsidRDefault="00086155" w:rsidP="00086155"/>
    <w:p w14:paraId="2AA4ACE1" w14:textId="47EFAF8B" w:rsidR="00697585" w:rsidRPr="009867C1" w:rsidRDefault="00697585" w:rsidP="00697585">
      <w:pPr>
        <w:pStyle w:val="Heading2"/>
        <w:spacing w:line="360" w:lineRule="auto"/>
      </w:pPr>
      <w:bookmarkStart w:id="281" w:name="_Toc99385504"/>
      <w:r w:rsidRPr="009867C1">
        <w:t>Conclusion</w:t>
      </w:r>
      <w:r w:rsidR="00A20668">
        <w:t xml:space="preserve"> and summary</w:t>
      </w:r>
      <w:bookmarkEnd w:id="281"/>
    </w:p>
    <w:p w14:paraId="0A89051D" w14:textId="4D34974C" w:rsidR="00697585" w:rsidRPr="009867C1" w:rsidRDefault="00375630" w:rsidP="00697585">
      <w:pPr>
        <w:pStyle w:val="Heading3"/>
        <w:spacing w:line="360" w:lineRule="auto"/>
      </w:pPr>
      <w:bookmarkStart w:id="282" w:name="_Toc99385505"/>
      <w:r>
        <w:t>Summary</w:t>
      </w:r>
      <w:bookmarkEnd w:id="282"/>
      <w:r w:rsidR="00697585" w:rsidRPr="009867C1">
        <w:t xml:space="preserve"> </w:t>
      </w:r>
    </w:p>
    <w:p w14:paraId="22CDBC6F" w14:textId="676D147F" w:rsidR="00697585" w:rsidRPr="009867C1" w:rsidRDefault="00697585" w:rsidP="00697585">
      <w:pPr>
        <w:spacing w:line="360" w:lineRule="auto"/>
        <w:ind w:firstLine="720"/>
      </w:pPr>
      <w:r w:rsidRPr="009867C1">
        <w:t>The extent, quantity, and effects of salmon nutrient subsidies on recipient terrestrial systems has received much attention over the last 30 years. Through the work presented in this thesis, I add to this accumulated body of research</w:t>
      </w:r>
      <w:r w:rsidR="00B50715" w:rsidRPr="009867C1">
        <w:t xml:space="preserve"> by </w:t>
      </w:r>
      <w:r w:rsidR="00141D33">
        <w:t>asking</w:t>
      </w:r>
      <w:r w:rsidR="00B50715" w:rsidRPr="009867C1">
        <w:t xml:space="preserve"> the overarching question “how do salmon-derived nutrients change soils in salmon forests?”</w:t>
      </w:r>
      <w:r w:rsidRPr="009867C1">
        <w:t>.</w:t>
      </w:r>
      <w:r w:rsidR="00B50715" w:rsidRPr="009867C1">
        <w:t xml:space="preserve"> In Chapter 1 I provide</w:t>
      </w:r>
      <w:r w:rsidR="00A20668">
        <w:t>d</w:t>
      </w:r>
      <w:r w:rsidR="00B50715" w:rsidRPr="009867C1">
        <w:t xml:space="preserve"> a literature review of previous work, and set up the questions and logical structure of the rest of the thesis.</w:t>
      </w:r>
      <w:r w:rsidRPr="009867C1">
        <w:t xml:space="preserve"> In chapter 2, I </w:t>
      </w:r>
      <w:r w:rsidR="00B50715" w:rsidRPr="009867C1">
        <w:t>ask</w:t>
      </w:r>
      <w:r w:rsidR="00A20668">
        <w:t>ed</w:t>
      </w:r>
      <w:r w:rsidR="00B50715" w:rsidRPr="009867C1">
        <w:t xml:space="preserve"> “how do salmon </w:t>
      </w:r>
      <w:r w:rsidR="00141D33">
        <w:t>affect</w:t>
      </w:r>
      <w:r w:rsidR="00B50715" w:rsidRPr="009867C1">
        <w:t xml:space="preserve"> forest soil chemistry”, and </w:t>
      </w:r>
      <w:r w:rsidRPr="009867C1">
        <w:t>provide</w:t>
      </w:r>
      <w:r w:rsidR="00A20668">
        <w:t>d</w:t>
      </w:r>
      <w:r w:rsidRPr="009867C1">
        <w:t xml:space="preserve"> insight to the chemical impacts on soils, which to date has largely focused on nitrogen fertilization to the exclusion of other macro- and micro- nutrients. In chapter 3, I </w:t>
      </w:r>
      <w:r w:rsidR="00B50715" w:rsidRPr="009867C1">
        <w:t>attempt</w:t>
      </w:r>
      <w:r w:rsidR="00A20668">
        <w:t>ed</w:t>
      </w:r>
      <w:r w:rsidR="00B50715" w:rsidRPr="009867C1">
        <w:t xml:space="preserve"> to answer the questions “how do salmon inputs affect mushrooms” and “how do salmon inputs affect soil-fungi-vegetation nitrogen dynamics”. I </w:t>
      </w:r>
      <w:r w:rsidRPr="009867C1">
        <w:t>perform</w:t>
      </w:r>
      <w:r w:rsidR="00A20668">
        <w:t>ed</w:t>
      </w:r>
      <w:r w:rsidRPr="009867C1">
        <w:t xml:space="preserve"> the first mushroom survey in this region, and add</w:t>
      </w:r>
      <w:r w:rsidR="00A20668">
        <w:t>ed</w:t>
      </w:r>
      <w:r w:rsidRPr="009867C1">
        <w:t xml:space="preserve"> mushroom sporocarp nutrient and natural abundance isotope measurements to existing catalogues of vegetation, animal, and soil isotopic signatures. I then leverage</w:t>
      </w:r>
      <w:r w:rsidR="00A20668">
        <w:t>d</w:t>
      </w:r>
      <w:r w:rsidRPr="009867C1">
        <w:t xml:space="preserve"> differences between these ecosystem compartments to answer questions about </w:t>
      </w:r>
      <w:r w:rsidR="00A20668">
        <w:t xml:space="preserve">net </w:t>
      </w:r>
      <w:r w:rsidRPr="009867C1">
        <w:t xml:space="preserve">fractionation between </w:t>
      </w:r>
      <w:r w:rsidR="00E63B12">
        <w:t xml:space="preserve">stocks of </w:t>
      </w:r>
      <w:r w:rsidRPr="009867C1">
        <w:t xml:space="preserve">soils, mushrooms, and plants </w:t>
      </w:r>
      <w:r w:rsidR="00B50715" w:rsidRPr="009867C1">
        <w:t>and discuss</w:t>
      </w:r>
      <w:r w:rsidR="00A20668">
        <w:t>ed</w:t>
      </w:r>
      <w:r w:rsidR="00B50715" w:rsidRPr="009867C1">
        <w:t xml:space="preserve"> the implications to isotope fractionation and bulk</w:t>
      </w:r>
      <w:r w:rsidRPr="009867C1">
        <w:t xml:space="preserve"> nitrogen and carbon flow. In chapter 4</w:t>
      </w:r>
      <w:r w:rsidR="00B50715" w:rsidRPr="009867C1">
        <w:t>, I ask</w:t>
      </w:r>
      <w:r w:rsidR="00A20668">
        <w:t>ed</w:t>
      </w:r>
      <w:r w:rsidR="00B50715" w:rsidRPr="009867C1">
        <w:t xml:space="preserve"> “how do salmon inputs </w:t>
      </w:r>
      <w:r w:rsidR="00141D33">
        <w:t>affect</w:t>
      </w:r>
      <w:r w:rsidR="00B50715" w:rsidRPr="009867C1">
        <w:t xml:space="preserve"> soil fungal communities”, and </w:t>
      </w:r>
      <w:r w:rsidRPr="009867C1">
        <w:t>used next-generation environmental sequencing to measure the effects of salmon inputs on fungal</w:t>
      </w:r>
      <w:r w:rsidR="00375630">
        <w:t xml:space="preserve"> relative</w:t>
      </w:r>
      <w:r w:rsidRPr="009867C1">
        <w:t xml:space="preserve"> </w:t>
      </w:r>
      <w:r w:rsidR="00B50715" w:rsidRPr="009867C1">
        <w:t>abundance, diversity, and community composition. I</w:t>
      </w:r>
      <w:r w:rsidRPr="009867C1">
        <w:t>n chapter 5</w:t>
      </w:r>
      <w:r w:rsidR="00B50715" w:rsidRPr="009867C1">
        <w:t xml:space="preserve"> I ask the same question of bacterial communities</w:t>
      </w:r>
      <w:r w:rsidRPr="009867C1">
        <w:t xml:space="preserve">. Finally, in chapter 6 I used a nitrogen addition experiment to measure nitrogen uptake by riparian shrubs and experimentally test the effect of fungal inhibition on uptake rates. In aggregate, the work in this thesis underscores the active role of soils and soil microbiomes in mediating salmon nutrient inputs in salmon forests.      </w:t>
      </w:r>
    </w:p>
    <w:p w14:paraId="1DAAAE98" w14:textId="77777777" w:rsidR="00697585" w:rsidRPr="009867C1" w:rsidRDefault="00697585" w:rsidP="00697585">
      <w:pPr>
        <w:spacing w:line="360" w:lineRule="auto"/>
      </w:pPr>
    </w:p>
    <w:p w14:paraId="37F8CA3F" w14:textId="77777777" w:rsidR="00697585" w:rsidRPr="009867C1" w:rsidRDefault="00697585" w:rsidP="00697585">
      <w:pPr>
        <w:pStyle w:val="Heading3"/>
        <w:spacing w:line="360" w:lineRule="auto"/>
      </w:pPr>
      <w:bookmarkStart w:id="283" w:name="_Toc99385506"/>
      <w:r w:rsidRPr="009867C1">
        <w:t>Synopsis of Chapter 2</w:t>
      </w:r>
      <w:bookmarkEnd w:id="283"/>
    </w:p>
    <w:p w14:paraId="1523BF5A" w14:textId="2F588504" w:rsidR="00697585" w:rsidRPr="009867C1" w:rsidRDefault="00697585" w:rsidP="00697585">
      <w:pPr>
        <w:spacing w:line="360" w:lineRule="auto"/>
        <w:ind w:firstLine="720"/>
        <w:rPr>
          <w:lang w:val="en-CA"/>
        </w:rPr>
      </w:pPr>
      <w:r w:rsidRPr="009867C1">
        <w:t>Chapter 2 examined the effects of MDN on soil and forest floor chemistry, and attempted to answer the question of</w:t>
      </w:r>
      <w:r w:rsidR="00B50715" w:rsidRPr="009867C1">
        <w:t xml:space="preserve"> how salmon inputs </w:t>
      </w:r>
      <w:r w:rsidR="00141D33">
        <w:t xml:space="preserve">affect </w:t>
      </w:r>
      <w:r w:rsidR="00621E18" w:rsidRPr="009867C1">
        <w:t>soil chemistry. In particular, I was interested in if</w:t>
      </w:r>
      <w:r w:rsidRPr="009867C1">
        <w:t xml:space="preserve"> and how salmon inputs impact the fertility of recipient sites. This chapter made comparisons from 23 sites representing a gradient of salmon inputs, as well as above and below salmon-blocking waterfalls at four of these sites. I examined the responses of 22 chemical measurements to salmon inputs and vegetation composition. Aggregate soil chemistry profiles (i</w:t>
      </w:r>
      <w:r w:rsidR="00A20668">
        <w:t>.</w:t>
      </w:r>
      <w:r w:rsidRPr="009867C1">
        <w:t xml:space="preserve">e. weighting each chemical equally) showed significant effects from salmon density, the closest dominant tree, as well as moss and shrub communities, demonstrating the important role salmon inputs have in driving soil chemistry. Examining each response variable in turn along the regional salmon density gradient, I found significant increases in </w:t>
      </w:r>
      <w:r w:rsidRPr="009867C1">
        <w:rPr>
          <w:lang w:val="en-CA"/>
        </w:rPr>
        <w:t>ammonium (NH</w:t>
      </w:r>
      <w:r w:rsidRPr="009867C1">
        <w:rPr>
          <w:vertAlign w:val="subscript"/>
          <w:lang w:val="en-CA"/>
        </w:rPr>
        <w:t>4</w:t>
      </w:r>
      <w:r w:rsidRPr="009867C1">
        <w:rPr>
          <w:vertAlign w:val="superscript"/>
          <w:lang w:val="en-CA"/>
        </w:rPr>
        <w:t>+</w:t>
      </w:r>
      <w:r w:rsidRPr="009867C1">
        <w:rPr>
          <w:lang w:val="en-CA"/>
        </w:rPr>
        <w:t>), nitrate (NO</w:t>
      </w:r>
      <w:r w:rsidRPr="009867C1">
        <w:rPr>
          <w:vertAlign w:val="subscript"/>
          <w:lang w:val="en-CA"/>
        </w:rPr>
        <w:t>3</w:t>
      </w:r>
      <w:r w:rsidRPr="009867C1">
        <w:rPr>
          <w:vertAlign w:val="superscript"/>
          <w:lang w:val="en-CA"/>
        </w:rPr>
        <w:t>-</w:t>
      </w:r>
      <w:r w:rsidRPr="009867C1">
        <w:rPr>
          <w:lang w:val="en-CA"/>
        </w:rPr>
        <w:t>), and copper (Cu) with salmon, and increasing trends in exchangeable phosphorus (P), exchangeable sulfur (S), calcium (Ca</w:t>
      </w:r>
      <w:r w:rsidRPr="009867C1">
        <w:rPr>
          <w:vertAlign w:val="superscript"/>
          <w:lang w:val="en-CA"/>
        </w:rPr>
        <w:t>2+</w:t>
      </w:r>
      <w:r w:rsidRPr="009867C1">
        <w:rPr>
          <w:lang w:val="en-CA"/>
        </w:rPr>
        <w:t>), and aluminum (Al). Salmon density was also associated with significant decreases in magnesium (Mg</w:t>
      </w:r>
      <w:r w:rsidRPr="009867C1">
        <w:rPr>
          <w:vertAlign w:val="superscript"/>
          <w:lang w:val="en-CA"/>
        </w:rPr>
        <w:t>+</w:t>
      </w:r>
      <w:r w:rsidRPr="009867C1">
        <w:rPr>
          <w:lang w:val="en-CA"/>
        </w:rPr>
        <w:t>) and sodium (Na</w:t>
      </w:r>
      <w:r w:rsidRPr="009867C1">
        <w:rPr>
          <w:vertAlign w:val="superscript"/>
          <w:lang w:val="en-CA"/>
        </w:rPr>
        <w:t>2+</w:t>
      </w:r>
      <w:r w:rsidRPr="009867C1">
        <w:rPr>
          <w:lang w:val="en-CA"/>
        </w:rPr>
        <w:t>), and decreasing trends in potassium (K</w:t>
      </w:r>
      <w:r w:rsidRPr="009867C1">
        <w:rPr>
          <w:vertAlign w:val="superscript"/>
          <w:lang w:val="en-CA"/>
        </w:rPr>
        <w:t>+</w:t>
      </w:r>
      <w:r w:rsidRPr="009867C1">
        <w:rPr>
          <w:lang w:val="en-CA"/>
        </w:rPr>
        <w:t xml:space="preserve">). Comparisons between above and below sites </w:t>
      </w:r>
      <w:r w:rsidR="00051A62">
        <w:rPr>
          <w:lang w:val="en-CA"/>
        </w:rPr>
        <w:t>showed moderately</w:t>
      </w:r>
      <w:r w:rsidRPr="009867C1">
        <w:rPr>
          <w:lang w:val="en-CA"/>
        </w:rPr>
        <w:t xml:space="preserve"> significant</w:t>
      </w:r>
      <w:r w:rsidR="00051A62">
        <w:rPr>
          <w:lang w:val="en-CA"/>
        </w:rPr>
        <w:t>ly</w:t>
      </w:r>
      <w:r w:rsidRPr="009867C1">
        <w:rPr>
          <w:lang w:val="en-CA"/>
        </w:rPr>
        <w:t xml:space="preserve"> higher ammonium (NH</w:t>
      </w:r>
      <w:r w:rsidRPr="009867C1">
        <w:rPr>
          <w:vertAlign w:val="subscript"/>
          <w:lang w:val="en-CA"/>
        </w:rPr>
        <w:t>4</w:t>
      </w:r>
      <w:r w:rsidRPr="009867C1">
        <w:rPr>
          <w:vertAlign w:val="superscript"/>
          <w:lang w:val="en-CA"/>
        </w:rPr>
        <w:t>+</w:t>
      </w:r>
      <w:r w:rsidRPr="009867C1">
        <w:rPr>
          <w:lang w:val="en-CA"/>
        </w:rPr>
        <w:t>)</w:t>
      </w:r>
      <w:r w:rsidR="00051A62">
        <w:rPr>
          <w:lang w:val="en-CA"/>
        </w:rPr>
        <w:t>,</w:t>
      </w:r>
      <w:r w:rsidRPr="009867C1">
        <w:rPr>
          <w:lang w:val="en-CA"/>
        </w:rPr>
        <w:t xml:space="preserve"> nitrate (NO</w:t>
      </w:r>
      <w:r w:rsidRPr="009867C1">
        <w:rPr>
          <w:vertAlign w:val="subscript"/>
          <w:lang w:val="en-CA"/>
        </w:rPr>
        <w:t>3</w:t>
      </w:r>
      <w:r w:rsidRPr="009867C1">
        <w:rPr>
          <w:vertAlign w:val="superscript"/>
          <w:lang w:val="en-CA"/>
        </w:rPr>
        <w:t>-</w:t>
      </w:r>
      <w:r w:rsidRPr="009867C1">
        <w:rPr>
          <w:lang w:val="en-CA"/>
        </w:rPr>
        <w:t>),</w:t>
      </w:r>
      <w:r w:rsidR="00051A62">
        <w:rPr>
          <w:lang w:val="en-CA"/>
        </w:rPr>
        <w:t xml:space="preserve"> and sulfur (S); and positive trends in</w:t>
      </w:r>
      <w:r w:rsidRPr="009867C1">
        <w:rPr>
          <w:lang w:val="en-CA"/>
        </w:rPr>
        <w:t xml:space="preserve"> exchangeable phosphorus (P), magnesium (Mg</w:t>
      </w:r>
      <w:r w:rsidRPr="009867C1">
        <w:rPr>
          <w:vertAlign w:val="superscript"/>
          <w:lang w:val="en-CA"/>
        </w:rPr>
        <w:t>2+</w:t>
      </w:r>
      <w:r w:rsidRPr="009867C1">
        <w:rPr>
          <w:lang w:val="en-CA"/>
        </w:rPr>
        <w:t>), and sodium (Na</w:t>
      </w:r>
      <w:r w:rsidRPr="009867C1">
        <w:rPr>
          <w:vertAlign w:val="superscript"/>
          <w:lang w:val="en-CA"/>
        </w:rPr>
        <w:t>+</w:t>
      </w:r>
      <w:r w:rsidRPr="009867C1">
        <w:rPr>
          <w:lang w:val="en-CA"/>
        </w:rPr>
        <w:t>) below waterfalls. This was accompanied by significantly lower pH and</w:t>
      </w:r>
      <w:r w:rsidR="00051A62">
        <w:rPr>
          <w:lang w:val="en-CA"/>
        </w:rPr>
        <w:t xml:space="preserve"> a negative trend in</w:t>
      </w:r>
      <w:r w:rsidRPr="009867C1">
        <w:rPr>
          <w:lang w:val="en-CA"/>
        </w:rPr>
        <w:t xml:space="preserve"> manganese (Mn) below falls. I also found vegetation, soil depth, and distance from the stream to be important factors in structuring soil chemistry. </w:t>
      </w:r>
    </w:p>
    <w:p w14:paraId="17709439" w14:textId="2CDF31CC" w:rsidR="00697585" w:rsidRPr="009867C1" w:rsidRDefault="00697585" w:rsidP="00697585">
      <w:pPr>
        <w:spacing w:line="360" w:lineRule="auto"/>
        <w:ind w:firstLine="720"/>
        <w:rPr>
          <w:lang w:val="en-CA"/>
        </w:rPr>
      </w:pPr>
      <w:r w:rsidRPr="009867C1">
        <w:rPr>
          <w:lang w:val="en-CA"/>
        </w:rPr>
        <w:t>These data led to my acceptance of the hypothesis that salmon inputs are, in aggregate, important in structuring soil chemistry</w:t>
      </w:r>
      <w:r w:rsidR="001B4AAE">
        <w:rPr>
          <w:lang w:val="en-CA"/>
        </w:rPr>
        <w:t xml:space="preserve"> and improving fertility</w:t>
      </w:r>
      <w:r w:rsidRPr="009867C1">
        <w:rPr>
          <w:lang w:val="en-CA"/>
        </w:rPr>
        <w:t xml:space="preserve"> at these sites. I </w:t>
      </w:r>
      <w:r w:rsidR="001B4AAE">
        <w:rPr>
          <w:lang w:val="en-CA"/>
        </w:rPr>
        <w:t>had high confidence in the</w:t>
      </w:r>
      <w:r w:rsidRPr="009867C1">
        <w:rPr>
          <w:lang w:val="en-CA"/>
        </w:rPr>
        <w:t xml:space="preserve"> evidence </w:t>
      </w:r>
      <w:r w:rsidR="001B4AAE">
        <w:rPr>
          <w:lang w:val="en-CA"/>
        </w:rPr>
        <w:t>that</w:t>
      </w:r>
      <w:r w:rsidRPr="009867C1">
        <w:rPr>
          <w:lang w:val="en-CA"/>
        </w:rPr>
        <w:t xml:space="preserve"> nitrate and ammonium increase</w:t>
      </w:r>
      <w:r w:rsidR="001B4AAE">
        <w:rPr>
          <w:lang w:val="en-CA"/>
        </w:rPr>
        <w:t>d</w:t>
      </w:r>
      <w:r w:rsidRPr="009867C1">
        <w:rPr>
          <w:lang w:val="en-CA"/>
        </w:rPr>
        <w:t xml:space="preserve"> with salmon inputs, a</w:t>
      </w:r>
      <w:r w:rsidR="001B4AAE">
        <w:rPr>
          <w:lang w:val="en-CA"/>
        </w:rPr>
        <w:t>nd</w:t>
      </w:r>
      <w:r w:rsidRPr="009867C1">
        <w:rPr>
          <w:lang w:val="en-CA"/>
        </w:rPr>
        <w:t xml:space="preserve"> </w:t>
      </w:r>
      <w:r w:rsidR="001B4AAE">
        <w:rPr>
          <w:lang w:val="en-CA"/>
        </w:rPr>
        <w:t>m</w:t>
      </w:r>
      <w:r w:rsidR="00FF78B1">
        <w:rPr>
          <w:lang w:val="en-CA"/>
        </w:rPr>
        <w:t>oderate</w:t>
      </w:r>
      <w:r w:rsidR="001B4AAE">
        <w:rPr>
          <w:lang w:val="en-CA"/>
        </w:rPr>
        <w:t xml:space="preserve"> confidence that salmon </w:t>
      </w:r>
      <w:r w:rsidRPr="009867C1">
        <w:rPr>
          <w:lang w:val="en-CA"/>
        </w:rPr>
        <w:t>increase</w:t>
      </w:r>
      <w:r w:rsidR="001B4AAE">
        <w:rPr>
          <w:lang w:val="en-CA"/>
        </w:rPr>
        <w:t>d</w:t>
      </w:r>
      <w:r w:rsidRPr="009867C1">
        <w:rPr>
          <w:lang w:val="en-CA"/>
        </w:rPr>
        <w:t xml:space="preserve"> calcium</w:t>
      </w:r>
      <w:r w:rsidR="001B4AAE">
        <w:rPr>
          <w:lang w:val="en-CA"/>
        </w:rPr>
        <w:t xml:space="preserve"> and phosphorus concentrations</w:t>
      </w:r>
      <w:r w:rsidRPr="009867C1">
        <w:rPr>
          <w:lang w:val="en-CA"/>
        </w:rPr>
        <w:t xml:space="preserve">. I also found that other exchangeable cations (primarily potassium and magnesium) decreased with salmon density. This was consistent with my alternative hypothesis where, similar to agricultural systems, high levels of N-inputs would result in nitrogen-driven acidification and nitrate-cation co-leaching. </w:t>
      </w:r>
      <w:r w:rsidR="001B4AAE">
        <w:rPr>
          <w:lang w:val="en-CA"/>
        </w:rPr>
        <w:t>There was some</w:t>
      </w:r>
      <w:r w:rsidRPr="009867C1">
        <w:rPr>
          <w:lang w:val="en-CA"/>
        </w:rPr>
        <w:t xml:space="preserve"> evidence of acidification, and interpreted this as evidence that nitrate-assisted co-leaching</w:t>
      </w:r>
      <w:r w:rsidR="001B4AAE">
        <w:rPr>
          <w:lang w:val="en-CA"/>
        </w:rPr>
        <w:t xml:space="preserve"> of cations</w:t>
      </w:r>
      <w:r w:rsidRPr="009867C1">
        <w:rPr>
          <w:lang w:val="en-CA"/>
        </w:rPr>
        <w:t xml:space="preserve"> </w:t>
      </w:r>
      <w:r w:rsidR="001B4AAE">
        <w:rPr>
          <w:lang w:val="en-CA"/>
        </w:rPr>
        <w:t>could be</w:t>
      </w:r>
      <w:r w:rsidRPr="009867C1">
        <w:rPr>
          <w:lang w:val="en-CA"/>
        </w:rPr>
        <w:t xml:space="preserve"> occurring, but calcium may be replaced via direct deposition from salmon carcasses more quickly than it was being lost. I also questioned whether inorganic models of N-addition are appropriate for the organic and stoichiometrically diverse additions embodied by salmon carcasses, and argue for the centering of soil </w:t>
      </w:r>
      <w:r w:rsidR="00141D33">
        <w:rPr>
          <w:lang w:val="en-CA"/>
        </w:rPr>
        <w:t>classification</w:t>
      </w:r>
      <w:r w:rsidRPr="009867C1">
        <w:rPr>
          <w:lang w:val="en-CA"/>
        </w:rPr>
        <w:t xml:space="preserve"> in discussing net impacts of salmon inputs on soil chemistry. In total, I found a complex suite of soil chemical changes associated with salmon inputs, and that these changes are consistent with the hypothesis of a general increase in fertility at these sites. </w:t>
      </w:r>
    </w:p>
    <w:p w14:paraId="54F30ED8" w14:textId="77777777" w:rsidR="00697585" w:rsidRPr="009867C1" w:rsidRDefault="00697585" w:rsidP="00697585">
      <w:pPr>
        <w:spacing w:line="360" w:lineRule="auto"/>
        <w:ind w:firstLine="720"/>
      </w:pPr>
    </w:p>
    <w:p w14:paraId="0B8D60E5" w14:textId="77777777" w:rsidR="00697585" w:rsidRPr="009867C1" w:rsidRDefault="00697585" w:rsidP="00697585">
      <w:pPr>
        <w:spacing w:line="360" w:lineRule="auto"/>
      </w:pPr>
    </w:p>
    <w:p w14:paraId="49CADE4C" w14:textId="77777777" w:rsidR="00697585" w:rsidRPr="009867C1" w:rsidRDefault="00697585" w:rsidP="00697585">
      <w:pPr>
        <w:pStyle w:val="Heading3"/>
        <w:spacing w:line="360" w:lineRule="auto"/>
      </w:pPr>
      <w:bookmarkStart w:id="284" w:name="_Toc99385507"/>
      <w:r w:rsidRPr="009867C1">
        <w:t>Synopsis of Chapter 3</w:t>
      </w:r>
      <w:bookmarkEnd w:id="284"/>
    </w:p>
    <w:p w14:paraId="66282D6D" w14:textId="06FDE626" w:rsidR="00697585" w:rsidRPr="009867C1" w:rsidRDefault="00697585" w:rsidP="00697585">
      <w:pPr>
        <w:spacing w:line="360" w:lineRule="auto"/>
        <w:ind w:firstLine="720"/>
      </w:pPr>
      <w:r w:rsidRPr="009867C1">
        <w:t>Chapter 3</w:t>
      </w:r>
      <w:r w:rsidR="00621E18" w:rsidRPr="009867C1">
        <w:t xml:space="preserve"> asked ‘how do salmon inputs affect mushrooms’, and</w:t>
      </w:r>
      <w:r w:rsidRPr="009867C1">
        <w:t xml:space="preserve"> </w:t>
      </w:r>
      <w:r w:rsidR="00621E18" w:rsidRPr="009867C1">
        <w:t xml:space="preserve">attempted to make inferences on </w:t>
      </w:r>
      <w:r w:rsidRPr="009867C1">
        <w:t>nutrient cycling in salmon forests</w:t>
      </w:r>
      <w:r w:rsidR="00621E18" w:rsidRPr="009867C1">
        <w:t>. I</w:t>
      </w:r>
      <w:r w:rsidRPr="009867C1">
        <w:t xml:space="preserve"> used δ</w:t>
      </w:r>
      <w:r w:rsidRPr="009867C1">
        <w:rPr>
          <w:vertAlign w:val="superscript"/>
        </w:rPr>
        <w:t>15</w:t>
      </w:r>
      <w:r w:rsidRPr="009867C1">
        <w:t>N and δ</w:t>
      </w:r>
      <w:r w:rsidRPr="009867C1">
        <w:rPr>
          <w:vertAlign w:val="superscript"/>
        </w:rPr>
        <w:t>13</w:t>
      </w:r>
      <w:r w:rsidRPr="009867C1">
        <w:t>C natural abundance as primary signals to understand nutrient stocks and flows. δ</w:t>
      </w:r>
      <w:r w:rsidRPr="009867C1">
        <w:rPr>
          <w:vertAlign w:val="superscript"/>
        </w:rPr>
        <w:t>15</w:t>
      </w:r>
      <w:r w:rsidRPr="009867C1">
        <w:t>N is one of the primary measures used in the literature to quantify salmon inputs to riparian systems, and thus I was able to add mushroom sporocarps to the growing literature on salmon-associated δ</w:t>
      </w:r>
      <w:r w:rsidRPr="009867C1">
        <w:rPr>
          <w:vertAlign w:val="superscript"/>
        </w:rPr>
        <w:t>15</w:t>
      </w:r>
      <w:r w:rsidRPr="009867C1">
        <w:t>N. I found that δ</w:t>
      </w:r>
      <w:r w:rsidRPr="009867C1">
        <w:rPr>
          <w:vertAlign w:val="superscript"/>
        </w:rPr>
        <w:t>15</w:t>
      </w:r>
      <w:r w:rsidRPr="009867C1">
        <w:t>N increased monotonically in sporocarps, soil, vegetation, and litter along the salmon gradient. This is consistent with past studies on the Central Coast</w:t>
      </w:r>
      <w:r w:rsidR="00141D33">
        <w:t xml:space="preserve"> of British Columbia</w:t>
      </w:r>
      <w:r w:rsidRPr="009867C1">
        <w:t xml:space="preserve"> and other regions and is consistent with salmon-N being pervasive and well distributed throughout these systems. </w:t>
      </w:r>
    </w:p>
    <w:p w14:paraId="2E63A9B5" w14:textId="54EF4D77" w:rsidR="00697585" w:rsidRPr="009867C1" w:rsidRDefault="00697585" w:rsidP="00697585">
      <w:pPr>
        <w:spacing w:line="360" w:lineRule="auto"/>
        <w:ind w:firstLine="720"/>
      </w:pPr>
      <w:r w:rsidRPr="009867C1">
        <w:t>Previous work has also used these measures as proxies to investigate the level of mycorrhizal transfer between plants and their symbiotic fungi</w:t>
      </w:r>
      <w:r w:rsidR="00621E18" w:rsidRPr="009867C1">
        <w:t xml:space="preserve"> </w:t>
      </w:r>
      <w:r w:rsidR="00D34627" w:rsidRPr="009867C1">
        <w:fldChar w:fldCharType="begin"/>
      </w:r>
      <w:r w:rsidR="00AC0205">
        <w:instrText xml:space="preserve"> ADDIN ZOTERO_ITEM CSL_CITATION {"citationID":"piip4GKh","properties":{"formattedCitation":"(J. E. Hobbie &amp; Hobbie, 2006)","plainCitation":"(J. E. Hobbie &amp; Hobbie, 2006)","noteIndex":0},"citationItems":[{"id":1895,"uris":["http://zotero.org/users/2189142/items/MTZBPUS7"],"itemData":{"id":1895,"type":"article-journal","abstract":"When soil nitrogen is in short supply, most terrestrial plants form symbioses with fungi (mycorrhizae): hyphae take up soil nitrogen, transport it into plant roots, and receive plant sugars in return. In ecosystems, the transfers within the pathway fractionate nitrogen isotopes so that the natural abundance of 15N in fungi differs from that in their host plants by as much as 12‰. Here we present a new method to quantify carbon and nitrogen fluxes in the symbiosis based on the fractionation against 15N during transfer of nitrogen from fungi to plant roots. We tested this method, which is based on the mass balance of 15N, with data from arctic Alaska where the nitrogen cycle is well studied. Mycorrhizal fungi provided 61–86% of the nitrogen in plants; plants provided 8–17% of their photosynthetic carbon to the fungi for growth and respiration. This method of analysis avoids the disturbance of the soil–microbe–root relationship caused by collecting samples, mixing the soil, or changing substrate concentrations. This analytical technique also can be applied to other nitrogen-limited ecosystems, such as many temperate and boreal forests, to quantify the importance for terrestrial carbon and nitrogen cycling of nutrient transfers mediated by mycorrhizae at the plant–soil interface.","container-title":"Ecology","DOI":"10.1890/0012-9658(2006)87[816:NISFAP]2.0.CO;2","ISSN":"1939-9170","issue":"4","language":"en","note":"_eprint: https://onlinelibrary.wiley.com/doi/pdf/10.1890/0012-9658%282006%2987%5B816%3ANISFAP%5D2.0.CO%3B2","page":"816-822","source":"Wiley Online Library","title":"15n in Symbiotic Fungi and Plants Estimates Nitrogen and Carbon Flux Rates in Arctic Tundra","volume":"87","author":[{"family":"Hobbie","given":"John E."},{"family":"Hobbie","given":"Erik A."}],"issued":{"date-parts":[["2006"]]},"citation-key":"hobbie_2006"}}],"schema":"https://github.com/citation-style-language/schema/raw/master/csl-citation.json"} </w:instrText>
      </w:r>
      <w:r w:rsidR="00D34627" w:rsidRPr="009867C1">
        <w:fldChar w:fldCharType="separate"/>
      </w:r>
      <w:r w:rsidR="0042141C" w:rsidRPr="009867C1">
        <w:t>(J. E. Hobbie &amp; Hobbie, 2006)</w:t>
      </w:r>
      <w:r w:rsidR="00D34627" w:rsidRPr="009867C1">
        <w:fldChar w:fldCharType="end"/>
      </w:r>
      <w:r w:rsidRPr="009867C1">
        <w:t>, allowing me to ask whether nutrient inputs from salmon affected these transfer rates. Inorganic nitrogen inputs have been shown to reduce mycorrhizal transfer rates in boreal systems</w:t>
      </w:r>
      <w:r w:rsidR="00D34627" w:rsidRPr="009867C1">
        <w:t xml:space="preserve"> </w:t>
      </w:r>
      <w:r w:rsidR="00D34627" w:rsidRPr="009867C1">
        <w:fldChar w:fldCharType="begin"/>
      </w:r>
      <w:r w:rsidR="00AC0205">
        <w:instrText xml:space="preserve"> ADDIN ZOTERO_ITEM CSL_CITATION {"citationID":"fvEd3iOX","properties":{"formattedCitation":"(E. A. Hobbie et al., 2019)","plainCitation":"(E. A. Hobbie et al., 2019)","noteIndex":0},"citationItems":[{"id":1663,"uris":["http://zotero.org/users/2189142/items/V3262PM4"],"itemData":{"id":1663,"type":"article-journal","abstract":"To assess how nitrogen (N) availability affected ectomycorrhizal functioning and to test a theoretical model of ectomycorrhizal 15N partitioning, we measured C/N and δ15N in soils and nine fungal taxa in two Swedish N addition experiments. Sporocarp C/N and soil C/N decreased with fertilization, implying that N uptake per unit fungal growth increased. The S horizon was more responsive than the F and H horizons to changes in N addition, with N turnover for these horizons of 24, 57, and 57 y, respectively. Fungal and soil δ15N patterns identified fungal N sources, with N acquisition primarily from the S, F, or H horizon for two, five, and two taxa, respectively. With increasing N availability, sporocarp 15N enrichment increased in five taxa, in agreement with our model of fungal-plant N partitioning. However, it decreased in Lactarius rufus and Russula aeruginea, perhaps indicating shifts towards greater inorganic N uptake in these two taxa. This may relate to the generally lower sensitivity of these taxa to N deposition compared to the Cortinarius and Suillus taxa that fit our model of 15N partitioning.","container-title":"Fungal Ecology","DOI":"10.1016/j.funeco.2018.12.013","ISSN":"1754-5048","journalAbbreviation":"Fungal Ecology","language":"en","page":"267-275","source":"ScienceDirect","title":"Fertilization alters nitrogen isotopes and concentrations in ectomycorrhizal fungi and soil in pine forests","volume":"39","author":[{"family":"Hobbie","given":"Erik A."},{"family":"Chen","given":"Janet"},{"family":"Hasselquist","given":"Niles J."}],"issued":{"date-parts":[["2019",6,1]]},"citation-key":"hobbie_2019"}}],"schema":"https://github.com/citation-style-language/schema/raw/master/csl-citation.json"} </w:instrText>
      </w:r>
      <w:r w:rsidR="00D34627" w:rsidRPr="009867C1">
        <w:fldChar w:fldCharType="separate"/>
      </w:r>
      <w:r w:rsidR="0042141C" w:rsidRPr="009867C1">
        <w:t>(E. A. Hobbie et al., 2019)</w:t>
      </w:r>
      <w:r w:rsidR="00D34627" w:rsidRPr="009867C1">
        <w:fldChar w:fldCharType="end"/>
      </w:r>
      <w:r w:rsidRPr="009867C1">
        <w:t>, while spatially clustered nutrients are theorized to increase mycorrhizal transfer rates</w:t>
      </w:r>
      <w:r w:rsidR="00D34627" w:rsidRPr="009867C1">
        <w:t xml:space="preserve"> </w:t>
      </w:r>
      <w:r w:rsidR="00D34627" w:rsidRPr="009867C1">
        <w:fldChar w:fldCharType="begin"/>
      </w:r>
      <w:r w:rsidR="00AC0205">
        <w:instrText xml:space="preserve"> ADDIN ZOTERO_ITEM CSL_CITATION {"citationID":"ZE84Ev3c","properties":{"formattedCitation":"(Moeller &amp; Neubert, 2015)","plainCitation":"(Moeller &amp; Neubert, 2015)","noteIndex":0},"citationItems":[{"id":835,"uris":["http://zotero.org/users/2189142/items/DAAITFA2"],"itemData":{"id":835,"type":"article-journal","abstract":"Most mutualisms in nature involve interactions between multispecies mutualist guilds and multiple partner species. While mechanisms such as niche partitioning can explain part of this diversity, the presence of low-quality partners, which produce relatively low returns on investment compared with other guild members, is not well understood. Here, we consider a novel explanation for this persistence: that low-quality partners are actively maintained by their hosts as part of a growth-maximizing strategy, even in the presence of higher-quality alternatives. We use a model inspired by the interaction between host trees and ectomycorrhizal fungi to demonstrate that when the environment is variable, trees maintain low-quality fungal partners that they would not otherwise maintain in constant environments. This active investment, which emerges as a response to saturating returns on investment in higher-quality partners, could contribute to the maintenance of diversity in multispecies mutualisms.","container-title":"The American Naturalist","DOI":"10.1086/684103","ISSN":"0003-0147","issue":"1","journalAbbreviation":"The American Naturalist","page":"E1-E12","source":"journals.uchicago.edu.ezproxy.library.ubc.ca (Atypon)","title":"Multiple Friends with Benefits: An Optimal Mutualist Management Strategy?","title-short":"Multiple Friends with Benefits","volume":"187","author":[{"family":"Moeller","given":"Holly V."},{"family":"Neubert","given":"Michael G."}],"issued":{"date-parts":[["2015",12,30]]},"citation-key":"moeller_2015a"}}],"schema":"https://github.com/citation-style-language/schema/raw/master/csl-citation.json"} </w:instrText>
      </w:r>
      <w:r w:rsidR="00D34627" w:rsidRPr="009867C1">
        <w:fldChar w:fldCharType="separate"/>
      </w:r>
      <w:r w:rsidR="0042141C" w:rsidRPr="009867C1">
        <w:t>(Moeller &amp; Neubert, 2015)</w:t>
      </w:r>
      <w:r w:rsidR="00D34627" w:rsidRPr="009867C1">
        <w:fldChar w:fldCharType="end"/>
      </w:r>
      <w:r w:rsidRPr="009867C1">
        <w:t>.  Reductions in mycorrhizal transfer rates predict a convergence between belowground and aboveground δ</w:t>
      </w:r>
      <w:r w:rsidRPr="009867C1">
        <w:rPr>
          <w:vertAlign w:val="superscript"/>
        </w:rPr>
        <w:t>15</w:t>
      </w:r>
      <w:r w:rsidRPr="009867C1">
        <w:t>N values, and increases in transfer rates predict a divergence between these compartments. I found no evidence of either along the salmon density gradient I investigated</w:t>
      </w:r>
      <w:r w:rsidR="00D34627" w:rsidRPr="009867C1">
        <w:t>, and δ</w:t>
      </w:r>
      <w:r w:rsidR="00D34627" w:rsidRPr="009867C1">
        <w:rPr>
          <w:vertAlign w:val="superscript"/>
        </w:rPr>
        <w:t>15</w:t>
      </w:r>
      <w:r w:rsidR="00D34627" w:rsidRPr="009867C1">
        <w:t xml:space="preserve">N differences between ecosystem compartments </w:t>
      </w:r>
      <w:r w:rsidR="001D0D03" w:rsidRPr="009867C1">
        <w:t xml:space="preserve">were </w:t>
      </w:r>
      <w:r w:rsidR="00D34627" w:rsidRPr="009867C1">
        <w:t>consistent across the salmon gradient.</w:t>
      </w:r>
      <w:r w:rsidRPr="009867C1">
        <w:t xml:space="preserve"> </w:t>
      </w:r>
      <w:r w:rsidR="001D0D03" w:rsidRPr="009867C1">
        <w:t>The most parsimonious interpretation of this was that</w:t>
      </w:r>
      <w:r w:rsidRPr="009867C1">
        <w:t xml:space="preserve"> salmon inputs do not change</w:t>
      </w:r>
      <w:r w:rsidR="00382A8A" w:rsidRPr="009867C1">
        <w:t xml:space="preserve"> mycorrhizal</w:t>
      </w:r>
      <w:r w:rsidRPr="009867C1">
        <w:t xml:space="preserve"> transfer rates in these systems</w:t>
      </w:r>
      <w:r w:rsidR="001D0D03" w:rsidRPr="009867C1">
        <w:t xml:space="preserve">, but it is possible that </w:t>
      </w:r>
      <w:r w:rsidRPr="009867C1">
        <w:t xml:space="preserve">both </w:t>
      </w:r>
      <w:r w:rsidR="001D0D03" w:rsidRPr="009867C1">
        <w:t xml:space="preserve">a decrease in transfer rate due to fertilization and an increase due to spatial effects were occurring </w:t>
      </w:r>
      <w:r w:rsidRPr="009867C1">
        <w:t xml:space="preserve">in such a way as to compensate for each other. </w:t>
      </w:r>
      <w:r w:rsidR="00141D33">
        <w:t xml:space="preserve">How fertilization affects mycorrhizal transfer rates </w:t>
      </w:r>
      <w:r w:rsidR="00382A8A" w:rsidRPr="009867C1">
        <w:t>has general applications in agriculture and other fields, and f</w:t>
      </w:r>
      <w:r w:rsidRPr="009867C1">
        <w:t>urther</w:t>
      </w:r>
      <w:r w:rsidR="00382A8A" w:rsidRPr="009867C1">
        <w:t xml:space="preserve"> experimental and theoretical</w:t>
      </w:r>
      <w:r w:rsidRPr="009867C1">
        <w:t xml:space="preserve"> work will need to be done to distinguish these hypotheses.</w:t>
      </w:r>
    </w:p>
    <w:p w14:paraId="407248F0" w14:textId="3EAECB1F" w:rsidR="00697585" w:rsidRDefault="00382A8A" w:rsidP="00697585">
      <w:pPr>
        <w:spacing w:line="360" w:lineRule="auto"/>
        <w:ind w:firstLine="720"/>
      </w:pPr>
      <w:r w:rsidRPr="009867C1">
        <w:t>Finally, I note that interpretation of</w:t>
      </w:r>
      <w:r w:rsidR="00697585" w:rsidRPr="009867C1">
        <w:t xml:space="preserve"> these ecosystem-level patterns is challenging, and my interpretation was confronted by a lack of scientific knowledge in general on chemical functioning in acidic organic forest soils. </w:t>
      </w:r>
      <w:r w:rsidRPr="009867C1">
        <w:t>Specifically, f</w:t>
      </w:r>
      <w:r w:rsidR="00697585" w:rsidRPr="009867C1">
        <w:t>uture quantification of volatilization rates through both denitrification and ammonification will aid in answering these questions, as well as measurement</w:t>
      </w:r>
      <w:r w:rsidRPr="009867C1">
        <w:t>s</w:t>
      </w:r>
      <w:r w:rsidR="00697585" w:rsidRPr="009867C1">
        <w:t xml:space="preserve"> of</w:t>
      </w:r>
      <w:r w:rsidR="00141D33">
        <w:t xml:space="preserve"> the dissimilatory-nitrate-reduction-to-ammonia</w:t>
      </w:r>
      <w:r w:rsidR="00697585" w:rsidRPr="009867C1">
        <w:t xml:space="preserve"> </w:t>
      </w:r>
      <w:r w:rsidR="00141D33">
        <w:t>(</w:t>
      </w:r>
      <w:r w:rsidR="00697585" w:rsidRPr="009867C1">
        <w:t>DNRA</w:t>
      </w:r>
      <w:r w:rsidR="00141D33">
        <w:t>)</w:t>
      </w:r>
      <w:r w:rsidR="00697585" w:rsidRPr="009867C1">
        <w:t xml:space="preserve"> in </w:t>
      </w:r>
      <w:r w:rsidR="00141D33">
        <w:t>C</w:t>
      </w:r>
      <w:r w:rsidR="00697585" w:rsidRPr="009867C1">
        <w:t xml:space="preserve">entral </w:t>
      </w:r>
      <w:r w:rsidR="00141D33">
        <w:t>C</w:t>
      </w:r>
      <w:r w:rsidR="00697585" w:rsidRPr="009867C1">
        <w:t>oast Folisols. I also note that these dynamics may be different in nutrient hotspots directly under salmon, and underscore that the interpretation of δ</w:t>
      </w:r>
      <w:r w:rsidR="00697585" w:rsidRPr="009867C1">
        <w:rPr>
          <w:vertAlign w:val="superscript"/>
        </w:rPr>
        <w:t>15</w:t>
      </w:r>
      <w:r w:rsidR="00697585" w:rsidRPr="009867C1">
        <w:t xml:space="preserve">N values in salmon forests </w:t>
      </w:r>
      <w:r w:rsidRPr="009867C1">
        <w:t>require</w:t>
      </w:r>
      <w:r w:rsidR="00697585" w:rsidRPr="009867C1">
        <w:t xml:space="preserve"> </w:t>
      </w:r>
      <w:r w:rsidRPr="009867C1">
        <w:t xml:space="preserve">a holistic approach cognizant of both bulk flow and associated isotopic fractionation </w:t>
      </w:r>
      <w:r w:rsidR="008D3F29">
        <w:t>processes</w:t>
      </w:r>
      <w:r w:rsidRPr="009867C1">
        <w:t>.</w:t>
      </w:r>
    </w:p>
    <w:p w14:paraId="52B34D03" w14:textId="77777777" w:rsidR="00020E52" w:rsidRPr="009867C1" w:rsidRDefault="00020E52" w:rsidP="00697585">
      <w:pPr>
        <w:spacing w:line="360" w:lineRule="auto"/>
        <w:ind w:firstLine="720"/>
      </w:pPr>
    </w:p>
    <w:p w14:paraId="507149F8" w14:textId="77777777" w:rsidR="00697585" w:rsidRPr="009867C1" w:rsidRDefault="00697585" w:rsidP="00697585">
      <w:pPr>
        <w:pStyle w:val="Heading3"/>
        <w:spacing w:line="360" w:lineRule="auto"/>
      </w:pPr>
      <w:bookmarkStart w:id="285" w:name="_Toc99385508"/>
      <w:r w:rsidRPr="009867C1">
        <w:t>Synopsis of Chapter 4</w:t>
      </w:r>
      <w:bookmarkEnd w:id="285"/>
    </w:p>
    <w:p w14:paraId="2C967FA2" w14:textId="596CDA4F" w:rsidR="00697585" w:rsidRPr="009867C1" w:rsidRDefault="00697585" w:rsidP="00697585">
      <w:pPr>
        <w:spacing w:line="360" w:lineRule="auto"/>
        <w:ind w:firstLine="720"/>
      </w:pPr>
      <w:r w:rsidRPr="009867C1">
        <w:t xml:space="preserve">In Chapter 4 I </w:t>
      </w:r>
      <w:r w:rsidR="00FF29E2" w:rsidRPr="009867C1">
        <w:t xml:space="preserve">asked ‘how do salmon inputs </w:t>
      </w:r>
      <w:r w:rsidR="00141D33">
        <w:t>affect</w:t>
      </w:r>
      <w:r w:rsidR="00FF29E2" w:rsidRPr="009867C1">
        <w:t xml:space="preserve"> soil fungal communities’, and I </w:t>
      </w:r>
      <w:r w:rsidRPr="009867C1">
        <w:t xml:space="preserve">investigated the effects of MDN on </w:t>
      </w:r>
      <w:r w:rsidR="00FF29E2" w:rsidRPr="009867C1">
        <w:t xml:space="preserve">both organic </w:t>
      </w:r>
      <w:r w:rsidRPr="009867C1">
        <w:t>soil and</w:t>
      </w:r>
      <w:r w:rsidR="00FF29E2" w:rsidRPr="009867C1">
        <w:t xml:space="preserve"> the</w:t>
      </w:r>
      <w:r w:rsidRPr="009867C1">
        <w:t xml:space="preserve"> forest floor. To do so, I employed next-generation environmental sequencing on the same regional salmon density gradient and above and below waterfall soil samples as chapters 2 and 5, using two sequence barcoding targets – one for the internal transcribed spacer region (ITS),</w:t>
      </w:r>
      <w:r w:rsidR="00FF29E2" w:rsidRPr="009867C1">
        <w:t xml:space="preserve"> targeting ectomycorrhizal fungi,</w:t>
      </w:r>
      <w:r w:rsidRPr="009867C1">
        <w:t xml:space="preserve"> and another for the RNA small subunit (SSU)</w:t>
      </w:r>
      <w:r w:rsidR="00FF29E2" w:rsidRPr="009867C1">
        <w:t>, targeting arbuscular mycorrhizal fungi</w:t>
      </w:r>
      <w:r w:rsidR="0077391E" w:rsidRPr="009867C1">
        <w:t>; however, I found both amplicons amplified both types of fungi</w:t>
      </w:r>
      <w:r w:rsidRPr="009867C1">
        <w:t>. I looked at how fungal</w:t>
      </w:r>
      <w:r w:rsidR="00375630">
        <w:t xml:space="preserve"> relative</w:t>
      </w:r>
      <w:r w:rsidRPr="009867C1">
        <w:t xml:space="preserve"> abundance changed with salmon inputs, as well as α-diversity as measured by both species’ richness and Shannon’s index. β- diversity was investigated on the entire dataset, as well as community structuring via phylogenetic dispersion. All of these response variables were also correlated with vegetation measures as covariates, as well as the soil chemistry values obtained in Chapter 2. </w:t>
      </w:r>
      <w:r w:rsidR="00FF29E2" w:rsidRPr="009867C1">
        <w:t xml:space="preserve">Finally, </w:t>
      </w:r>
      <w:r w:rsidRPr="009867C1">
        <w:t>I also used differential expression analysis to highlight particular fungal taxa that either changed in abundance with salmon input. Since I was particularly interested in changes in mycorrhizal fungi (symbiotrophs), where possible these analyses were repeated separating reads by trophic mode (i</w:t>
      </w:r>
      <w:r w:rsidR="004C7516">
        <w:t>.</w:t>
      </w:r>
      <w:r w:rsidRPr="009867C1">
        <w:t xml:space="preserve">e. either saprotrophic or symbiotrophic). </w:t>
      </w:r>
    </w:p>
    <w:p w14:paraId="24AB4258" w14:textId="53F9BB6F" w:rsidR="00697585" w:rsidRPr="009867C1" w:rsidRDefault="00697585" w:rsidP="00697585">
      <w:pPr>
        <w:spacing w:line="360" w:lineRule="auto"/>
        <w:ind w:firstLine="720"/>
      </w:pPr>
      <w:r w:rsidRPr="009867C1">
        <w:t xml:space="preserve">I found that salmon inputs impacted symbiotrophs more than saprotrophs. Salmon inputs were significant factors in all β-diversity ordinations, demonstrating that diversity on a regional scale is affected by MDN inputs. Salmon inputs had no effect on ITS read abundance, but increased symbiotrophic SSU abundance. Species richness and Shannon diversity increased </w:t>
      </w:r>
      <w:r w:rsidR="00095221">
        <w:t>with</w:t>
      </w:r>
      <w:r w:rsidRPr="009867C1">
        <w:t xml:space="preserve"> salmon inputs in ITS reads, but not SSU reads. Phylogenetic dispersion was negative in all communities</w:t>
      </w:r>
      <w:r w:rsidR="0098068D" w:rsidRPr="009867C1">
        <w:t xml:space="preserve"> (i</w:t>
      </w:r>
      <w:r w:rsidR="004C7516">
        <w:t>.</w:t>
      </w:r>
      <w:r w:rsidR="0098068D" w:rsidRPr="009867C1">
        <w:t>e. they were underdispersed)</w:t>
      </w:r>
      <w:r w:rsidRPr="009867C1">
        <w:t>, but</w:t>
      </w:r>
      <w:r w:rsidR="0098068D" w:rsidRPr="009867C1">
        <w:t xml:space="preserve"> this</w:t>
      </w:r>
      <w:r w:rsidRPr="009867C1">
        <w:t xml:space="preserve"> had no correlation with salmon inputs. Among ITS reads, I found that phosphorus, manganese, and surrounding vegetation were important correlates with these metrics. Among SSU reads, I found that distance to the stream, ammonium concentrations, and phosphorus were particularly important. These findings point to salmon inputs being important in directly structuring fungal diversity and community composition through carcass-mediated nitrogen and phosphorus inputs, as well as indirectly via changes in vegetation structure and soil chemistry. </w:t>
      </w:r>
    </w:p>
    <w:p w14:paraId="591CF14D" w14:textId="4D310B78" w:rsidR="00697585" w:rsidRPr="009867C1" w:rsidRDefault="00697585" w:rsidP="00697585">
      <w:pPr>
        <w:spacing w:line="360" w:lineRule="auto"/>
        <w:ind w:firstLine="720"/>
      </w:pPr>
      <w:r w:rsidRPr="009867C1">
        <w:t xml:space="preserve">I found fungal communities in these soils to be dominated by </w:t>
      </w:r>
      <w:r w:rsidRPr="009867C1">
        <w:rPr>
          <w:i/>
          <w:iCs/>
        </w:rPr>
        <w:t>Tylospora</w:t>
      </w:r>
      <w:r w:rsidRPr="009867C1">
        <w:t>,</w:t>
      </w:r>
      <w:r w:rsidRPr="009867C1">
        <w:rPr>
          <w:rFonts w:eastAsia="Times New Roman"/>
          <w:color w:val="000000"/>
          <w:lang w:eastAsia="en-CA"/>
        </w:rPr>
        <w:t xml:space="preserve"> </w:t>
      </w:r>
      <w:r w:rsidRPr="009867C1">
        <w:rPr>
          <w:rFonts w:eastAsia="Times New Roman"/>
          <w:i/>
          <w:iCs/>
          <w:color w:val="000000"/>
          <w:lang w:eastAsia="en-CA"/>
        </w:rPr>
        <w:t>Mortierella</w:t>
      </w:r>
      <w:r w:rsidRPr="009867C1">
        <w:rPr>
          <w:rFonts w:eastAsia="Times New Roman"/>
          <w:color w:val="000000"/>
          <w:lang w:eastAsia="en-CA"/>
        </w:rPr>
        <w:t xml:space="preserve">, and </w:t>
      </w:r>
      <w:r w:rsidRPr="009867C1">
        <w:rPr>
          <w:rFonts w:eastAsia="Times New Roman"/>
          <w:i/>
          <w:iCs/>
          <w:color w:val="000000"/>
          <w:lang w:eastAsia="en-CA"/>
        </w:rPr>
        <w:t>Russula</w:t>
      </w:r>
      <w:r w:rsidRPr="009867C1">
        <w:rPr>
          <w:rFonts w:eastAsia="Times New Roman"/>
          <w:color w:val="000000"/>
          <w:lang w:eastAsia="en-CA"/>
        </w:rPr>
        <w:t xml:space="preserve">, with fungi in the </w:t>
      </w:r>
      <w:r w:rsidR="0098068D" w:rsidRPr="009867C1">
        <w:rPr>
          <w:rFonts w:eastAsia="Times New Roman"/>
          <w:color w:val="000000"/>
          <w:lang w:eastAsia="en-CA"/>
        </w:rPr>
        <w:t>O</w:t>
      </w:r>
      <w:r w:rsidRPr="009867C1">
        <w:rPr>
          <w:rFonts w:eastAsia="Times New Roman"/>
          <w:color w:val="000000"/>
          <w:lang w:eastAsia="en-CA"/>
        </w:rPr>
        <w:t xml:space="preserve">rder </w:t>
      </w:r>
      <w:r w:rsidRPr="009867C1">
        <w:rPr>
          <w:rFonts w:eastAsia="Times New Roman"/>
          <w:i/>
          <w:iCs/>
          <w:color w:val="000000"/>
          <w:lang w:eastAsia="en-CA"/>
        </w:rPr>
        <w:t>Heliotales</w:t>
      </w:r>
      <w:r w:rsidRPr="009867C1">
        <w:rPr>
          <w:rFonts w:eastAsia="Times New Roman"/>
          <w:color w:val="000000"/>
          <w:lang w:eastAsia="en-CA"/>
        </w:rPr>
        <w:t xml:space="preserve"> and the Genus </w:t>
      </w:r>
      <w:r w:rsidRPr="009867C1">
        <w:rPr>
          <w:rFonts w:eastAsia="Times New Roman"/>
          <w:i/>
          <w:iCs/>
          <w:color w:val="000000"/>
          <w:lang w:eastAsia="en-CA"/>
        </w:rPr>
        <w:t>Piloderma</w:t>
      </w:r>
      <w:r w:rsidRPr="009867C1">
        <w:rPr>
          <w:rFonts w:eastAsia="Times New Roman"/>
          <w:color w:val="000000"/>
          <w:lang w:eastAsia="en-CA"/>
        </w:rPr>
        <w:t xml:space="preserve"> also well represented. I was </w:t>
      </w:r>
      <w:r w:rsidRPr="009867C1">
        <w:t>able to identify approximately 40% of the reads to genus level; constrained to t</w:t>
      </w:r>
      <w:r w:rsidRPr="009867C1">
        <w:rPr>
          <w:rFonts w:eastAsia="Times New Roman"/>
          <w:color w:val="000000"/>
          <w:lang w:eastAsia="en-CA"/>
        </w:rPr>
        <w:t>hese communities, differential expression analysis found that salmon inputs generally decreased</w:t>
      </w:r>
      <w:r w:rsidR="0098068D" w:rsidRPr="009867C1">
        <w:rPr>
          <w:rFonts w:eastAsia="Times New Roman"/>
          <w:color w:val="000000"/>
          <w:lang w:eastAsia="en-CA"/>
        </w:rPr>
        <w:t xml:space="preserve"> fungal</w:t>
      </w:r>
      <w:r w:rsidRPr="009867C1">
        <w:rPr>
          <w:rFonts w:eastAsia="Times New Roman"/>
          <w:color w:val="000000"/>
          <w:lang w:eastAsia="en-CA"/>
        </w:rPr>
        <w:t xml:space="preserve"> abundance.</w:t>
      </w:r>
      <w:r w:rsidR="0098068D" w:rsidRPr="009867C1">
        <w:rPr>
          <w:rFonts w:eastAsia="Times New Roman"/>
          <w:color w:val="000000"/>
          <w:lang w:eastAsia="en-CA"/>
        </w:rPr>
        <w:t xml:space="preserve"> However, b</w:t>
      </w:r>
      <w:r w:rsidRPr="009867C1">
        <w:rPr>
          <w:rFonts w:eastAsia="Times New Roman"/>
          <w:color w:val="000000"/>
          <w:lang w:eastAsia="en-CA"/>
        </w:rPr>
        <w:t>elow-falls in particular saw an increase</w:t>
      </w:r>
      <w:r w:rsidR="0098068D" w:rsidRPr="009867C1">
        <w:rPr>
          <w:rFonts w:eastAsia="Times New Roman"/>
          <w:color w:val="000000"/>
          <w:lang w:eastAsia="en-CA"/>
        </w:rPr>
        <w:t>,</w:t>
      </w:r>
      <w:r w:rsidRPr="009867C1">
        <w:rPr>
          <w:rFonts w:eastAsia="Times New Roman"/>
          <w:color w:val="000000"/>
          <w:lang w:eastAsia="en-CA"/>
        </w:rPr>
        <w:t xml:space="preserve"> relative to above-falls sites, in species such as </w:t>
      </w:r>
      <w:r w:rsidR="002D7B3D" w:rsidRPr="001F6DA3">
        <w:rPr>
          <w:i/>
          <w:iCs/>
        </w:rPr>
        <w:t>Sebacina</w:t>
      </w:r>
      <w:r w:rsidRPr="009867C1">
        <w:rPr>
          <w:rFonts w:eastAsia="Times New Roman"/>
          <w:i/>
          <w:iCs/>
          <w:color w:val="000000"/>
          <w:lang w:eastAsia="en-CA"/>
        </w:rPr>
        <w:t xml:space="preserve"> </w:t>
      </w:r>
      <w:r w:rsidRPr="009867C1">
        <w:rPr>
          <w:rFonts w:eastAsia="Times New Roman"/>
          <w:color w:val="000000"/>
          <w:lang w:eastAsia="en-CA"/>
        </w:rPr>
        <w:t>which are known to have aminophyllic feeding strategies. These findings show that salmon inputs have widespread effects on fungal communities, filtered by species identity and trophic mode.</w:t>
      </w:r>
    </w:p>
    <w:p w14:paraId="4661EDD1" w14:textId="52E1F748" w:rsidR="00697585" w:rsidRPr="009867C1" w:rsidRDefault="0098068D" w:rsidP="00697585">
      <w:pPr>
        <w:spacing w:line="360" w:lineRule="auto"/>
        <w:ind w:firstLine="720"/>
      </w:pPr>
      <w:r w:rsidRPr="009867C1">
        <w:t>In general, c</w:t>
      </w:r>
      <w:r w:rsidR="00697585" w:rsidRPr="009867C1">
        <w:t xml:space="preserve">ommunity-level studies on the effects of salmon inputs remain relatively rare. This chapter addresses this gap by using the fungal microbiome to show that salmon mediated nutrient inputs have community-level effects on recipient terrestrial sites.   </w:t>
      </w:r>
    </w:p>
    <w:p w14:paraId="35ED3269" w14:textId="77777777" w:rsidR="00697585" w:rsidRPr="009867C1" w:rsidRDefault="00697585" w:rsidP="00697585">
      <w:pPr>
        <w:spacing w:line="360" w:lineRule="auto"/>
      </w:pPr>
    </w:p>
    <w:p w14:paraId="67B3A48F" w14:textId="77777777" w:rsidR="00697585" w:rsidRPr="009867C1" w:rsidRDefault="00697585" w:rsidP="00697585">
      <w:pPr>
        <w:pStyle w:val="Heading3"/>
        <w:spacing w:line="360" w:lineRule="auto"/>
      </w:pPr>
      <w:bookmarkStart w:id="286" w:name="_Toc99385509"/>
      <w:r w:rsidRPr="009867C1">
        <w:t>Synopsis of Chapter 5</w:t>
      </w:r>
      <w:bookmarkEnd w:id="286"/>
    </w:p>
    <w:p w14:paraId="770BF1BF" w14:textId="19635150" w:rsidR="00697585" w:rsidRPr="009867C1" w:rsidRDefault="00697585" w:rsidP="00697585">
      <w:pPr>
        <w:spacing w:line="360" w:lineRule="auto"/>
        <w:ind w:firstLine="720"/>
      </w:pPr>
      <w:r w:rsidRPr="009867C1">
        <w:t>In Chapter 5 I used the same methods and samples as Chapter 2 and 4 to</w:t>
      </w:r>
      <w:r w:rsidR="00B21115" w:rsidRPr="009867C1">
        <w:t xml:space="preserve"> ask “how do salmon inputs </w:t>
      </w:r>
      <w:r w:rsidR="00095221">
        <w:t>affect</w:t>
      </w:r>
      <w:r w:rsidR="00B21115" w:rsidRPr="009867C1">
        <w:t xml:space="preserve"> soil bacterial communities”, and</w:t>
      </w:r>
      <w:r w:rsidRPr="009867C1">
        <w:t xml:space="preserve"> look at the effects of MDN on soil and forest floor</w:t>
      </w:r>
      <w:r w:rsidR="00B21115" w:rsidRPr="009867C1">
        <w:t>s.</w:t>
      </w:r>
      <w:r w:rsidRPr="009867C1">
        <w:t xml:space="preserve"> Using the V3V4 region of the 16S rRNA gene as a barcoding target, I quantified and classified bacterial environmental sequences both along a regional gradient of salmon density and above and below waterfalls. I then used species richness and Shannon’s diversity, and phylogenetic dispersion as response variables to test the effects of salmon inputs on these community metrics. I also compared β-diversity across communities using constrained ordinations. Finally, differential abundance analysis highlighted taxa that significantly increased or decreased across either the regional gradient or between above- and below-waterfall sites.</w:t>
      </w:r>
    </w:p>
    <w:p w14:paraId="20463163" w14:textId="1F11B0FF" w:rsidR="00697585" w:rsidRPr="009867C1" w:rsidRDefault="00697585" w:rsidP="00697585">
      <w:pPr>
        <w:spacing w:line="360" w:lineRule="auto"/>
        <w:ind w:firstLine="720"/>
        <w:rPr>
          <w:rFonts w:eastAsia="Times New Roman"/>
          <w:color w:val="000000"/>
          <w:lang w:eastAsia="en-CA"/>
        </w:rPr>
      </w:pPr>
      <w:r w:rsidRPr="009867C1">
        <w:t xml:space="preserve">The most abundant identified phylum was </w:t>
      </w:r>
      <w:r w:rsidRPr="009867C1">
        <w:rPr>
          <w:rFonts w:eastAsia="Times New Roman"/>
          <w:i/>
          <w:iCs/>
          <w:color w:val="000000"/>
          <w:lang w:eastAsia="en-CA"/>
        </w:rPr>
        <w:t>Acidobacteria</w:t>
      </w:r>
      <w:r w:rsidRPr="009867C1">
        <w:rPr>
          <w:rFonts w:eastAsia="Times New Roman"/>
          <w:color w:val="000000"/>
          <w:lang w:eastAsia="en-CA"/>
        </w:rPr>
        <w:t xml:space="preserve">, representing 41% of reads. </w:t>
      </w:r>
      <w:r w:rsidRPr="009867C1">
        <w:rPr>
          <w:rFonts w:eastAsia="Times New Roman"/>
          <w:i/>
          <w:iCs/>
          <w:color w:val="000000"/>
          <w:lang w:eastAsia="en-CA"/>
        </w:rPr>
        <w:t>Proteobacteria</w:t>
      </w:r>
      <w:r w:rsidRPr="009867C1">
        <w:rPr>
          <w:rFonts w:eastAsia="Times New Roman"/>
          <w:color w:val="000000"/>
          <w:lang w:eastAsia="en-CA"/>
        </w:rPr>
        <w:t xml:space="preserve"> was also very common, representing an additional 20% of sequence reads. </w:t>
      </w:r>
      <w:r w:rsidR="00095221">
        <w:rPr>
          <w:rFonts w:eastAsia="Times New Roman"/>
          <w:color w:val="000000"/>
          <w:lang w:eastAsia="en-CA"/>
        </w:rPr>
        <w:t>I</w:t>
      </w:r>
      <w:r w:rsidRPr="009867C1">
        <w:rPr>
          <w:rFonts w:eastAsia="Times New Roman"/>
          <w:color w:val="000000"/>
          <w:lang w:eastAsia="en-CA"/>
        </w:rPr>
        <w:t xml:space="preserve"> found a large number of phyla occurring at only one or two sites; this matches global trends of both high localization and high diversity in soil bacteria. I interpreted these data as primarily reflecting the acidic and carbon-rich nature of the Folisols encountered at these sites.  </w:t>
      </w:r>
    </w:p>
    <w:p w14:paraId="3FE16653" w14:textId="2DE19066" w:rsidR="00697585" w:rsidRPr="009867C1" w:rsidRDefault="00697585" w:rsidP="00697585">
      <w:pPr>
        <w:spacing w:line="360" w:lineRule="auto"/>
        <w:ind w:firstLine="720"/>
        <w:rPr>
          <w:rFonts w:eastAsia="Times New Roman"/>
          <w:color w:val="000000"/>
          <w:lang w:eastAsia="en-CA"/>
        </w:rPr>
      </w:pPr>
      <w:r w:rsidRPr="009867C1">
        <w:rPr>
          <w:rFonts w:eastAsia="Times New Roman"/>
          <w:color w:val="000000"/>
          <w:lang w:eastAsia="en-CA"/>
        </w:rPr>
        <w:t xml:space="preserve">Overall, salmon inputs were found to have little impact </w:t>
      </w:r>
      <w:r w:rsidR="00095221">
        <w:rPr>
          <w:rFonts w:eastAsia="Times New Roman"/>
          <w:color w:val="000000"/>
          <w:lang w:eastAsia="en-CA"/>
        </w:rPr>
        <w:t xml:space="preserve">on </w:t>
      </w:r>
      <w:r w:rsidRPr="009867C1">
        <w:rPr>
          <w:rFonts w:eastAsia="Times New Roman"/>
          <w:color w:val="000000"/>
          <w:lang w:eastAsia="en-CA"/>
        </w:rPr>
        <w:t xml:space="preserve">community metrics. Closest large tree species and the PCA axes of surrounding vegetation were found to be the primary correlates with our community metrics; this finding is in line with established literature which shows that vegetation, through both litter and root exudates, is important in structuring bacterial communities. Distance to the stream, potassium concentrations, and ergosterol concentrations were also all important correlates with our community metrics, indicating that water availability, potassium, and interactions with soil fungi are also important drivers of community structure. </w:t>
      </w:r>
    </w:p>
    <w:p w14:paraId="451F634E" w14:textId="4D43A46E" w:rsidR="00697585" w:rsidRPr="009867C1" w:rsidRDefault="00697585" w:rsidP="00697585">
      <w:pPr>
        <w:spacing w:line="360" w:lineRule="auto"/>
        <w:ind w:firstLine="720"/>
        <w:rPr>
          <w:rFonts w:eastAsia="Times New Roman"/>
          <w:color w:val="000000"/>
          <w:lang w:eastAsia="en-CA"/>
        </w:rPr>
      </w:pPr>
      <w:r w:rsidRPr="009867C1">
        <w:rPr>
          <w:rFonts w:eastAsia="Times New Roman"/>
          <w:color w:val="000000"/>
          <w:lang w:eastAsia="en-CA"/>
        </w:rPr>
        <w:t xml:space="preserve">On a regional scale, I found that after considering ordinations by the closest dominant tree species, salmon inputs were significant in forest floors but not organic soils. This shows that salmon inputs are important in these soils over nine months after the previous salmon run, but that their effects may be constrained to forest floors and shallow soil layers. </w:t>
      </w:r>
      <w:r w:rsidR="00087A98">
        <w:rPr>
          <w:rFonts w:eastAsia="Times New Roman"/>
          <w:color w:val="000000"/>
          <w:lang w:eastAsia="en-CA"/>
        </w:rPr>
        <w:t xml:space="preserve">The </w:t>
      </w:r>
      <w:r w:rsidRPr="009867C1">
        <w:rPr>
          <w:rFonts w:eastAsia="Times New Roman"/>
          <w:color w:val="000000"/>
          <w:lang w:eastAsia="en-CA"/>
        </w:rPr>
        <w:t>differential abundance analysis showed</w:t>
      </w:r>
      <w:r w:rsidR="00087A98">
        <w:rPr>
          <w:rFonts w:eastAsia="Times New Roman"/>
          <w:color w:val="000000"/>
          <w:lang w:eastAsia="en-CA"/>
        </w:rPr>
        <w:t xml:space="preserve"> no significant changes in forest floors, but in organic soils some taxa associated with nitrogen and phosphorus metabolism increased in response to salmon inputs.</w:t>
      </w:r>
    </w:p>
    <w:p w14:paraId="6031896A" w14:textId="6AA00CE6" w:rsidR="00697585" w:rsidRPr="009867C1" w:rsidRDefault="00697585" w:rsidP="00697585">
      <w:pPr>
        <w:spacing w:line="360" w:lineRule="auto"/>
        <w:ind w:firstLine="720"/>
        <w:rPr>
          <w:rFonts w:eastAsia="Times New Roman"/>
          <w:color w:val="000000"/>
          <w:lang w:eastAsia="en-CA"/>
        </w:rPr>
      </w:pPr>
      <w:r w:rsidRPr="009867C1">
        <w:rPr>
          <w:rFonts w:eastAsia="Times New Roman"/>
          <w:color w:val="000000"/>
          <w:lang w:eastAsia="en-CA"/>
        </w:rPr>
        <w:t xml:space="preserve">In general, these findings show that vegetation is the most important driver of soil bacterial abundance and community structure, but that salmon density has additional </w:t>
      </w:r>
      <w:r w:rsidR="00087A98">
        <w:rPr>
          <w:rFonts w:eastAsia="Times New Roman"/>
          <w:color w:val="000000"/>
          <w:lang w:eastAsia="en-CA"/>
        </w:rPr>
        <w:t xml:space="preserve">net </w:t>
      </w:r>
      <w:r w:rsidRPr="009867C1">
        <w:rPr>
          <w:rFonts w:eastAsia="Times New Roman"/>
          <w:color w:val="000000"/>
          <w:lang w:eastAsia="en-CA"/>
        </w:rPr>
        <w:t xml:space="preserve">effects on community composition. I argue that given the high turnover in bacterial communities, and that I took my samples ten months after the previous salmon run, these findings likely under-estimate bacterial community response to salmon inputs.     </w:t>
      </w:r>
    </w:p>
    <w:p w14:paraId="0CE5B22F" w14:textId="439E4362" w:rsidR="00697585" w:rsidRPr="009867C1" w:rsidRDefault="00697585" w:rsidP="00020E52">
      <w:pPr>
        <w:spacing w:line="360" w:lineRule="auto"/>
        <w:ind w:firstLine="720"/>
      </w:pPr>
      <w:r w:rsidRPr="009867C1">
        <w:rPr>
          <w:rFonts w:eastAsia="Times New Roman"/>
          <w:color w:val="000000"/>
          <w:lang w:eastAsia="en-CA"/>
        </w:rPr>
        <w:t xml:space="preserve">    </w:t>
      </w:r>
    </w:p>
    <w:p w14:paraId="62F15FC8" w14:textId="77777777" w:rsidR="00697585" w:rsidRPr="009867C1" w:rsidRDefault="00697585" w:rsidP="00697585">
      <w:pPr>
        <w:pStyle w:val="Heading3"/>
        <w:spacing w:line="360" w:lineRule="auto"/>
      </w:pPr>
      <w:bookmarkStart w:id="287" w:name="_Toc99385510"/>
      <w:r w:rsidRPr="009867C1">
        <w:t>Synopsis of Chapter 6</w:t>
      </w:r>
      <w:bookmarkEnd w:id="287"/>
    </w:p>
    <w:p w14:paraId="1B945760" w14:textId="6FB5D88A" w:rsidR="00697585" w:rsidRPr="009867C1" w:rsidRDefault="00697585" w:rsidP="00020E52">
      <w:pPr>
        <w:spacing w:line="360" w:lineRule="auto"/>
        <w:ind w:firstLine="720"/>
      </w:pPr>
      <w:r w:rsidRPr="009867C1">
        <w:t>Chapter 6 was a</w:t>
      </w:r>
      <w:r w:rsidR="00B21115" w:rsidRPr="009867C1">
        <w:t xml:space="preserve">n attempt to answer the question “do mycorrhizal fungi uptake MDN, and if </w:t>
      </w:r>
      <w:r w:rsidR="00095221">
        <w:t>so</w:t>
      </w:r>
      <w:r w:rsidR="00B21115" w:rsidRPr="009867C1">
        <w:t>, do they play a role in distributing these resources to neighbouring vegetation”. I used</w:t>
      </w:r>
      <w:r w:rsidRPr="009867C1">
        <w:t xml:space="preserve"> a</w:t>
      </w:r>
      <w:r w:rsidR="00B21115" w:rsidRPr="009867C1">
        <w:t xml:space="preserve"> study design varying over both</w:t>
      </w:r>
      <w:r w:rsidRPr="009867C1">
        <w:t xml:space="preserve"> space and time</w:t>
      </w:r>
      <w:r w:rsidR="00B21115" w:rsidRPr="009867C1">
        <w:t xml:space="preserve"> along with</w:t>
      </w:r>
      <w:r w:rsidRPr="009867C1">
        <w:t xml:space="preserve"> a fungicide treatment </w:t>
      </w:r>
      <w:r w:rsidR="00B21115" w:rsidRPr="009867C1">
        <w:t xml:space="preserve">intended </w:t>
      </w:r>
      <w:r w:rsidRPr="009867C1">
        <w:t xml:space="preserve">to knock out fungal activity to test the importance of </w:t>
      </w:r>
      <w:r w:rsidR="00B21115" w:rsidRPr="009867C1">
        <w:t>fungi-</w:t>
      </w:r>
      <w:r w:rsidRPr="009867C1">
        <w:t xml:space="preserve">assisted nutrient uptake. I found that labelled nitrogen was rapidly taken up by shrubs nearest the application, </w:t>
      </w:r>
      <w:r w:rsidR="004C7516">
        <w:t>and</w:t>
      </w:r>
      <w:r w:rsidRPr="009867C1">
        <w:t xml:space="preserve"> plants further away received appreciable signal as well. Expression of labelled-N in foliar tissues reached an asymptote on the scale of days, and both this asymptote as well as the rate of uptake was reduced by the fungicide treatment. This study thus serves as both a proof-of-concept of a spatial approach to studying short-term nitrogen uptake</w:t>
      </w:r>
      <w:r w:rsidR="00B21115" w:rsidRPr="009867C1">
        <w:t xml:space="preserve"> in riparian shrubs</w:t>
      </w:r>
      <w:r w:rsidRPr="009867C1">
        <w:t xml:space="preserve">, as well as a successful use of an environmentally benign fungicide to moderate uptake rates.   </w:t>
      </w:r>
    </w:p>
    <w:p w14:paraId="05BAB77D" w14:textId="77777777" w:rsidR="00697585" w:rsidRPr="009867C1" w:rsidRDefault="00697585" w:rsidP="00697585">
      <w:pPr>
        <w:pStyle w:val="Heading3"/>
        <w:spacing w:line="360" w:lineRule="auto"/>
      </w:pPr>
      <w:bookmarkStart w:id="288" w:name="_Toc99385511"/>
      <w:r w:rsidRPr="009867C1">
        <w:t>Research strengths and limitations</w:t>
      </w:r>
      <w:bookmarkEnd w:id="288"/>
    </w:p>
    <w:p w14:paraId="04573BF9" w14:textId="77777777" w:rsidR="00697585" w:rsidRPr="009867C1" w:rsidRDefault="00697585" w:rsidP="00697585">
      <w:pPr>
        <w:pStyle w:val="Heading4"/>
        <w:spacing w:line="360" w:lineRule="auto"/>
      </w:pPr>
      <w:bookmarkStart w:id="289" w:name="_Toc99385512"/>
      <w:r w:rsidRPr="009867C1">
        <w:t>Design strengths and limitations</w:t>
      </w:r>
      <w:bookmarkEnd w:id="289"/>
    </w:p>
    <w:p w14:paraId="21A476C2" w14:textId="77777777" w:rsidR="00697585" w:rsidRPr="009867C1" w:rsidRDefault="00697585" w:rsidP="00697585">
      <w:pPr>
        <w:spacing w:line="360" w:lineRule="auto"/>
        <w:ind w:firstLine="720"/>
      </w:pPr>
      <w:r w:rsidRPr="009867C1">
        <w:t xml:space="preserve">The two study designs employed in this thesis are between-stream regional observations along salmon streams that receive a gradient of salmon inputs (‘regional gradient’ design), and above/below comparisons within a subset of these watersheds that have waterfalls that block salmon migration (‘above/below’ design). Each of these designs present some experimental challenges and caveats. </w:t>
      </w:r>
    </w:p>
    <w:p w14:paraId="3D6CA5E7" w14:textId="77777777" w:rsidR="00697585" w:rsidRPr="009867C1" w:rsidRDefault="00697585" w:rsidP="00697585">
      <w:pPr>
        <w:spacing w:line="360" w:lineRule="auto"/>
        <w:ind w:firstLine="720"/>
      </w:pPr>
    </w:p>
    <w:p w14:paraId="0C2555F4" w14:textId="77777777" w:rsidR="00697585" w:rsidRPr="009867C1" w:rsidRDefault="00697585" w:rsidP="00697585">
      <w:pPr>
        <w:pStyle w:val="Heading5"/>
        <w:spacing w:line="360" w:lineRule="auto"/>
      </w:pPr>
      <w:bookmarkStart w:id="290" w:name="_Toc99385513"/>
      <w:r w:rsidRPr="009867C1">
        <w:t>Regional salmon density gradient design</w:t>
      </w:r>
      <w:bookmarkEnd w:id="290"/>
    </w:p>
    <w:p w14:paraId="0F5F2C9D" w14:textId="64FA59CA" w:rsidR="00697585" w:rsidRPr="009867C1" w:rsidRDefault="00697585" w:rsidP="00697585">
      <w:pPr>
        <w:spacing w:line="360" w:lineRule="auto"/>
        <w:ind w:firstLine="720"/>
      </w:pPr>
      <w:r w:rsidRPr="009867C1">
        <w:t>The regional gradient design confounds watershed-level variability co-occu</w:t>
      </w:r>
      <w:r w:rsidR="00FD0D72" w:rsidRPr="009867C1">
        <w:t>r</w:t>
      </w:r>
      <w:r w:rsidRPr="009867C1">
        <w:t>ring with variability arising from salmon inputs. In this thesis I’ve chosen to ignore east-west regional gradients in rainfall patterns, individual salmon size, and vegetation communities noted in Hocking et al. 2011. The canonical way to account for this would be to include watershed as a random covariate in a mixed model; however, the small number of sampling points per watershed precluded confident variance estimates on the watershed level and th</w:t>
      </w:r>
      <w:r w:rsidR="00FD0D72" w:rsidRPr="009867C1">
        <w:t>u</w:t>
      </w:r>
      <w:r w:rsidRPr="009867C1">
        <w:t xml:space="preserve">s I avoided this modelling structure. </w:t>
      </w:r>
      <w:r w:rsidR="00EC3A55">
        <w:t>This risks pseudoreplication, as cores within site are treated as independent despite occurring within the same watershed; given however that the soil cores were taken on opposite sides of the stream and that the response variables are expected to be highly localized around the soil cores I judged this to be acceptable. This was supported by initial plots of within vs. between watershed variation</w:t>
      </w:r>
      <w:r w:rsidR="00AF7096">
        <w:t>, as well as similar results obtained with simplified mixed models which explicitly take this design structure into account</w:t>
      </w:r>
      <w:r w:rsidR="00EC3A55">
        <w:t>.</w:t>
      </w:r>
    </w:p>
    <w:p w14:paraId="513F34A3" w14:textId="53E1B555" w:rsidR="00697585" w:rsidRPr="009867C1" w:rsidRDefault="00697585" w:rsidP="00697585">
      <w:pPr>
        <w:spacing w:line="360" w:lineRule="auto"/>
        <w:ind w:firstLine="720"/>
      </w:pPr>
      <w:r w:rsidRPr="009867C1">
        <w:t xml:space="preserve">Salmon density also tends to be highly correlated with watershed size; in initial model selection (and some final models) I included various watershed size estimates as additional independent variables, including a ‘watershed size’ PCA included in Chapter 2 (following Wagner et al. 2019). In these models generally salmon density explained more variation than watershed size, and the collinearity introduced by including watershed size would have precluded using model averaging as an approach </w:t>
      </w:r>
      <w:r w:rsidRPr="009867C1">
        <w:fldChar w:fldCharType="begin"/>
      </w:r>
      <w:r w:rsidR="00AC0205">
        <w:instrText xml:space="preserve"> ADDIN ZOTERO_ITEM CSL_CITATION {"citationID":"Jzcsilxr","properties":{"formattedCitation":"(Cade, 2015)","plainCitation":"(Cade, 2015)","noteIndex":0},"citationItems":[{"id":1616,"uris":["http://zotero.org/users/2189142/items/2R4KYD36"],"itemData":{"id":1616,"type":"article-journal","abstract":"Three flawed practices associated with model averaging coefficients for predictor variables in regression models commonly occur when making multimodel inferences in analyses of ecological data. Model-averaged regression coefficients based on Akaike information criterion (AIC) weights have been recommended for addressing model uncertainty but they are not valid, interpretable estimates of partial effects for individual predictors when there is multicollinearity among the predictor variables. Multicollinearity implies that the scaling of units in the denominators of the regression coefficients may change across models such that neither the parameters nor their estimates have common scales, therefore averaging them makes no sense. The associated sums of AIC model weights recommended to assess relative importance of individual predictors are really a measure of relative importance of models, with little information about contributions by individual predictors compared to other measures of relative importance based on effects size or variance reduction. Sometimes the model-averaged regression coefficients for predictor variables are incorrectly used to make model-averaged predictions of the response variable when the models are not linear in the parameters. I demonstrate the issues with the first two practices using the college grade point average example extensively analyzed by Burnham and Anderson. I show how partial standard deviations of the predictor variables can be used to detect changing scales of their estimates with multicollinearity. Standardizing estimates based on partial standard deviations for their variables can be used to make the scaling of the estimates commensurate across models, a necessary but not sufficient condition for model averaging of the estimates to be sensible. A unimodal distribution of estimates and valid interpretation of individual parameters are additional requisite conditions. The standardized estimates or equivalently the t statistics on unstandardized estimates also can be used to provide more informative measures of relative importance than sums of AIC weights. Finally, I illustrate how seriously compromised statistical interpretations and predictions can be for all three of these flawed practices by critiquing their use in a recent species distribution modeling technique developed for predicting Greater Sage-Grouse (Centrocercus urophasianus) distribution in Colorado, USA. These model averaging issues are common in other ecological literature and ought to be discontinued if we are to make effective scientific contributions to ecological knowledge and conservation of natural resources.","container-title":"Ecology","DOI":"10.1890/14-1639.1","ISSN":"1939-9170","issue":"9","language":"en","page":"2370-2382","source":"Wiley Online Library","title":"Model averaging and muddled multimodel inferences","volume":"96","author":[{"family":"Cade","given":"Brian S."}],"issued":{"date-parts":[["2015"]]},"citation-key":"cade_2015"}}],"schema":"https://github.com/citation-style-language/schema/raw/master/csl-citation.json"} </w:instrText>
      </w:r>
      <w:r w:rsidRPr="009867C1">
        <w:fldChar w:fldCharType="separate"/>
      </w:r>
      <w:r w:rsidR="0042141C" w:rsidRPr="009867C1">
        <w:t>(Cade, 2015)</w:t>
      </w:r>
      <w:r w:rsidRPr="009867C1">
        <w:fldChar w:fldCharType="end"/>
      </w:r>
      <w:r w:rsidRPr="009867C1">
        <w:t xml:space="preserve">. Hence in most models I chose to exclude watershed size as a covariate, and as such watershed size should be kept in mind when interpreting these results.   </w:t>
      </w:r>
    </w:p>
    <w:p w14:paraId="00D33480" w14:textId="28093F4B" w:rsidR="00697585" w:rsidRPr="009867C1" w:rsidRDefault="00697585" w:rsidP="00697585">
      <w:pPr>
        <w:spacing w:line="360" w:lineRule="auto"/>
        <w:ind w:firstLine="720"/>
      </w:pPr>
      <w:r w:rsidRPr="009867C1">
        <w:t>Another issue with these data is the large gap in salmon density between 35 and 60 kg • m</w:t>
      </w:r>
      <w:r w:rsidRPr="009867C1">
        <w:rPr>
          <w:vertAlign w:val="superscript"/>
        </w:rPr>
        <w:t>-1</w:t>
      </w:r>
      <w:r w:rsidRPr="009867C1">
        <w:t xml:space="preserve"> yr</w:t>
      </w:r>
      <w:r w:rsidRPr="009867C1">
        <w:rPr>
          <w:vertAlign w:val="superscript"/>
        </w:rPr>
        <w:t>-1</w:t>
      </w:r>
      <w:r w:rsidRPr="009867C1">
        <w:t xml:space="preserve">.  In regressions, this leads to high leverage given to the large </w:t>
      </w:r>
      <w:r w:rsidR="004F5282" w:rsidRPr="009867C1">
        <w:t xml:space="preserve">and high salmon density </w:t>
      </w:r>
      <w:r w:rsidRPr="009867C1">
        <w:t xml:space="preserve">watersheds Neekas and Clatse which, combined with what are in some response variables extreme values for these sites, tends to dominate some of the </w:t>
      </w:r>
      <w:r w:rsidR="004F5282" w:rsidRPr="009867C1">
        <w:t>regression cu</w:t>
      </w:r>
      <w:r w:rsidRPr="009867C1">
        <w:t>rves associated with these relationships. This is exacerbated by the fact that Neekas and Clatse are flatter and wider floodplains qualitatively different than the generally steep-sided streams present on other sites. In addition, there is some evidence of inverse-U shaped relationships for some response variables (i</w:t>
      </w:r>
      <w:r w:rsidR="008D3F29">
        <w:t>.</w:t>
      </w:r>
      <w:r w:rsidRPr="009867C1">
        <w:t xml:space="preserve">e. unimodal with a local maximum) which may be expected to occur at high nitrogen inputs. I examined this in preliminary investigations by alternatively excluding and including these sites in my analysis; in the final </w:t>
      </w:r>
      <w:r w:rsidR="00095221">
        <w:t xml:space="preserve">writing </w:t>
      </w:r>
      <w:r w:rsidRPr="009867C1">
        <w:t>I’ve tried to be transparent and include raw data where possible.</w:t>
      </w:r>
    </w:p>
    <w:p w14:paraId="4191B977" w14:textId="77777777" w:rsidR="00697585" w:rsidRPr="009867C1" w:rsidRDefault="00697585" w:rsidP="00697585">
      <w:pPr>
        <w:spacing w:line="360" w:lineRule="auto"/>
        <w:ind w:firstLine="720"/>
      </w:pPr>
    </w:p>
    <w:p w14:paraId="0E84CF18" w14:textId="77777777" w:rsidR="00697585" w:rsidRPr="009867C1" w:rsidRDefault="00697585" w:rsidP="00697585">
      <w:pPr>
        <w:pStyle w:val="Heading5"/>
        <w:spacing w:line="360" w:lineRule="auto"/>
      </w:pPr>
      <w:bookmarkStart w:id="291" w:name="_Toc99385514"/>
      <w:r w:rsidRPr="009867C1">
        <w:t>Above and below waterfall design</w:t>
      </w:r>
      <w:bookmarkEnd w:id="291"/>
    </w:p>
    <w:p w14:paraId="180987E4" w14:textId="79E56F2D" w:rsidR="00697585" w:rsidRPr="009867C1" w:rsidRDefault="00697585" w:rsidP="00697585">
      <w:pPr>
        <w:spacing w:line="360" w:lineRule="auto"/>
        <w:ind w:firstLine="720"/>
      </w:pPr>
      <w:r w:rsidRPr="009867C1">
        <w:t xml:space="preserve">The above/below </w:t>
      </w:r>
      <w:r w:rsidR="0046011E" w:rsidRPr="009867C1">
        <w:t xml:space="preserve">waterfall </w:t>
      </w:r>
      <w:r w:rsidRPr="009867C1">
        <w:t>design controls for regional and watershed-level variability by sampling within a few tens of meters above and below waterfalls in the same watershed. It suffers</w:t>
      </w:r>
      <w:r w:rsidR="00095221">
        <w:t>,</w:t>
      </w:r>
      <w:r w:rsidRPr="009867C1">
        <w:t xml:space="preserve"> however</w:t>
      </w:r>
      <w:r w:rsidR="00095221">
        <w:t>,</w:t>
      </w:r>
      <w:r w:rsidRPr="009867C1">
        <w:t xml:space="preserve"> from confounding salmon input variability with environmental variability arising from changes in topography, vegetation, and edaphic profiles above and below waterfalls. While I made efforts to control for this (i</w:t>
      </w:r>
      <w:r w:rsidR="00095221">
        <w:t>.</w:t>
      </w:r>
      <w:r w:rsidRPr="009867C1">
        <w:t>e.</w:t>
      </w:r>
      <w:r w:rsidR="00502EE9">
        <w:t>,</w:t>
      </w:r>
      <w:r w:rsidRPr="009867C1">
        <w:t xml:space="preserve"> by including vegetation metrics), it was evident that at some sites soils and plant communities were qualitatively different above and below falls. I believe that this is one reason why, in general, I found stronger differences above and below waterfalls than in the regional datasets. </w:t>
      </w:r>
    </w:p>
    <w:p w14:paraId="40AEE3D6" w14:textId="77777777" w:rsidR="00697585" w:rsidRPr="009867C1" w:rsidRDefault="00697585" w:rsidP="00697585">
      <w:pPr>
        <w:spacing w:line="360" w:lineRule="auto"/>
        <w:ind w:firstLine="720"/>
      </w:pPr>
    </w:p>
    <w:p w14:paraId="10675074" w14:textId="77777777" w:rsidR="00697585" w:rsidRPr="009867C1" w:rsidRDefault="00697585" w:rsidP="00697585">
      <w:pPr>
        <w:pStyle w:val="Heading5"/>
        <w:spacing w:line="360" w:lineRule="auto"/>
      </w:pPr>
      <w:bookmarkStart w:id="292" w:name="_Toc99385515"/>
      <w:r w:rsidRPr="009867C1">
        <w:t>Common limitations to both designs</w:t>
      </w:r>
      <w:bookmarkEnd w:id="292"/>
    </w:p>
    <w:p w14:paraId="66861F18" w14:textId="1D6D1D44" w:rsidR="00697585" w:rsidRPr="009867C1" w:rsidRDefault="00697585" w:rsidP="00697585">
      <w:pPr>
        <w:spacing w:line="360" w:lineRule="auto"/>
        <w:ind w:firstLine="720"/>
      </w:pPr>
      <w:r w:rsidRPr="009867C1">
        <w:t>Finally, for both sampling designs the sample size at each site was small relative to the likely underlying variation at these sites, and the spatial scale of the samples (either soil cores or mushroom sporocarps) is small relative to the area for which we are drawing inferences. I made some</w:t>
      </w:r>
      <w:r w:rsidR="0046011E" w:rsidRPr="009867C1">
        <w:t xml:space="preserve"> early </w:t>
      </w:r>
      <w:r w:rsidRPr="009867C1">
        <w:t>effort</w:t>
      </w:r>
      <w:r w:rsidR="0046011E" w:rsidRPr="009867C1">
        <w:t>s</w:t>
      </w:r>
      <w:r w:rsidRPr="009867C1">
        <w:t xml:space="preserve"> to quantify variation at a single site in a trial field season (i</w:t>
      </w:r>
      <w:r w:rsidR="0022030C">
        <w:t>.</w:t>
      </w:r>
      <w:r w:rsidRPr="009867C1">
        <w:t>e. transect</w:t>
      </w:r>
      <w:r w:rsidR="0046011E" w:rsidRPr="009867C1">
        <w:t>s</w:t>
      </w:r>
      <w:r w:rsidRPr="009867C1">
        <w:t xml:space="preserve"> of sampling points</w:t>
      </w:r>
      <w:r w:rsidR="0046011E" w:rsidRPr="009867C1">
        <w:t xml:space="preserve"> perpendicular to two streams</w:t>
      </w:r>
      <w:r w:rsidRPr="009867C1">
        <w:t xml:space="preserve">), but these proved not very insightful. In addition, in the case of next-generation sequencing, there were methodological constraints due to all samples being run in a single run, precluding an analysis of trial samples to estimate site-level variance before the bulk of samples were sequenced.  </w:t>
      </w:r>
    </w:p>
    <w:p w14:paraId="0BE1BF72" w14:textId="15911528" w:rsidR="00697585" w:rsidRPr="009867C1" w:rsidRDefault="00697585" w:rsidP="00697585">
      <w:pPr>
        <w:spacing w:line="360" w:lineRule="auto"/>
        <w:ind w:firstLine="720"/>
      </w:pPr>
      <w:r w:rsidRPr="009867C1">
        <w:t xml:space="preserve">The sampling considerations are compounded by the spatial and temporal heterogeneity created by salmon carcasses, animal feces, and urine. While sampling was intentionally conducted in such a way as to minimize </w:t>
      </w:r>
      <w:r w:rsidR="0046011E" w:rsidRPr="009867C1">
        <w:t>cases of glaring</w:t>
      </w:r>
      <w:r w:rsidRPr="009867C1">
        <w:t xml:space="preserve"> sampling bias (i</w:t>
      </w:r>
      <w:r w:rsidR="0022030C">
        <w:t>.</w:t>
      </w:r>
      <w:r w:rsidRPr="009867C1">
        <w:t>e.</w:t>
      </w:r>
      <w:r w:rsidR="00502EE9">
        <w:t>,</w:t>
      </w:r>
      <w:r w:rsidRPr="009867C1">
        <w:t xml:space="preserve"> by avoiding areas directly under salmon carcasses), these biases should be kept in mind when interpreting these data. It is difficult to study clustered phenomena in general with common ecological designs, and </w:t>
      </w:r>
      <w:r w:rsidR="0046011E" w:rsidRPr="009867C1">
        <w:t xml:space="preserve">consideration of the non-random nature of salmon inputs </w:t>
      </w:r>
      <w:r w:rsidRPr="009867C1">
        <w:t>should be given explicit consideration in future studies.</w:t>
      </w:r>
    </w:p>
    <w:p w14:paraId="5F126596" w14:textId="1F25AC4E" w:rsidR="00697585" w:rsidRPr="009867C1" w:rsidRDefault="00697585" w:rsidP="00697585">
      <w:pPr>
        <w:spacing w:line="360" w:lineRule="auto"/>
        <w:ind w:firstLine="720"/>
      </w:pPr>
      <w:r w:rsidRPr="009867C1">
        <w:t>Given that the regional salmon density gradient and the above and below waterfall approaches each have strengths and weaknesses, I view them throughout the thesis as complementary rather than in conflict. Having these ‘</w:t>
      </w:r>
      <w:r w:rsidR="0046011E" w:rsidRPr="009867C1">
        <w:t xml:space="preserve">dual </w:t>
      </w:r>
      <w:r w:rsidRPr="009867C1">
        <w:t xml:space="preserve">windows’ on the effects of salmon input allows for increased confidence in cases where results agree between the two designs. </w:t>
      </w:r>
      <w:r w:rsidR="0046011E" w:rsidRPr="009867C1">
        <w:t xml:space="preserve">It also led to difficulty of interpretation when these conflicted. </w:t>
      </w:r>
      <w:r w:rsidRPr="009867C1">
        <w:t>While this situation is not ideal, it is common to all observational studies employed on these systems, it is my hope that</w:t>
      </w:r>
      <w:r w:rsidR="0046011E" w:rsidRPr="009867C1">
        <w:t xml:space="preserve"> more data, rather than less, clarified more </w:t>
      </w:r>
      <w:r w:rsidRPr="009867C1">
        <w:t xml:space="preserve">issues </w:t>
      </w:r>
      <w:r w:rsidR="0046011E" w:rsidRPr="009867C1">
        <w:t xml:space="preserve">than it obscured </w:t>
      </w:r>
      <w:r w:rsidRPr="009867C1">
        <w:t xml:space="preserve">in the resultant inferences. </w:t>
      </w:r>
    </w:p>
    <w:p w14:paraId="5FD0136B" w14:textId="77777777" w:rsidR="00697585" w:rsidRPr="009867C1" w:rsidRDefault="00697585" w:rsidP="00697585">
      <w:pPr>
        <w:spacing w:line="360" w:lineRule="auto"/>
      </w:pPr>
    </w:p>
    <w:p w14:paraId="4C85C73D" w14:textId="77777777" w:rsidR="00697585" w:rsidRPr="009867C1" w:rsidRDefault="00697585" w:rsidP="00697585">
      <w:pPr>
        <w:pStyle w:val="Heading4"/>
        <w:spacing w:line="360" w:lineRule="auto"/>
      </w:pPr>
      <w:bookmarkStart w:id="293" w:name="_Toc99385516"/>
      <w:r w:rsidRPr="009867C1">
        <w:t>Molecular characterization of fungal and bacterial communities: from sequences to function</w:t>
      </w:r>
      <w:bookmarkEnd w:id="293"/>
    </w:p>
    <w:p w14:paraId="4339410F" w14:textId="26140C96" w:rsidR="00697585" w:rsidRDefault="00697585" w:rsidP="00697585">
      <w:pPr>
        <w:spacing w:line="360" w:lineRule="auto"/>
        <w:ind w:firstLine="720"/>
      </w:pPr>
      <w:r w:rsidRPr="009867C1">
        <w:t xml:space="preserve">Studies using environmental sequencing are all </w:t>
      </w:r>
      <w:r w:rsidR="0046011E" w:rsidRPr="009867C1">
        <w:t>filtered through</w:t>
      </w:r>
      <w:r w:rsidRPr="009867C1">
        <w:t xml:space="preserve"> a number of bias</w:t>
      </w:r>
      <w:r w:rsidR="0046011E" w:rsidRPr="009867C1">
        <w:t>ing steps</w:t>
      </w:r>
      <w:r w:rsidRPr="009867C1">
        <w:t xml:space="preserve">: </w:t>
      </w:r>
      <w:r w:rsidR="0046011E" w:rsidRPr="009867C1">
        <w:t xml:space="preserve">experimental </w:t>
      </w:r>
      <w:r w:rsidRPr="009867C1">
        <w:t>sampling bias,</w:t>
      </w:r>
      <w:r w:rsidR="0046011E" w:rsidRPr="009867C1">
        <w:t xml:space="preserve"> laboratory sampling bias,</w:t>
      </w:r>
      <w:r w:rsidRPr="009867C1">
        <w:t xml:space="preserve"> gene copy number bias, PCR bias,</w:t>
      </w:r>
      <w:r w:rsidR="0046011E" w:rsidRPr="009867C1">
        <w:t xml:space="preserve"> sequencing bias,</w:t>
      </w:r>
      <w:r w:rsidRPr="009867C1">
        <w:t xml:space="preserve"> and finally database bias </w:t>
      </w:r>
      <w:r w:rsidRPr="009867C1">
        <w:fldChar w:fldCharType="begin"/>
      </w:r>
      <w:r w:rsidR="00AC0205">
        <w:instrText xml:space="preserve"> ADDIN ZOTERO_ITEM CSL_CITATION {"citationID":"rS0CjD4i","properties":{"formattedCitation":"(Orgiazzi et al., 2015)","plainCitation":"(Orgiazzi et al., 2015)","noteIndex":0},"citationItems":[{"id":1114,"uris":["http://zotero.org/users/2189142/items/DAVVA8U3"],"itemData":{"id":1114,"type":"article-journal","container-title":"Soil Biology and Biochemistry","page":"244–250","source":"Google Scholar","title":"Soil biodiversity and DNA barcodes: opportunities and challenges","title-short":"Soil biodiversity and DNA barcodes","volume":"80","author":[{"family":"Orgiazzi","given":"Alberto"},{"family":"Dunbar","given":"Martha Bonnet"},{"family":"Panagos","given":"Panos"},{"family":"Groot","given":"Gerard Arjen","non-dropping-particle":"de"},{"family":"Lemanceau","given":"Philippe"}],"issued":{"date-parts":[["2015"]]},"citation-key":"orgiazzi_2015"}}],"schema":"https://github.com/citation-style-language/schema/raw/master/csl-citation.json"} </w:instrText>
      </w:r>
      <w:r w:rsidRPr="009867C1">
        <w:fldChar w:fldCharType="separate"/>
      </w:r>
      <w:r w:rsidR="0042141C" w:rsidRPr="009867C1">
        <w:t>(Orgiazzi et al., 2015)</w:t>
      </w:r>
      <w:r w:rsidRPr="009867C1">
        <w:fldChar w:fldCharType="end"/>
      </w:r>
      <w:r w:rsidRPr="009867C1">
        <w:t xml:space="preserve">. Common to many fungal and bacterial microbiome studies, I found many unidentified sequences at these sites. In addition, once identified, there are large gaps in our databases when attempting to connect species identity with function </w:t>
      </w:r>
      <w:r w:rsidRPr="009867C1">
        <w:fldChar w:fldCharType="begin"/>
      </w:r>
      <w:r w:rsidR="00AC0205">
        <w:instrText xml:space="preserve"> ADDIN ZOTERO_ITEM CSL_CITATION {"citationID":"K9J8SPgJ","properties":{"formattedCitation":"(Jansson &amp; Hofmockel, 2018)","plainCitation":"(Jansson &amp; Hofmockel, 2018)","noteIndex":0},"citationItems":[{"id":37,"uris":["http://zotero.org/users/2189142/items/TDWNGGRC"],"itemData":{"id":37,"type":"article-journal","abstract":"Soil microorganisms carry out important processes, including support of plant growth and cycling of carbon and other nutrients. However, the majority of soil microbes have not yet been isolated and their functions are largely unknown. Although metagenomic sequencing reveals microbial identities and functional gene information, it includes DNA from microbes with vastly varying physiological states. Therefore, metagenomics is only predictive of community functional potential. We posit that the next frontier lies in understanding the metaphenome, the product of the combined genetic potential of the microbiome and available resources. Here we describe examples of opportunities towards gaining understanding of the soil metaphenome.","collection-title":"Environmental Microbiology * The New Microscopy","container-title":"Current Opinion in Microbiology","DOI":"10.1016/j.mib.2018.01.013","ISSN":"1369-5274","journalAbbreviation":"Current Opinion in Microbiology","language":"en","page":"162-168","source":"ScienceDirect","title":"The soil microbiome—from metagenomics to metaphenomics","volume":"43","author":[{"family":"Jansson","given":"Janet K"},{"family":"Hofmockel","given":"Kirsten S"}],"issued":{"date-parts":[["2018",6,1]]},"citation-key":"jansson_2018"}}],"schema":"https://github.com/citation-style-language/schema/raw/master/csl-citation.json"} </w:instrText>
      </w:r>
      <w:r w:rsidRPr="009867C1">
        <w:fldChar w:fldCharType="separate"/>
      </w:r>
      <w:r w:rsidR="0042141C" w:rsidRPr="009867C1">
        <w:t>(Jansson &amp; Hofmockel, 2018)</w:t>
      </w:r>
      <w:r w:rsidRPr="009867C1">
        <w:fldChar w:fldCharType="end"/>
      </w:r>
      <w:r w:rsidRPr="009867C1">
        <w:t xml:space="preserve">. Over time these gaps will close, and the datasets gathered here will be available for re-analysis on Genbank at a </w:t>
      </w:r>
      <w:r w:rsidR="003831C0" w:rsidRPr="009867C1">
        <w:t>future</w:t>
      </w:r>
      <w:r w:rsidRPr="009867C1">
        <w:t xml:space="preserve"> date. </w:t>
      </w:r>
    </w:p>
    <w:p w14:paraId="368C0577" w14:textId="77777777" w:rsidR="00697585" w:rsidRPr="009867C1" w:rsidRDefault="00697585" w:rsidP="00697585">
      <w:pPr>
        <w:spacing w:line="360" w:lineRule="auto"/>
      </w:pPr>
    </w:p>
    <w:p w14:paraId="34BA731C" w14:textId="77777777" w:rsidR="00697585" w:rsidRPr="009867C1" w:rsidRDefault="00697585" w:rsidP="00697585">
      <w:pPr>
        <w:pStyle w:val="Heading3"/>
        <w:spacing w:line="360" w:lineRule="auto"/>
      </w:pPr>
      <w:bookmarkStart w:id="294" w:name="_Toc99385517"/>
      <w:r w:rsidRPr="009867C1">
        <w:t>Next steps</w:t>
      </w:r>
      <w:bookmarkEnd w:id="294"/>
    </w:p>
    <w:p w14:paraId="4EA8D5EC" w14:textId="77777777" w:rsidR="00697585" w:rsidRPr="009867C1" w:rsidRDefault="00697585" w:rsidP="00697585">
      <w:pPr>
        <w:pStyle w:val="Heading4"/>
        <w:spacing w:line="360" w:lineRule="auto"/>
        <w:rPr>
          <w:lang w:val="en-CA"/>
        </w:rPr>
      </w:pPr>
      <w:bookmarkStart w:id="295" w:name="_Toc99385518"/>
      <w:r w:rsidRPr="009867C1">
        <w:rPr>
          <w:lang w:val="en-CA"/>
        </w:rPr>
        <w:t>Next steps for salmon forest soil chemistry and ecosystem functioning</w:t>
      </w:r>
      <w:bookmarkEnd w:id="295"/>
    </w:p>
    <w:p w14:paraId="3E2398E0" w14:textId="401D080B" w:rsidR="00697585" w:rsidRPr="009867C1" w:rsidRDefault="00697585" w:rsidP="00697585">
      <w:pPr>
        <w:spacing w:line="360" w:lineRule="auto"/>
        <w:ind w:firstLine="720"/>
        <w:rPr>
          <w:lang w:val="en-CA"/>
        </w:rPr>
      </w:pPr>
      <w:r w:rsidRPr="009867C1">
        <w:rPr>
          <w:lang w:val="en-CA"/>
        </w:rPr>
        <w:t xml:space="preserve">There remains considerable uncertainty in how acidic forest soils function – our understanding of the interplay between pH, soil organic matter, and the exchange capacities of diverse elements and compounds is currently undergoing rapid revision </w:t>
      </w:r>
      <w:r w:rsidRPr="009867C1">
        <w:rPr>
          <w:lang w:val="en-CA"/>
        </w:rPr>
        <w:fldChar w:fldCharType="begin"/>
      </w:r>
      <w:r w:rsidR="00AC0205">
        <w:rPr>
          <w:lang w:val="en-CA"/>
        </w:rPr>
        <w:instrText xml:space="preserve"> ADDIN ZOTERO_ITEM CSL_CITATION {"citationID":"YhTwGR6n","properties":{"formattedCitation":"(Jiang et al., 2018; Ross et al., 2008)","plainCitation":"(Jiang et al., 2018; Ross et al., 2008)","noteIndex":0},"citationItems":[{"id":1983,"uris":["http://zotero.org/users/2189142/items/V96663ZM"],"itemData":{"id":1983,"type":"article-journal","abstract":"Elevated anthropogenic acid deposition has accelerated forest soil acidification in southern China. However, the observed responses to increased acid inputs are quite variable among different forest soils, and the reasons remain unclear. To study the causes for the different responses, soil columns taken from a young pine forest (PF) and an old evergreen broadleaved forest (BF) were applied three levels of acid addition treatments for 60 days. We found that the PF soils were quite acid-sensitive, and the high acid treatment significantly decreased soil pH at 0–20 cm soil layer while significantly increased exchangeable H+ at both 0–20 and 20–40 cm soil layers. Both the low and high acid treatments significantly increased exchangeable Na+ at 0–20 cm soil layer and Ca2+ and Mg2+ at 20–40 cm soil layer. Furthermore, the high acid treatment also significantly increased leaching losses of H+, Ca2+, Mg2+ and Al3+. In contrast, the BF soils were able to buffer both the low and high acid treatments without significantly decreasing soil pH and increasing major exchangeable cations including Al3+ and their leaching losses. The significant differences in soil organic matter content were found to be responsible for these different responses, as a result of significantly positive correlation between cation exchange capacity (CEC) and organic carbon in both forest soils. The BF soils had higher organic matter than the PF soils, therefore a greater CEC for consuming H+ and a stronger capacity for binding cations. Our results explained why the PF soil pH decreased from 4.3 to 3.8, while the BF soil pH did not change significantly over the last 16 years, and highlighted the important roles of soil organic matter in acid buffering and retaining of major cations, especially for Al3+ in the very acidic forest soils in southern China.","container-title":"Chemical Geology","DOI":"10.1016/j.chemgeo.2018.10.009","ISSN":"0009-2541","journalAbbreviation":"Chemical Geology","language":"en","page":"86-94","source":"ScienceDirect","title":"Soil organic matter is important for acid buffering and reducing aluminum leaching from acidic forest soils","volume":"501","author":[{"family":"Jiang","given":"Jun"},{"family":"Wang","given":"Ying-Ping"},{"family":"Yu","given":"Mengxiao"},{"family":"Cao","given":"Nannan"},{"family":"Yan","given":"Junhua"}],"issued":{"date-parts":[["2018",11,30]]},"citation-key":"jiang_2018"}},{"id":1564,"uris":["http://zotero.org/users/2189142/items/SBZ9IB5C"],"itemData":{"id":1564,"type":"article-journal","abstract":"The long-term sustainability of forest soils may be affected by the retention of exchangeable nutrient cations such as Ca2+ and the availability of potentially toxic cations such as Al3+. Many of our current concepts of cation exchange and base cation saturation are largely unchanged since the beginnings of soil chemistry over a century ago. Many of the same methods are still in use even though they were developed in a period when exchangeable aluminium (Al) and variable charge were not generally recognized. These concepts and methods are not easily applicable to acid, highly organic forest soils. The source of charge in these soils is primarily derived from organic matter (OM) but the retention of cations, especially Al species, cannot be described by simple exchange phenomena. In this review, we trace the development of modern cation exchange definitions and procedures, and focus on how these are challenged by recent research on the behaviour of acid forest soils. Although the effective cation exchange capacity (CECe) in an individual forest soil sample can be easily shown to vary with the addition of strong base or acid, it is difficult to find a pH effect in a population of different acid forest soil samples. In the very acidic pH range below ca 4.5, soils will generally have smaller concentrations of adsorbed Al3+. This can be ascribed to a reduced availability of weatherable Al-containing minerals and a large amount of weak, organic acidity. Base cation saturation calculations in this pH range do not provide a useful metric and, in fact, pH is modelled better if Al3+ is considered to be a base cation. Measurement of exchangeable Al3+ with a neutral salt represents an ill-defined but repeatable portion of organically complexed Al, affected by the pH of the extractant. Cation exchange in these soils can be modelled if assumptions are made as to the proportion of individual cations that are non-specifically bound by soil OM. Future research should recognize these challenges and focus on redefining our concepts of cation retention in these important soils.","container-title":"European Journal of Soil Science","DOI":"10.1111/j.1365-2389.2008.01069.x","ISSN":"1365-2389","issue":"6","language":"en","note":"_eprint: https://onlinelibrary.wiley.com/doi/pdf/10.1111/j.1365-2389.2008.01069.x","page":"1141-1159","source":"Wiley Online Library","title":"Cation exchange in forest soils: the need for a new perspective","title-short":"Cation exchange in forest soils","volume":"59","author":[{"family":"Ross","given":"D. S."},{"family":"Matschonat","given":"G."},{"family":"Skyllberg","given":"U."}],"issued":{"date-parts":[["2008"]]},"citation-key":"ross_2008"}}],"schema":"https://github.com/citation-style-language/schema/raw/master/csl-citation.json"} </w:instrText>
      </w:r>
      <w:r w:rsidRPr="009867C1">
        <w:rPr>
          <w:lang w:val="en-CA"/>
        </w:rPr>
        <w:fldChar w:fldCharType="separate"/>
      </w:r>
      <w:r w:rsidR="0042141C" w:rsidRPr="009867C1">
        <w:t>(Jiang et al., 2018; Ross et al., 2008)</w:t>
      </w:r>
      <w:r w:rsidRPr="009867C1">
        <w:rPr>
          <w:lang w:val="en-CA"/>
        </w:rPr>
        <w:fldChar w:fldCharType="end"/>
      </w:r>
      <w:r w:rsidRPr="009867C1">
        <w:rPr>
          <w:lang w:val="en-CA"/>
        </w:rPr>
        <w:t>, and I expect it will continue to be in flux for some time. When one overlays upon this complexity the dynamic community and ecosystem ecology of the soil microbiome, the plant community, and all the interactions between the two, interpretation of natural gradients becomes daunting. This is doubly true given high temporal and spatial heterogeneity on multiple scales in salmon forests, which makes many results difficult to generalize. In many ways, these sciences are</w:t>
      </w:r>
      <w:r w:rsidR="003831C0" w:rsidRPr="009867C1">
        <w:rPr>
          <w:lang w:val="en-CA"/>
        </w:rPr>
        <w:t xml:space="preserve"> still</w:t>
      </w:r>
      <w:r w:rsidRPr="009867C1">
        <w:rPr>
          <w:lang w:val="en-CA"/>
        </w:rPr>
        <w:t xml:space="preserve"> in their early stages.</w:t>
      </w:r>
    </w:p>
    <w:p w14:paraId="553286DA" w14:textId="23F814EA" w:rsidR="00697585" w:rsidRPr="009867C1" w:rsidRDefault="00697585" w:rsidP="00697585">
      <w:pPr>
        <w:spacing w:line="360" w:lineRule="auto"/>
        <w:ind w:firstLine="720"/>
        <w:rPr>
          <w:lang w:val="en-CA"/>
        </w:rPr>
      </w:pPr>
      <w:r w:rsidRPr="009867C1">
        <w:rPr>
          <w:lang w:val="en-CA"/>
        </w:rPr>
        <w:t>Scientific study of the effects of natural gradients and natural inputs, such as salmon nutrients, require sensible null hypotheses for comparison. In past studies, as in this thesis, this has been provided by through the use of reference systems (i</w:t>
      </w:r>
      <w:r w:rsidR="008D3F29">
        <w:rPr>
          <w:lang w:val="en-CA"/>
        </w:rPr>
        <w:t>.</w:t>
      </w:r>
      <w:r w:rsidRPr="009867C1">
        <w:rPr>
          <w:lang w:val="en-CA"/>
        </w:rPr>
        <w:t>e. above waterfalls, or at nearby reference sites with fewer salmon inputs, etc</w:t>
      </w:r>
      <w:r w:rsidR="0022030C">
        <w:rPr>
          <w:lang w:val="en-CA"/>
        </w:rPr>
        <w:t>.</w:t>
      </w:r>
      <w:r w:rsidRPr="009867C1">
        <w:rPr>
          <w:lang w:val="en-CA"/>
        </w:rPr>
        <w:t>). Given the complexity of these systems, a more mechanistic and predictively powerful methodology may prove to be the use of well-parameterized and well-designed stochiometric models of forest energy and material flows. These are particularly important in cases where results require the consideration of both fractionation rates and bulk flow; in these cases often observed isotope stocks can be ‘explained’ through multiple hypotheses that are difficult or impossible to differentiate (i</w:t>
      </w:r>
      <w:r w:rsidR="008D3F29">
        <w:rPr>
          <w:lang w:val="en-CA"/>
        </w:rPr>
        <w:t>.</w:t>
      </w:r>
      <w:r w:rsidRPr="009867C1">
        <w:rPr>
          <w:lang w:val="en-CA"/>
        </w:rPr>
        <w:t xml:space="preserve">e. they are ‘overdetermined’ in an epistemological sense). Constructing such a framework is an ambitious project; quantification of </w:t>
      </w:r>
      <w:r w:rsidR="003831C0" w:rsidRPr="009867C1">
        <w:rPr>
          <w:lang w:val="en-CA"/>
        </w:rPr>
        <w:t xml:space="preserve">the effects of </w:t>
      </w:r>
      <w:r w:rsidRPr="009867C1">
        <w:rPr>
          <w:lang w:val="en-CA"/>
        </w:rPr>
        <w:t>salmon inputs</w:t>
      </w:r>
      <w:r w:rsidR="003831C0" w:rsidRPr="009867C1">
        <w:rPr>
          <w:lang w:val="en-CA"/>
        </w:rPr>
        <w:t xml:space="preserve"> as done here</w:t>
      </w:r>
      <w:r w:rsidRPr="009867C1">
        <w:rPr>
          <w:lang w:val="en-CA"/>
        </w:rPr>
        <w:t xml:space="preserve"> may be a good start that could be built upon (e.g. </w:t>
      </w:r>
      <w:r w:rsidRPr="009867C1">
        <w:rPr>
          <w:lang w:val="en-CA"/>
        </w:rPr>
        <w:fldChar w:fldCharType="begin"/>
      </w:r>
      <w:r w:rsidR="00AC0205">
        <w:rPr>
          <w:lang w:val="en-CA"/>
        </w:rPr>
        <w:instrText xml:space="preserve"> ADDIN ZOTERO_ITEM CSL_CITATION {"citationID":"kMoyp4ZW","properties":{"formattedCitation":"(Reimchen, 2017)","plainCitation":"(Reimchen, 2017)","noteIndex":0},"citationItems":[{"id":183,"uris":["http://zotero.org/users/2189142/items/5XY9XX4M"],"itemData":{"id":183,"type":"article-journal","abstract":"Based on five years of field studies (1992, 1993, 1994, 1998, 2000), I quantified bi-directional movement of salmon nutrients through an estuary, stream, and old growth forest in a large protected reserve on Haida Gwaii, British Columbia. In 1993, when most data were collected, about 6000 Chum Salmon (Oncorhynchus keta) entered the river of which 22% of the total biomass of senescent carcasses were swept downstream into the estuary and were scavenged by gulls (n = 350) and subtidal invertebrates. Of the 3700 salmon (10 000 kg) transferred by American Black Bear (Ursus americanus) to the riparian zone and partially consumed along the 800 m of stream channel, 5070 kg of salmon tissues abandoned by the bears were scavenged by Northwestern Crows (Corvus caurinus; n = 200) but mostly (4100 kg) by calliphorid blowfly larvae resulting in larval densities averaging 240/m2 throughout the riparian zone. Total nitrogen input to the soils from the combined effects of bear and scavenger activity as well as carcass input was 18 g/m2 within 10 m of the stream channel. δ15N of foliar tissues of Lanky Moss (Rhytidiadelphus loreus), Red Huckleberry (Vaccinium parvifolium), Salal (Gaultheria shallon), and Western Hemlock (Tsuga heterophylla) ranged about 15‰ to 20‰ among adjacent microsites in each species, with higher values occurring in salmon carcass zones. Total nitrogen in foliar tissues ranged from 1% to 2.4% among microsites and was best predicted by positive correlations with foliar 15N values and secondarily by presence/absence of salmon carcasses. This is the first study to integrate estuarine to riparian ecological processes in the cycling of salmonid nutrients and identifies a range of ecological baselines that can inform the multiple restoration programs underway in degraded watersheds in the North Pacific.","container-title":"Canadian Field Naturalist","ISSN":"0008-3550","language":"en","source":"pubag.nal.usda.gov","title":"Diverse Ecological Pathways of Salmon Nutrients Through an Intact Marine-terrestrial Interface","URL":"https://pubag.nal.usda.gov/catalog/6040059","author":[{"family":"Reimchen","given":"T.E."}],"accessed":{"date-parts":[["2019",8,4]]},"issued":{"date-parts":[["2017"]]},"citation-key":"reimchen_2017"}}],"schema":"https://github.com/citation-style-language/schema/raw/master/csl-citation.json"} </w:instrText>
      </w:r>
      <w:r w:rsidRPr="009867C1">
        <w:rPr>
          <w:lang w:val="en-CA"/>
        </w:rPr>
        <w:fldChar w:fldCharType="separate"/>
      </w:r>
      <w:r w:rsidR="0042141C" w:rsidRPr="009867C1">
        <w:t>(Reimchen, 2017)</w:t>
      </w:r>
      <w:r w:rsidRPr="009867C1">
        <w:rPr>
          <w:lang w:val="en-CA"/>
        </w:rPr>
        <w:fldChar w:fldCharType="end"/>
      </w:r>
      <w:r w:rsidR="008D3F29">
        <w:rPr>
          <w:lang w:val="en-CA"/>
        </w:rPr>
        <w:t>)</w:t>
      </w:r>
      <w:r w:rsidRPr="009867C1">
        <w:rPr>
          <w:lang w:val="en-CA"/>
        </w:rPr>
        <w:t xml:space="preserve">.     </w:t>
      </w:r>
    </w:p>
    <w:p w14:paraId="1F259E9D" w14:textId="2AB040AF" w:rsidR="00697585" w:rsidRPr="009867C1" w:rsidRDefault="00697585" w:rsidP="00697585">
      <w:pPr>
        <w:spacing w:line="360" w:lineRule="auto"/>
        <w:ind w:firstLine="720"/>
        <w:rPr>
          <w:lang w:val="en-CA"/>
        </w:rPr>
      </w:pPr>
      <w:r w:rsidRPr="009867C1">
        <w:rPr>
          <w:lang w:val="en-CA"/>
        </w:rPr>
        <w:t xml:space="preserve">With regards to nitrogen, this thesis as well as much of the extant literature constrains itself to consideration of nitrate, ammonium, and total N. It is known however that peptides and amino acids are both directly taken up by plants </w:t>
      </w:r>
      <w:r w:rsidRPr="009867C1">
        <w:rPr>
          <w:lang w:val="en-CA"/>
        </w:rPr>
        <w:fldChar w:fldCharType="begin"/>
      </w:r>
      <w:r w:rsidR="00AC0205">
        <w:rPr>
          <w:lang w:val="en-CA"/>
        </w:rPr>
        <w:instrText xml:space="preserve"> ADDIN ZOTERO_ITEM CSL_CITATION {"citationID":"R8pGf4LG","properties":{"formattedCitation":"(Homyak et al., 2021)","plainCitation":"(Homyak et al., 2021)","noteIndex":0},"citationItems":[{"id":10169,"uris":["http://zotero.org/users/2189142/items/67A4ME6G"],"itemData":{"id":10169,"type":"article-journal","abstract":"Organic nitrogen (N) is abundant in soils, but early conceptual frameworks considered it nonessential for plant growth. It is now well recognised that plants have the potential to take up organic N. However, it is still unclear whether plants supplement their N requirements by taking up organic N in situ: At what rate is organic N diffusing towards roots and are plants taking it up? We combined microdialysis with live-root uptake experiments to measure amino acid speciation and diffusion rates towards roots of Eriophorum vaginatum. Amino acid diffusion rates (321 ng N cm−2 h−1) were c. 3× higher than those for inorganic N. Positively charged amino acids made up 68% of the N diffusing through soils compared with neutral and negatively charged amino acids. Live-root uptake experiments confirmed that amino acids are taken up by plants (up to 1 µg N g−1 min−1 potential net uptake). Amino acids must be considered when forecasting plant-available N, especially when they dominate the N supply, and when acidity favours proteolysis over net N mineralisation. Determining amino acid production pathways and supply rates will become increasingly important in projecting the extent and consequences of shrub expansion, especially considering the higher C : N ratio of plants relative to soil.","container-title":"New Phytologist","DOI":"10.1111/nph.17315","ISSN":"1469-8137","issue":"n/a","language":"en","note":"_eprint: https://nph.onlinelibrary.wiley.com/doi/pdf/10.1111/nph.17315","source":"Wiley Online Library","title":"Amino acids dominate diffusive nitrogen fluxes across soil depths in acidic tussock tundra","URL":"https://nph.onlinelibrary.wiley.com/doi/abs/10.1111/nph.17315","volume":"n/a","author":[{"family":"Homyak","given":"Peter M."},{"family":"Slessarev","given":"Eric W."},{"family":"Hagerty","given":"Shannon"},{"family":"Greene","given":"Aral C."},{"family":"Marchus","given":"Kenneth"},{"family":"Dowdy","given":"Kelsey"},{"family":"Iverson","given":"Sadie"},{"family":"Schimel","given":"Joshua P."}],"accessed":{"date-parts":[["2021",6,14]]},"issued":{"date-parts":[["2021"]]},"citation-key":"homyak_2021"}}],"schema":"https://github.com/citation-style-language/schema/raw/master/csl-citation.json"} </w:instrText>
      </w:r>
      <w:r w:rsidRPr="009867C1">
        <w:rPr>
          <w:lang w:val="en-CA"/>
        </w:rPr>
        <w:fldChar w:fldCharType="separate"/>
      </w:r>
      <w:r w:rsidR="0042141C" w:rsidRPr="009867C1">
        <w:t>(Homyak et al., 2021)</w:t>
      </w:r>
      <w:r w:rsidRPr="009867C1">
        <w:rPr>
          <w:lang w:val="en-CA"/>
        </w:rPr>
        <w:fldChar w:fldCharType="end"/>
      </w:r>
      <w:r w:rsidRPr="009867C1">
        <w:rPr>
          <w:lang w:val="en-CA"/>
        </w:rPr>
        <w:t xml:space="preserve"> and fungi </w:t>
      </w:r>
      <w:r w:rsidRPr="009867C1">
        <w:rPr>
          <w:lang w:val="en-CA"/>
        </w:rPr>
        <w:fldChar w:fldCharType="begin"/>
      </w:r>
      <w:r w:rsidR="00AC0205">
        <w:rPr>
          <w:lang w:val="en-CA"/>
        </w:rPr>
        <w:instrText xml:space="preserve"> ADDIN ZOTERO_ITEM CSL_CITATION {"citationID":"3DaMLrL8","properties":{"formattedCitation":"(N\\uc0\\u228{}sholm et al., 2009)","plainCitation":"(Näsholm et al., 2009)","noteIndex":0},"citationItems":[{"id":1905,"uris":["http://zotero.org/users/2189142/items/GGJZAM54"],"itemData":{"id":1905,"type":"article-journal","abstract":"Contents Summary 31 I. Introduction 31 II. Availability 32 III. Uptake 34 IV. Field studies of plant amino acid uptake 41 V. Conclusions and future perspectives 43 Acknowledgements 44 References 45 Summary Languishing for many years in the shadow of plant inorganic nitrogen (N) nutrition research, studies of organic N uptake have attracted increased attention during the last decade. The capacity of plants to acquire organic N, demonstrated in laboratory and field settings, has thereby been well established. Even so, the ecological significance of organic N uptake for plant N nutrition is still a matter of discussion. Several lines of evidence suggest that plants growing in various ecosystems may access organic N species. Many soils display amino acid concentrations similar to, or higher than, those of inorganic N, mainly as a result of rapid hydrolysis of soil proteins. Transporters mediating amino acid uptake have been identified both in mycorrhizal fungi and in plant roots. Studies of endogenous metabolism of absorbed amino acids suggest that L- but not D-enantiomers are efficiently utilized. Dual labelled amino acids supplied to soil have provided strong evidence for plant uptake of organic N in the field but have failed to provide information on the quantitative importance of this process. Thus, direct evidence that organic N contributes significantly to plant N nutrition is still lacking. Recent progress in our understanding of the mechanisms underlying plant organic N uptake may open new avenues for the exploration of this subject.","container-title":"New Phytologist","DOI":"10.1111/j.1469-8137.2008.02751.x","ISSN":"1469-8137","issue":"1","language":"en","note":"_eprint: https://onlinelibrary.wiley.com/doi/pdf/10.1111/j.1469-8137.2008.02751.x","page":"31-48","source":"Wiley Online Library","title":"Uptake of organic nitrogen by plants","volume":"182","author":[{"family":"Näsholm","given":"Torgny"},{"family":"Kielland","given":"Knut"},{"family":"Ganeteg","given":"Ulrika"}],"issued":{"date-parts":[["2009"]]},"citation-key":"nasholm_2009"}}],"schema":"https://github.com/citation-style-language/schema/raw/master/csl-citation.json"} </w:instrText>
      </w:r>
      <w:r w:rsidRPr="009867C1">
        <w:rPr>
          <w:lang w:val="en-CA"/>
        </w:rPr>
        <w:fldChar w:fldCharType="separate"/>
      </w:r>
      <w:r w:rsidR="0042141C" w:rsidRPr="009867C1">
        <w:t>(Näsholm et al., 2009)</w:t>
      </w:r>
      <w:r w:rsidRPr="009867C1">
        <w:rPr>
          <w:lang w:val="en-CA"/>
        </w:rPr>
        <w:fldChar w:fldCharType="end"/>
      </w:r>
      <w:r w:rsidRPr="009867C1">
        <w:rPr>
          <w:lang w:val="en-CA"/>
        </w:rPr>
        <w:t>, and that organic nitrogen may be the dominant form of nitrogen in soil; this is energetically favourable to the organisms involved when substrates can be directly assimilated instead of being metabolically broken down and</w:t>
      </w:r>
      <w:r w:rsidR="003831C0" w:rsidRPr="009867C1">
        <w:rPr>
          <w:lang w:val="en-CA"/>
        </w:rPr>
        <w:t xml:space="preserve"> then</w:t>
      </w:r>
      <w:r w:rsidRPr="009867C1">
        <w:rPr>
          <w:lang w:val="en-CA"/>
        </w:rPr>
        <w:t xml:space="preserve"> re-synthesized. Organic-N metabolism in soils is on the cutting edge of soil chemistry (‘here be dragons’), and clarifying the stocks and flows of organic-N in these soils </w:t>
      </w:r>
      <w:r w:rsidR="003831C0" w:rsidRPr="009867C1">
        <w:rPr>
          <w:lang w:val="en-CA"/>
        </w:rPr>
        <w:t>is</w:t>
      </w:r>
      <w:r w:rsidRPr="009867C1">
        <w:rPr>
          <w:lang w:val="en-CA"/>
        </w:rPr>
        <w:t xml:space="preserve"> an important step in elucidating nitrogen dynamics in these forests.</w:t>
      </w:r>
    </w:p>
    <w:p w14:paraId="76537965" w14:textId="7B0FD067" w:rsidR="00697585" w:rsidRPr="009867C1" w:rsidRDefault="00697585" w:rsidP="00697585">
      <w:pPr>
        <w:spacing w:line="360" w:lineRule="auto"/>
        <w:ind w:firstLine="720"/>
        <w:rPr>
          <w:lang w:val="en-CA"/>
        </w:rPr>
      </w:pPr>
      <w:r w:rsidRPr="009867C1">
        <w:rPr>
          <w:lang w:val="en-CA"/>
        </w:rPr>
        <w:t xml:space="preserve">Similarly, organic-P is thought to dominate phosphorus dynamics in acidic soils </w:t>
      </w:r>
      <w:r w:rsidRPr="009867C1">
        <w:rPr>
          <w:lang w:val="en-CA"/>
        </w:rPr>
        <w:fldChar w:fldCharType="begin"/>
      </w:r>
      <w:r w:rsidR="00AC0205">
        <w:rPr>
          <w:lang w:val="en-CA"/>
        </w:rPr>
        <w:instrText xml:space="preserve"> ADDIN ZOTERO_ITEM CSL_CITATION {"citationID":"eGaCW4xD","properties":{"formattedCitation":"(B. L. Turner &amp; Blackwell, 2013)","plainCitation":"(B. L. Turner &amp; Blackwell, 2013)","noteIndex":0},"citationItems":[{"id":10174,"uris":["http://zotero.org/users/2189142/items/6NJFVL6E"],"itemData":{"id":10174,"type":"article-journal","abstract":"Soil pH influences the chemistry, dynamics and biological availability of phosphorus (P), but few studies have isolated the effect of pH from other soil properties. We studied phosphorus chemistry in soils along the Hoosfield acid strip (Rothamsted, UK), where a pH gradient from 3.7 to 7.8 occurs in a single soil with little variation in total phosphorus (mean ± standard deviation 399 ± 27 mg P kg−1). Soil organic phosphorus represented a consistent proportion of the total soil phosphorus (36 ± 2%) irrespective of soil pH. However, organic phosphorus concentrations increased by about 20% in the most acidic soils (pH &lt; 4.0), through an accumulation of inositol hexakisphosphate, DNA and phosphonates. The increase in organic phosphorus in the most acidic soils was not related to organic carbon, because organic carbon concentrations declined at pH &lt; 4.0. Thus, the organic carbon to organic phosphorus ratio declined from about 70 in neutral soils to about 50 in strongly acidic soils. In contrast to organic phosphorus, inorganic phosphorus was affected strongly by soil pH, because readily-exchangeable phosphate extracted with anion-exchange membranes and a more stable inorganic phosphorus pool extracted in NaOH–EDTA both increased markedly as soil pH declined. Inorganic orthophosphate concentrations were correlated negatively with amorphous manganese and positively with amorphous aluminium oxides, suggesting that soil pH influences orthophosphate stabilization via metal oxides. We conclude that pH has a relatively minor influence on the amount of organic phosphorus in soil, although some forms of organic phosphorus accumulate preferentially under strongly acidic conditions.","container-title":"European Journal of Soil Science","DOI":"10.1111/ejss.12026","ISSN":"1365-2389","issue":"2","language":"en","note":"_eprint: https://onlinelibrary.wiley.com/doi/pdf/10.1111/ejss.12026","page":"249-259","source":"Wiley Online Library","title":"Isolating the influence of pH on the amounts and forms of soil organic phosphorus","volume":"64","author":[{"family":"Turner","given":"Benjamin L."},{"family":"Blackwell","given":"M. S. A."}],"issued":{"date-parts":[["2013"]]},"citation-key":"turner_2013"}}],"schema":"https://github.com/citation-style-language/schema/raw/master/csl-citation.json"} </w:instrText>
      </w:r>
      <w:r w:rsidRPr="009867C1">
        <w:rPr>
          <w:lang w:val="en-CA"/>
        </w:rPr>
        <w:fldChar w:fldCharType="separate"/>
      </w:r>
      <w:r w:rsidR="0042141C" w:rsidRPr="009867C1">
        <w:t>(B. L. Turner &amp; Blackwell, 2013)</w:t>
      </w:r>
      <w:r w:rsidRPr="009867C1">
        <w:rPr>
          <w:lang w:val="en-CA"/>
        </w:rPr>
        <w:fldChar w:fldCharType="end"/>
      </w:r>
      <w:r w:rsidRPr="009867C1">
        <w:rPr>
          <w:lang w:val="en-CA"/>
        </w:rPr>
        <w:t xml:space="preserve"> and so a comprehensive assessment of P dynamics must include organic-P. Given conflicting discussion on what the ‘limiting nutrient’ is in these forests (and, indeed, even whether this is the correct paradigm in forest ecosystems), a more holistic approach to soil fertility that considers phosphorus and other elements may be more appropriate. </w:t>
      </w:r>
    </w:p>
    <w:p w14:paraId="267E0492" w14:textId="21D1AD3E" w:rsidR="00697585" w:rsidRDefault="00697585" w:rsidP="00455E78">
      <w:pPr>
        <w:spacing w:line="360" w:lineRule="auto"/>
        <w:ind w:firstLine="720"/>
        <w:rPr>
          <w:lang w:val="en-CA"/>
        </w:rPr>
      </w:pPr>
      <w:r w:rsidRPr="009867C1">
        <w:rPr>
          <w:lang w:val="en-CA"/>
        </w:rPr>
        <w:t xml:space="preserve">Finally, an important part of soil organic matter are lipids, which originate primarily from plant and animal sources and in British Columbia represent between 1-6% of soil dry weight </w:t>
      </w:r>
      <w:r w:rsidRPr="009867C1">
        <w:rPr>
          <w:lang w:val="en-CA"/>
        </w:rPr>
        <w:fldChar w:fldCharType="begin"/>
      </w:r>
      <w:r w:rsidR="00AC0205">
        <w:rPr>
          <w:lang w:val="en-CA"/>
        </w:rPr>
        <w:instrText xml:space="preserve"> ADDIN ZOTERO_ITEM CSL_CITATION {"citationID":"xGsEPl0n","properties":{"formattedCitation":"(Dinel et al., 1990)","plainCitation":"(Dinel et al., 1990)","noteIndex":0},"citationItems":[{"id":2010,"uris":["http://zotero.org/users/2189142/items/BFR32CLE"],"itemData":{"id":2010,"type":"chapter","container-title":"Soil Biochemistry","edition":"0","ISBN":"978-0-203-73938-9","language":"en","note":"DOI: 10.1201/9780203739389-8","page":"397-430","publisher":"Routledge","source":"DOI.org (Crossref)","title":"Soil Lipids: Origin, Nature, Content, Decomposition, and Effect on Soil Physical Properties","title-short":"Soil Lipids","URL":"https://www.taylorfrancis.com/books/9781351416061/chapters/10.1201/9780203739389-8","container-author":[{"family":"Bollag","given":"J.-M."}],"author":[{"family":"Dinel","given":"H."},{"family":"Schnitzer","given":"M."},{"family":"Mehuys","given":"G. R."}],"accessed":{"date-parts":[["2020",4,18]]},"issued":{"date-parts":[["1990"]]},"citation-key":"dinel_1990"}}],"schema":"https://github.com/citation-style-language/schema/raw/master/csl-citation.json"} </w:instrText>
      </w:r>
      <w:r w:rsidRPr="009867C1">
        <w:rPr>
          <w:lang w:val="en-CA"/>
        </w:rPr>
        <w:fldChar w:fldCharType="separate"/>
      </w:r>
      <w:r w:rsidR="0042141C" w:rsidRPr="009867C1">
        <w:t>(Dinel et al., 1990)</w:t>
      </w:r>
      <w:r w:rsidRPr="009867C1">
        <w:rPr>
          <w:lang w:val="en-CA"/>
        </w:rPr>
        <w:fldChar w:fldCharType="end"/>
      </w:r>
      <w:r w:rsidRPr="009867C1">
        <w:rPr>
          <w:lang w:val="en-CA"/>
        </w:rPr>
        <w:t xml:space="preserve">. Direct measurement of soil lipids offers an unexplored and independent (relative to nitrogen) avenue to measure recent and historical salmon inputs to riparian systems. Lipids can be long-lived in soil, and have long been used in archeological investigations </w:t>
      </w:r>
      <w:r w:rsidRPr="009867C1">
        <w:rPr>
          <w:lang w:val="en-CA"/>
        </w:rPr>
        <w:fldChar w:fldCharType="begin"/>
      </w:r>
      <w:r w:rsidR="00AC0205">
        <w:rPr>
          <w:lang w:val="en-CA"/>
        </w:rPr>
        <w:instrText xml:space="preserve"> ADDIN ZOTERO_ITEM CSL_CITATION {"citationID":"NClwPrXv","properties":{"formattedCitation":"(Evershed, 1993; Evershed et al., 2002)","plainCitation":"(Evershed, 1993; Evershed et al., 2002)","noteIndex":0},"citationItems":[{"id":10257,"uris":["http://zotero.org/users/2189142/items/EFM7R4CA"],"itemData":{"id":10257,"type":"article-journal","container-title":"World archaeology","issue":"1","note":"publisher: Taylor &amp; Francis","page":"74–93","source":"Google Scholar","title":"Biomolecular archaeology and lipids","volume":"25","author":[{"family":"Evershed","given":"Richard P."}],"issued":{"date-parts":[["1993"]]},"citation-key":"evershed_1993"}},{"id":10266,"uris":["http://zotero.org/users/2189142/items/B68B32AE"],"itemData":{"id":10266,"type":"article-journal","abstract":"Animal fats are preserved at archaeological sites in association with unglazed pottery, human and animal remains, and other deposits or hoards. High-temperature gas chromatography (HT-GC) and combined HT-GC/mass spectrometry (HT-GC/MS) has confirmed the presence of animal fats in lipid extracts of artifacts. Degradation products and pathways have been discerned through the analyses of archaeological finds and the products of laboratory and field-based decay experiments. The origins of preserved fats have been determined through detailed compositional analysis of their component fatty acids by GC, by GC/MS of dimethyl disulfide derivatives of monoenoic components, and by GC−combustion−isotope ratio-MS (GC−C−IRMS), to derive diagenetically robust δ13C values. Regiospecific analysis of intact triacylglycerols by high-performance liquid chromatography/MS (HPLC/MS), with atmospheric pressure chemical ionization, provides a further criterion for establishing the origin of fats. Preparative GC has been employed to isolate individual fatty acids from archaeological pottery in sufficient amounts for 14C dating.","container-title":"Accounts of Chemical Research","DOI":"10.1021/ar000200f","ISSN":"0001-4842","issue":"8","journalAbbreviation":"Acc. Chem. Res.","note":"publisher: American Chemical Society","page":"660-668","source":"ACS Publications","title":"Chemistry of Archaeological Animal Fats","volume":"35","author":[{"family":"Evershed","given":"Richard P."},{"family":"Dudd","given":"Stephanie N."},{"family":"Copley","given":"Mark S."},{"family":"Berstan","given":"Robert"},{"family":"Stott","given":"Andrew W."},{"family":"Mottram","given":"Hazel"},{"family":"Buckley","given":"Stephen A."},{"family":"Crossman","given":"Zoe"}],"issued":{"date-parts":[["2002",8,1]]},"citation-key":"evershed_2002"}}],"schema":"https://github.com/citation-style-language/schema/raw/master/csl-citation.json"} </w:instrText>
      </w:r>
      <w:r w:rsidRPr="009867C1">
        <w:rPr>
          <w:lang w:val="en-CA"/>
        </w:rPr>
        <w:fldChar w:fldCharType="separate"/>
      </w:r>
      <w:r w:rsidR="0042141C" w:rsidRPr="009867C1">
        <w:t>(Evershed, 1993; Evershed et al., 2002)</w:t>
      </w:r>
      <w:r w:rsidRPr="009867C1">
        <w:rPr>
          <w:lang w:val="en-CA"/>
        </w:rPr>
        <w:fldChar w:fldCharType="end"/>
      </w:r>
      <w:r w:rsidRPr="009867C1">
        <w:rPr>
          <w:lang w:val="en-CA"/>
        </w:rPr>
        <w:t xml:space="preserve">. Their decay is being increasingly well characterized due to use in forensic investigations </w:t>
      </w:r>
      <w:r w:rsidRPr="009867C1">
        <w:rPr>
          <w:lang w:val="en-CA"/>
        </w:rPr>
        <w:fldChar w:fldCharType="begin"/>
      </w:r>
      <w:r w:rsidR="00AC0205">
        <w:rPr>
          <w:lang w:val="en-CA"/>
        </w:rPr>
        <w:instrText xml:space="preserve"> ADDIN ZOTERO_ITEM CSL_CITATION {"citationID":"q07HmbyQ","properties":{"formattedCitation":"(Stokes et al., 2009)","plainCitation":"(Stokes et al., 2009)","noteIndex":0},"citationItems":[{"id":10261,"uris":["http://zotero.org/users/2189142/items/TU9L3TG5"],"itemData":{"id":10261,"type":"chapter","abstract":"Traditionally, soil evidence in forensic science has focused predominantly on the transference of soil particles from a victim or suspect and a crime scene. However, a recent increase in forensic taphonomy research has highlighted the potential of soil to provide key information to an investigation involving decomposed remains. A decomposing carcass can release a significant pulse of nutrients into the surrounding soil (gravesoil) resulting in the retention of decomposition products in the soil for a considerable period of time. In order to understand the complex associations between a decomposing carcass and the soil system, research must be conducted in both controlled laboratory environments and outdoor field environments. This chapter discusses two contrasting decomposition studies which aimed to investigate the cadaver/soil interaction. The first study investigated the decomposition of small mouse carcasses buried in soil and was conducted within a controlled laboratory environment in Western Australia. The second study investigated the decomposition of large pig carcasses placed on the soil surface and was conducted in an outdoor field environment in southern Ontario. Both studies investigated a range of decomposition products particularly focusing on carbon-based, nitrogen-based and phosphorus-based compounds as these were considered to offer the most valuable information to address the research questions. The results of both studies provide the opportunity to comment on the effect of carcass size, soil type and decomposition environment on the influx of decomposition products into the soil.","container-title":"Criminal and Environmental Soil Forensics","event-place":"Dordrecht","ISBN":"978-1-4020-9204-6","language":"en","note":"DOI: 10.1007/978-1-4020-9204-6_23","page":"357-377","publisher":"Springer Netherlands","publisher-place":"Dordrecht","source":"Springer Link","title":"Decomposition Studies Using Animal Models in Contrasting Environments: Evidence from Temporal Changes in Soil Chemistry and Microbial Activity","title-short":"Decomposition Studies Using Animal Models in Contrasting Environments","URL":"https://doi.org/10.1007/978-1-4020-9204-6_23","author":[{"family":"Stokes","given":"Kathryn L."},{"family":"Forbes","given":"Shari L."},{"family":"Benninger","given":"Laura A."},{"family":"Carter","given":"David O."},{"family":"Tibbett","given":"Mark"}],"editor":[{"family":"Ritz","given":"Karl"},{"family":"Dawson","given":"Lorna"},{"family":"Miller","given":"David"}],"accessed":{"date-parts":[["2021",6,17]]},"issued":{"date-parts":[["2009"]]},"citation-key":"stokes_2009"}}],"schema":"https://github.com/citation-style-language/schema/raw/master/csl-citation.json"} </w:instrText>
      </w:r>
      <w:r w:rsidRPr="009867C1">
        <w:rPr>
          <w:lang w:val="en-CA"/>
        </w:rPr>
        <w:fldChar w:fldCharType="separate"/>
      </w:r>
      <w:r w:rsidR="0042141C" w:rsidRPr="009867C1">
        <w:t>(Stokes et al., 2009)</w:t>
      </w:r>
      <w:r w:rsidRPr="009867C1">
        <w:rPr>
          <w:lang w:val="en-CA"/>
        </w:rPr>
        <w:fldChar w:fldCharType="end"/>
      </w:r>
      <w:r w:rsidRPr="009867C1">
        <w:rPr>
          <w:lang w:val="en-CA"/>
        </w:rPr>
        <w:t>. Given the preponderance of the use of nitrogen and nitrogen-isotopes in quantifying salmon inputs, a diversification of these measures is warranted</w:t>
      </w:r>
      <w:r w:rsidR="003831C0" w:rsidRPr="009867C1">
        <w:rPr>
          <w:lang w:val="en-CA"/>
        </w:rPr>
        <w:t xml:space="preserve"> to corroborate</w:t>
      </w:r>
      <w:r w:rsidR="00AB5B1E" w:rsidRPr="009867C1">
        <w:rPr>
          <w:lang w:val="en-CA"/>
        </w:rPr>
        <w:t xml:space="preserve"> quantifications of MDN inputs</w:t>
      </w:r>
      <w:r w:rsidRPr="009867C1">
        <w:rPr>
          <w:lang w:val="en-CA"/>
        </w:rPr>
        <w:t xml:space="preserve">. </w:t>
      </w:r>
    </w:p>
    <w:p w14:paraId="7F0A1E3E" w14:textId="77777777" w:rsidR="00455E78" w:rsidRPr="009867C1" w:rsidRDefault="00455E78" w:rsidP="00455E78">
      <w:pPr>
        <w:spacing w:line="360" w:lineRule="auto"/>
        <w:ind w:firstLine="720"/>
        <w:rPr>
          <w:lang w:val="en-CA"/>
        </w:rPr>
      </w:pPr>
    </w:p>
    <w:p w14:paraId="4B821D1F" w14:textId="77777777" w:rsidR="00697585" w:rsidRPr="009867C1" w:rsidRDefault="00697585" w:rsidP="00697585">
      <w:pPr>
        <w:pStyle w:val="Heading4"/>
        <w:spacing w:line="360" w:lineRule="auto"/>
        <w:rPr>
          <w:lang w:val="en-CA"/>
        </w:rPr>
      </w:pPr>
      <w:bookmarkStart w:id="296" w:name="_Toc99385519"/>
      <w:r w:rsidRPr="009867C1">
        <w:rPr>
          <w:lang w:val="en-CA"/>
        </w:rPr>
        <w:t>Next steps for soil community ecology</w:t>
      </w:r>
      <w:bookmarkEnd w:id="296"/>
    </w:p>
    <w:p w14:paraId="59A3FE0F" w14:textId="5BEEE2CE" w:rsidR="00697585" w:rsidRPr="009867C1" w:rsidRDefault="00697585" w:rsidP="00697585">
      <w:pPr>
        <w:spacing w:line="360" w:lineRule="auto"/>
        <w:ind w:firstLine="720"/>
        <w:rPr>
          <w:lang w:val="en-CA"/>
        </w:rPr>
      </w:pPr>
      <w:r w:rsidRPr="009867C1">
        <w:rPr>
          <w:lang w:val="en-CA"/>
        </w:rPr>
        <w:t>The advent of next-generation environmental sequencing has led to a proliferation of studies characterizing soil microbial communities. In this thesis I performed initial surveys characterizing the fungal and bacterial communities of salmon forest soils. These could be extended through targeted barcoding efforts to identify and quantify particular taxonomic and functional groups: for example, ammonia oxidizing bacteria, which generally dominate sites with pH&lt;5.5 (Prosser and Nicol 2012), and bacteria associated with dissimilatory nitrate reduction to ammonium (DNRA), which have important functional implications for nitrogen cycling in riparian forest soils. Arch</w:t>
      </w:r>
      <w:r w:rsidR="00E77753">
        <w:rPr>
          <w:lang w:val="en-CA"/>
        </w:rPr>
        <w:t>a</w:t>
      </w:r>
      <w:r w:rsidRPr="009867C1">
        <w:rPr>
          <w:lang w:val="en-CA"/>
        </w:rPr>
        <w:t xml:space="preserve">ea </w:t>
      </w:r>
      <w:r w:rsidR="00AB5B1E" w:rsidRPr="009867C1">
        <w:rPr>
          <w:lang w:val="en-CA"/>
        </w:rPr>
        <w:t xml:space="preserve">also </w:t>
      </w:r>
      <w:r w:rsidRPr="009867C1">
        <w:rPr>
          <w:lang w:val="en-CA"/>
        </w:rPr>
        <w:t xml:space="preserve">often account for high proportions of rRNA in acidic forest soils </w:t>
      </w:r>
      <w:r w:rsidRPr="009867C1">
        <w:rPr>
          <w:lang w:val="en-CA"/>
        </w:rPr>
        <w:fldChar w:fldCharType="begin"/>
      </w:r>
      <w:r w:rsidR="00AC0205">
        <w:rPr>
          <w:lang w:val="en-CA"/>
        </w:rPr>
        <w:instrText xml:space="preserve"> ADDIN ZOTERO_ITEM CSL_CITATION {"citationID":"EJDCGWoa","properties":{"formattedCitation":"(Kemnitz et al., 2007)","plainCitation":"(Kemnitz et al., 2007)","noteIndex":0},"citationItems":[{"id":10302,"uris":["http://zotero.org/users/2189142/items/4MKHVKVR"],"itemData":{"id":10302,"type":"article-journal","abstract":"The objective of the study was to elucidate the depth distribution and community composition of Archaea in a temperate acidic forest soil. Numbers of Archaea and Bacteria were measured in the upper 18 cm of the soil, and soil cores were sampled on two separate occasions using quantitative PCR targeting 16S rRNA genes. Maximum numbers of Archaea were 0.6–3.8 × 108 16S rRNA genes per gram of dry soil. Numbers of Bacteria were generally higher, but Archaea always accounted for a high percentage of the total gene numbers (12–38%). The archaeal community structure was analysed by the construction of clone libraries and by terminal restriction length polymorphism (T-RFLP) using the same Archaea-specific primers. With the reverse primer labelled, T-RFLP analysis led to the detection of four T-RFs. Three had lengths of 83, 185 and 218 bp and corresponded to uncultured Crenarchaeota. One (447 bp) was assigned to Thermoplasmales. Labelling of the forward primer allowed further separation of the T-RF into Crenarchaeota Group I.1c and Group I.1b, and indicated that Crenarchaeota of the Group I.1c were the predominant 16S rRNA genotype (≤85%) in the soil. The abundance of Archaea and concentration of ammonia and nitrate decreased with soil depth. Hence it is unclear if the detected Crenarchaeota Group I.1c participated in ammonia oxidation or had another phenotype.","container-title":"FEMS Microbiology Ecology","DOI":"10.1111/j.1574-6941.2007.00310.x","ISSN":"0168-6496","issue":"3","journalAbbreviation":"FEMS Microbiology Ecology","page":"442-448","source":"Silverchair","title":"High abundance of Crenarchaeota in a temperate acidic forest soil","volume":"60","author":[{"family":"Kemnitz","given":"Dana"},{"family":"Kolb","given":"Steffen"},{"family":"Conrad","given":"Ralf"}],"issued":{"date-parts":[["2007",6,1]]},"citation-key":"kemnitz_2007"}}],"schema":"https://github.com/citation-style-language/schema/raw/master/csl-citation.json"} </w:instrText>
      </w:r>
      <w:r w:rsidRPr="009867C1">
        <w:rPr>
          <w:lang w:val="en-CA"/>
        </w:rPr>
        <w:fldChar w:fldCharType="separate"/>
      </w:r>
      <w:r w:rsidR="0042141C" w:rsidRPr="009867C1">
        <w:t>(Kemnitz et al., 2007)</w:t>
      </w:r>
      <w:r w:rsidRPr="009867C1">
        <w:rPr>
          <w:lang w:val="en-CA"/>
        </w:rPr>
        <w:fldChar w:fldCharType="end"/>
      </w:r>
      <w:r w:rsidR="00AB5B1E" w:rsidRPr="009867C1">
        <w:rPr>
          <w:lang w:val="en-CA"/>
        </w:rPr>
        <w:t>,</w:t>
      </w:r>
      <w:r w:rsidRPr="009867C1">
        <w:rPr>
          <w:lang w:val="en-CA"/>
        </w:rPr>
        <w:t xml:space="preserve"> are important in nitrogen cycling (Nicol et al. 2008)</w:t>
      </w:r>
      <w:r w:rsidR="00AB5B1E" w:rsidRPr="009867C1">
        <w:rPr>
          <w:lang w:val="en-CA"/>
        </w:rPr>
        <w:t>, and should be quantified to complete our picture of the microbial ecology in these soils</w:t>
      </w:r>
      <w:r w:rsidRPr="009867C1">
        <w:rPr>
          <w:lang w:val="en-CA"/>
        </w:rPr>
        <w:t xml:space="preserve">. </w:t>
      </w:r>
    </w:p>
    <w:p w14:paraId="2624ADF1" w14:textId="6276830A" w:rsidR="00697585" w:rsidRPr="009867C1" w:rsidRDefault="00697585" w:rsidP="00697585">
      <w:pPr>
        <w:spacing w:line="360" w:lineRule="auto"/>
        <w:ind w:firstLine="720"/>
        <w:rPr>
          <w:lang w:val="en-CA"/>
        </w:rPr>
      </w:pPr>
      <w:r w:rsidRPr="009867C1">
        <w:rPr>
          <w:lang w:val="en-CA"/>
        </w:rPr>
        <w:t>In addition, the role of s</w:t>
      </w:r>
      <w:r w:rsidRPr="009867C1">
        <w:t xml:space="preserve">oil fauna </w:t>
      </w:r>
      <w:r w:rsidR="00AB5B1E" w:rsidRPr="009867C1">
        <w:t>remains</w:t>
      </w:r>
      <w:r w:rsidRPr="009867C1">
        <w:t xml:space="preserve"> uninvestigated. Micromorphological investigations show that Folisols are strongly affected by faunal activity, particular the activity of oribatid mites </w:t>
      </w:r>
      <w:r w:rsidRPr="009867C1">
        <w:fldChar w:fldCharType="begin"/>
      </w:r>
      <w:r w:rsidR="00AC0205">
        <w:instrText xml:space="preserve"> ADDIN ZOTERO_ITEM CSL_CITATION {"citationID":"mO5vQM51","properties":{"formattedCitation":"(C. A. Fox et al., 1994; C. A. Fox &amp; Tarnocai, 2011)","plainCitation":"(C. A. Fox et al., 1994; C. A. Fox &amp; Tarnocai, 2011)","noteIndex":0},"citationItems":[{"id":1293,"uris":["http://zotero.org/users/2189142/items/U4FJCB2P"],"itemData":{"id":1293,"type":"article-journal","container-title":"Canadian journal of soil science","issue":"1","page":"1–15","source":"Google Scholar","title":"Micromorphological and 13C NMR characterization of a humic, lignic, and histic folisol from British Columbia","volume":"74","author":[{"family":"Fox","given":"C. A."},{"family":"Preston","given":"C. M."},{"family":"Fyfe","given":"C. A."}],"issued":{"date-parts":[["1994"]]},"citation-key":"fox_1994"}},{"id":1292,"uris":["http://zotero.org/users/2189142/items/6SX9T85W"],"itemData":{"id":1292,"type":"article-journal","abstract":"Fox, C. A. and Tarnocai, C. 2011. Organic soils of Canada: Part 2. Upland Organic soils. Can. J. Soil Sci. 91: 823–842. Soils from upland moderately well-drained environments with thick accumulations (&gt;10 cm over lithic contact; &gt;40 cm over mineral soil) of folic materials (forest materials, branches, roots, and other non-wetland materials) are classified within the Folisol great group in the Organic Order since the 1987 revision of the Canadian System of Soil Classification. The Folisol great group correlates to Folist in Keys to Soil Taxonomy and Folic Histosol in World Reference Base for Soil Resources (FAO). Two subgroups – Hemic and Humic Folisol – account for most Folisols addressing the state of decomposition of folic materials. The Lignic and Histic Folisol subgroups identify specific kinds of folic accumulations. Folisolic soils can occur throughout Canada, in forest, heath, and alpine ecosytems with cool, moist, humid environments, but are most prominent within the Pacific Maritime Ecozone; area..., Fox, C. A. et Tarnocai, C. 2011. Sols organique au canada: Partie 2. Sols organiques des hautes terres. Can. J. Soil Sci. 91: 823–842. Depuis la révision, en 1987, du Système canadien de classification des sols, les sols des hautes terres modérément bien drainés qui se caractérisent par l'accumulation d'une couche épaisse (&gt; 10 cm sur l'assise rocheuse; &gt; 40 cm sur le sol minéral) de matériaux foliques (matériaux d'origine forestière, branches, racines et autres matériaux ne venant pas des terres humides) sont classés dans le grand groupe des folisols, de l'ordre des sols organiques. Ce groupe correspond à la catégorie « Folist » dans keys to Soil Taxonomy et à celle des Histosols Foliques dans la Base de référence mondiale pour les ressources en sols de la FAO. La plupart des Folisols se retrouvent dans deux sous-groupes (Folisols hémiques et humiques), selon le degré de décomposition des matériaux foliques. Les sous-groupes des Folisols ligniques et histiques identifient une accumulation particulière de...","container-title":"Canadian Journal of Soil Science","DOI":"10.4141/cjss10032","ISSN":"0008-4271","issue":"5","journalAbbreviation":"Can. J. Soil. Sci.","page":"823-842","source":"NRC Research Press","title":"Organic soils of Canada: Part 2. Upland Organic soils","title-short":"Organic soils of Canada","volume":"91","author":[{"family":"Fox","given":"C.A."},{"family":"Tarnocai","given":"Charles"}],"issued":{"date-parts":[["2011",1,1]]},"citation-key":"fox_2011"}}],"schema":"https://github.com/citation-style-language/schema/raw/master/csl-citation.json"} </w:instrText>
      </w:r>
      <w:r w:rsidRPr="009867C1">
        <w:fldChar w:fldCharType="separate"/>
      </w:r>
      <w:r w:rsidR="0042141C" w:rsidRPr="009867C1">
        <w:t>(C. A. Fox et al., 1994; C. A. Fox &amp; Tarnocai, 2011)</w:t>
      </w:r>
      <w:r w:rsidRPr="009867C1">
        <w:fldChar w:fldCharType="end"/>
      </w:r>
      <w:r w:rsidRPr="009867C1">
        <w:t xml:space="preserve">. I observed exotic invasive earthworms in at least one site (Hooknose), which change soil chemical and physical properties and have profound impacts on plant communities </w:t>
      </w:r>
      <w:r w:rsidRPr="009867C1">
        <w:fldChar w:fldCharType="begin"/>
      </w:r>
      <w:r w:rsidR="00AC0205">
        <w:instrText xml:space="preserve"> ADDIN ZOTERO_ITEM CSL_CITATION {"citationID":"jM45I8gd","properties":{"formattedCitation":"(Addison, 2008; Arcese &amp; Rodewald, 2019)","plainCitation":"(Addison, 2008; Arcese &amp; Rodewald, 2019)","noteIndex":0},"citationItems":[{"id":1023,"uris":["http://zotero.org/users/2189142/items/99HT96WB"],"itemData":{"id":1023,"type":"article-journal","abstract":"In Canada it is generally accepted that most indigenous earthworms did not survive glaciation, and that the majority of the earthworms now inhabiting Canadian soils are relatively recent introductions of European origin. Although these exotic earthworms are generally considered to be beneficial in agricultural soils, their effects can be less benign in forested ecosystems. Studies have shown that invading earthworms can significantly alter the forest floor, affecting the distribution of carbon, nitrogen and other chemicals, roots, microbes and other elements of the soil fauna, and even understory vegetation. This paper summarizes the current distribution of exotic and native earthworm species in Canadian forests and draws on the results of studies of invasion patterns and environmental impacts in northern forests in North America and Europe to discuss potential outcomes for forests in Canada. The potential for variables such as temperature, pH, litter palatability and dispersal, to limit or promote the invasion of exotic earthworms in Canadian forests is discussed, and areas for future research are proposed. The same earthworm species that are invading forests in northern Europe and the US are also invading Canadian forests. Several species of exotic earthworms are already established in a wide range of deciduous and coniferous forest types, including the boreal. Evidence is presented to suggest that further expansion into Canadian forests is likely.","container-title":"Biological Invasions","DOI":"10.1007/s10530-008-9320-4","ISSN":"1387-3547, 1573-1464","issue":"1","journalAbbreviation":"Biol Invasions","language":"en","page":"59-79","source":"link.springer.com.ezproxy.library.ubc.ca","title":"Distribution and impacts of invasive earthworms in Canadian forest ecosystems","volume":"11","author":[{"family":"Addison","given":"J. A."}],"issued":{"date-parts":[["2008",7,24]]},"citation-key":"addison_2008"}},{"id":10270,"uris":["http://zotero.org/users/2189142/items/WS3RWMRN"],"itemData":{"id":10270,"type":"article-journal","abstract":"Non-native earthworms can drive ecosystem change, simplify native plant communities, and promote invasion by non-native plants, but we know little about their pathways into island archipelagos, which currently support about 40% of the worlds threatened species. We studied links among non-native earthworms, human settlement, deer, and plant communities on 26 islands in the San Juan and Southern Gulf Island archipelagos of the Georgia Basin Ecoregion of western North America. We evaluated the (1) invasion pathways and occurrence of non-native earthworms on islands, (2) influence of non-native earthworms on herbaceous and woody plant cover, and (3) potential for synergistic interactions among deer, earthworms and non-native plants. Human settlement was a pre-condition to detecting non-native earthworms on islands. Non-native earthworm abundance was related positively to the cover of non-native herbaceous and woody plants, effects which may be exacerbated by high deer density. Our findings suggest that the absence of non-native earthworms on many small islands makes their protection crucial to the conservation of intact examples of native ecosystems, including critically endangered Garry oak and maritime meadows in Canada.","container-title":"Biological Invasions","DOI":"10.1007/s10530-019-01942-w","journalAbbreviation":"Biological Invasions","source":"ResearchGate","title":"Predictors and consequences of earthworm invasion in a coastal archipelago","volume":"21","author":[{"family":"Arcese","given":"Peter"},{"family":"Rodewald","given":"Amanda"}],"issued":{"date-parts":[["2019",5,1]]},"citation-key":"arcese_2019"}}],"schema":"https://github.com/citation-style-language/schema/raw/master/csl-citation.json"} </w:instrText>
      </w:r>
      <w:r w:rsidRPr="009867C1">
        <w:fldChar w:fldCharType="separate"/>
      </w:r>
      <w:r w:rsidR="0042141C" w:rsidRPr="009867C1">
        <w:t>(Addison, 2008; Arcese &amp; Rodewald, 2019)</w:t>
      </w:r>
      <w:r w:rsidRPr="009867C1">
        <w:fldChar w:fldCharType="end"/>
      </w:r>
      <w:r w:rsidRPr="009867C1">
        <w:t xml:space="preserve">. Mesofauna are known to contribute to litter breakdown and nitrogen cycling </w:t>
      </w:r>
      <w:r w:rsidRPr="009867C1">
        <w:fldChar w:fldCharType="begin"/>
      </w:r>
      <w:r w:rsidR="00AC0205">
        <w:instrText xml:space="preserve"> ADDIN ZOTERO_ITEM CSL_CITATION {"citationID":"7EqEYMdQ","properties":{"formattedCitation":"(C\\uc0\\u225{}rcamo et al., 2001)","plainCitation":"(Cárcamo et al., 2001)","noteIndex":0},"citationItems":[{"id":10277,"uris":["http://zotero.org/users/2189142/items/XDEVCBZ8"],"itemData":{"id":10277,"type":"article-journal","container-title":"Canadian Journal of Forest Research","issue":"7","note":"publisher: NRC Research Press Ottawa, Canada","page":"1195–1204","source":"Google Scholar","title":"Do soil fauna increase rates of litter breakdown and nitrogen release in forests of British Columbia, Canada?","volume":"31","author":[{"family":"Cárcamo","given":"H. A."},{"family":"Prescott","given":"C. E."},{"family":"Chanway","given":"C. P."},{"family":"Abe","given":"T. A."}],"issued":{"date-parts":[["2001"]]},"citation-key":"carcamo_2001"}}],"schema":"https://github.com/citation-style-language/schema/raw/master/csl-citation.json"} </w:instrText>
      </w:r>
      <w:r w:rsidRPr="009867C1">
        <w:fldChar w:fldCharType="separate"/>
      </w:r>
      <w:r w:rsidR="0042141C" w:rsidRPr="009867C1">
        <w:t>(Cárcamo et al., 2001)</w:t>
      </w:r>
      <w:r w:rsidRPr="009867C1">
        <w:fldChar w:fldCharType="end"/>
      </w:r>
      <w:r w:rsidRPr="009867C1">
        <w:t xml:space="preserve">, and amoebae have direct and indirect effects on soil chemistry and the community structure of both fungi and bacteria </w:t>
      </w:r>
      <w:r w:rsidRPr="009867C1">
        <w:fldChar w:fldCharType="begin"/>
      </w:r>
      <w:r w:rsidR="00AC0205">
        <w:instrText xml:space="preserve"> ADDIN ZOTERO_ITEM CSL_CITATION {"citationID":"LFH0cdQG","properties":{"formattedCitation":"(D. M. Wilkinson &amp; Mitchell, 2010)","plainCitation":"(D. M. Wilkinson &amp; Mitchell, 2010)","noteIndex":0},"citationItems":[{"id":10286,"uris":["http://zotero.org/users/2189142/items/MV2BPQEE"],"itemData":{"id":10286,"type":"article-journal","abstract":"We asked the following question: Is the lack of attention given to testate amoebae, and other protists, in studies of nutrient cycling justified by their relative unimportance or are we ignoring key players in nutrient cycling and other ecological processes? We review various aspects of the ecology of testates relevant to their role in nutrient cycling. These include their food sources, their population sizes and production ecology, the rate of test breakdown (and hence recycling of material from testates to other organisms) and non-feeding interactions with other organisms (e.g., mychorrhizae). Much of the relevant published literature dates from the late 1960s to the early 1980s, presumably due to the interest in production ecology and other aspects of ecosystem ecology at this time. There was a reduction in relevant research during the 1980s and 1990s, but there has recently been signs of renewed interest in this area. In addition to reviewing the past literature we suggest new speculations about the role of the evolution of grasses and the rise of the euglyphid testates—mediated by the silica cycle. Our main conclusion is that we currently do not know enough to answer our question about their potential importance! However, there are hints in these data which suggest that testates may be important and should be targeted by future research. Some of the main questions that should be targeted are outlined.","container-title":"Geomicrobiology Journal","DOI":"10.1080/01490451003702925","ISSN":"0149-0451","issue":"6-7","note":"publisher: Taylor &amp; Francis\n_eprint: https://doi.org/10.1080/01490451003702925","page":"520-533","source":"Taylor and Francis+NEJM","title":"Testate Amoebae and Nutrient Cycling with Particular Reference to Soils","volume":"27","author":[{"family":"Wilkinson","given":"David M."},{"family":"Mitchell","given":"Edward A. D."}],"issued":{"date-parts":[["2010",9,10]]},"citation-key":"wilkinson_2010"}}],"schema":"https://github.com/citation-style-language/schema/raw/master/csl-citation.json"} </w:instrText>
      </w:r>
      <w:r w:rsidRPr="009867C1">
        <w:fldChar w:fldCharType="separate"/>
      </w:r>
      <w:r w:rsidR="0042141C" w:rsidRPr="009867C1">
        <w:t>(D. M. Wilkinson &amp; Mitchell, 2010)</w:t>
      </w:r>
      <w:r w:rsidRPr="009867C1">
        <w:fldChar w:fldCharType="end"/>
      </w:r>
      <w:r w:rsidRPr="009867C1">
        <w:t xml:space="preserve">. Nematodes are one of the largest soil taxa by mass, and include both predacious and omnivorous species that are cornerstones of the soil community </w:t>
      </w:r>
      <w:r w:rsidRPr="009867C1">
        <w:fldChar w:fldCharType="begin"/>
      </w:r>
      <w:r w:rsidR="00AC0205">
        <w:instrText xml:space="preserve"> ADDIN ZOTERO_ITEM CSL_CITATION {"citationID":"JV5RJGDU","properties":{"formattedCitation":"(Yeates, 2007)","plainCitation":"(Yeates, 2007)","noteIndex":0},"citationItems":[{"id":10297,"uris":["http://zotero.org/users/2189142/items/9ECG5YXU"],"itemData":{"id":10297,"type":"article-journal","container-title":"Canadian journal of forest research","issue":"2","page":"216–225","source":"Google Scholar","title":"Abundance, diversity, and resilience of nematode assemblages in forest soils","volume":"37","author":[{"family":"Yeates","given":"G. W."}],"issued":{"date-parts":[["2007"]]},"citation-key":"yeates_2007"}}],"schema":"https://github.com/citation-style-language/schema/raw/master/csl-citation.json"} </w:instrText>
      </w:r>
      <w:r w:rsidRPr="009867C1">
        <w:fldChar w:fldCharType="separate"/>
      </w:r>
      <w:r w:rsidR="0042141C" w:rsidRPr="009867C1">
        <w:t>(Yeates, 2007)</w:t>
      </w:r>
      <w:r w:rsidRPr="009867C1">
        <w:fldChar w:fldCharType="end"/>
      </w:r>
      <w:r w:rsidRPr="009867C1">
        <w:t>. All these taxa play important roles in the nutrient cycling and likely interact both directly and indirectly with salmon inputs.</w:t>
      </w:r>
    </w:p>
    <w:p w14:paraId="5690A67A" w14:textId="50880BA6" w:rsidR="00697585" w:rsidRDefault="00697585" w:rsidP="00697585">
      <w:pPr>
        <w:spacing w:line="360" w:lineRule="auto"/>
        <w:ind w:firstLine="720"/>
        <w:rPr>
          <w:lang w:val="en-CA"/>
        </w:rPr>
      </w:pPr>
      <w:r w:rsidRPr="009867C1">
        <w:rPr>
          <w:lang w:val="en-CA"/>
        </w:rPr>
        <w:t xml:space="preserve">Finally, functional studies leveraging of these technologies such as environmental transcriptomics give us a means to gauge ecosystem processes in real time. Monitoring the expression of various genes involved in nitrogen cycling (e.g. </w:t>
      </w:r>
      <w:r w:rsidRPr="009867C1">
        <w:rPr>
          <w:i/>
          <w:iCs/>
          <w:lang w:val="en-CA"/>
        </w:rPr>
        <w:t>amoA</w:t>
      </w:r>
      <w:r w:rsidRPr="009867C1">
        <w:rPr>
          <w:lang w:val="en-CA"/>
        </w:rPr>
        <w:t xml:space="preserve">, </w:t>
      </w:r>
      <w:r w:rsidRPr="009867C1">
        <w:rPr>
          <w:i/>
          <w:iCs/>
          <w:lang w:val="en-CA"/>
        </w:rPr>
        <w:t>nosZ</w:t>
      </w:r>
      <w:r w:rsidRPr="009867C1">
        <w:rPr>
          <w:lang w:val="en-CA"/>
        </w:rPr>
        <w:t>, etc</w:t>
      </w:r>
      <w:r w:rsidR="00AB5B1E" w:rsidRPr="009867C1">
        <w:rPr>
          <w:lang w:val="en-CA"/>
        </w:rPr>
        <w:t>.</w:t>
      </w:r>
      <w:r w:rsidRPr="009867C1">
        <w:rPr>
          <w:lang w:val="en-CA"/>
        </w:rPr>
        <w:t xml:space="preserve">) could profitably be used to measure short-term responses of the soil community to N-addition </w:t>
      </w:r>
      <w:r w:rsidRPr="009867C1">
        <w:rPr>
          <w:lang w:val="en-CA"/>
        </w:rPr>
        <w:fldChar w:fldCharType="begin"/>
      </w:r>
      <w:r w:rsidR="00AC0205">
        <w:rPr>
          <w:lang w:val="en-CA"/>
        </w:rPr>
        <w:instrText xml:space="preserve"> ADDIN ZOTERO_ITEM CSL_CITATION {"citationID":"zE1OeLXa","properties":{"formattedCitation":"(Levy-Booth et al., 2014)","plainCitation":"(Levy-Booth et al., 2014)","noteIndex":0},"citationItems":[{"id":1974,"uris":["http://zotero.org/users/2189142/items/RFQ5W5F9"],"itemData":{"id":1974,"type":"article-journal","abstract":"The understanding of nitrogen (N) cycling in forest ecosystems has undergone a major shift in the past decade as molecular methods are being used to link microorganisms to key processes in soil. The analysis of the abundance and community structure of functional genes involved in the biogeochemical cycling of N in forest soils offers an approach to directly link microbial groups to soil characteristics and ecosystem processes. The majority of N entering ecosystems is biologically-derived from fixation of atmospheric N2. Molecular studies of N-fixation use the nitrogenase reductase (nifH) marker gene, and can be used to link N-fixation to other N- and C-cycling processes. Inorganic N entering soil via N-fixation, fertilization and deposition can have several fates, depending on the soil environment and the microbial community. The loss of N from forests stands subject to fertilization and atmospheric deposition is of increasing interest as the outputs of nitrate (NO3−) and nitrous oxide (N2O) are implicated in ground water pollution and climate change, respectively. Ammonia-oxidizing bacteria (AOB) and archaea (AOA) oxidize ammonia (NH3) to NO3− as the first step of nitrification and are studied using the ammonium monooxygenase (amoA) marker. The abundance and community structure of ammonia-oxidizers is largely dependent on pH and availability of reactive N forms, and can change rapidly following N addition or after fire. These organisms can also release N2O during nitrifier denitrification or through linked nitrification–denitrification. In some forest soils, N2O emissions are correlated with genes in the denitrification pathway (napA, narG, nirK, nirS, nosZ) making these genes useful indicators of greenhouse gas (GHG) flux potential. A review of this topic is timely as there is currently much concern regarding the effect of N fertilization and deposition on North American and European forests due to the potential alteration of dissimilative N-cycling processes and the potential for increased N2O emissions in forest stands.","container-title":"Soil Biology and Biochemistry","DOI":"10.1016/j.soilbio.2014.03.021","ISSN":"0038-0717","journalAbbreviation":"Soil Biology and Biochemistry","language":"en","page":"11-25","source":"ScienceDirect","title":"Microbial functional genes involved in nitrogen fixation, nitrification and denitrification in forest ecosystems","volume":"75","author":[{"family":"Levy-Booth","given":"David J."},{"family":"Prescott","given":"Cindy"},{"family":"Grayston","given":"Susan J."}],"issued":{"date-parts":[["2014",8,1]]},"citation-key":"levy-booth_2014"}}],"schema":"https://github.com/citation-style-language/schema/raw/master/csl-citation.json"} </w:instrText>
      </w:r>
      <w:r w:rsidRPr="009867C1">
        <w:rPr>
          <w:lang w:val="en-CA"/>
        </w:rPr>
        <w:fldChar w:fldCharType="separate"/>
      </w:r>
      <w:r w:rsidR="0042141C" w:rsidRPr="009867C1">
        <w:t>(Levy-Booth et al., 2014)</w:t>
      </w:r>
      <w:r w:rsidRPr="009867C1">
        <w:rPr>
          <w:lang w:val="en-CA"/>
        </w:rPr>
        <w:fldChar w:fldCharType="end"/>
      </w:r>
      <w:r w:rsidR="00AB5B1E" w:rsidRPr="009867C1">
        <w:rPr>
          <w:lang w:val="en-CA"/>
        </w:rPr>
        <w:t>. This would also</w:t>
      </w:r>
      <w:r w:rsidRPr="009867C1">
        <w:rPr>
          <w:lang w:val="en-CA"/>
        </w:rPr>
        <w:t xml:space="preserve"> give insight into some important ecosystem processes, such as denitrification rates, that are major obstacles in using natural abundance isotope patterns to make inferences in these systems. </w:t>
      </w:r>
    </w:p>
    <w:p w14:paraId="2F5FC3AA" w14:textId="07E226A1" w:rsidR="00DC2EEE" w:rsidRDefault="00DC2EEE" w:rsidP="00697585">
      <w:pPr>
        <w:spacing w:line="360" w:lineRule="auto"/>
        <w:ind w:firstLine="720"/>
        <w:rPr>
          <w:lang w:val="en-CA"/>
        </w:rPr>
      </w:pPr>
    </w:p>
    <w:p w14:paraId="706E07CC" w14:textId="1B97A8CA" w:rsidR="00DC2EEE" w:rsidRPr="009867C1" w:rsidRDefault="00DC2EEE" w:rsidP="00DC2EEE">
      <w:pPr>
        <w:pStyle w:val="Heading3"/>
      </w:pPr>
      <w:bookmarkStart w:id="297" w:name="_Toc99385520"/>
      <w:r>
        <w:t>Implications for local people</w:t>
      </w:r>
      <w:r w:rsidR="00D23DFF">
        <w:t xml:space="preserve"> and the Heiltsuk Nation</w:t>
      </w:r>
      <w:bookmarkEnd w:id="297"/>
    </w:p>
    <w:p w14:paraId="3B6882AE" w14:textId="394B8DE2" w:rsidR="006353AC" w:rsidRDefault="00D23DFF" w:rsidP="00697585">
      <w:pPr>
        <w:spacing w:line="360" w:lineRule="auto"/>
        <w:ind w:firstLine="720"/>
        <w:rPr>
          <w:lang w:val="en-CA"/>
        </w:rPr>
      </w:pPr>
      <w:r>
        <w:rPr>
          <w:lang w:val="en-CA"/>
        </w:rPr>
        <w:t xml:space="preserve">This thesis demonstrates that salmon-derived nutrients have wide-ranging ecological effects on soil chemistry, ecosystem metabolism, and soil fungal communities. Coastal communities already know how vitally important salmon are for both their own communities and the plant and animal relatives with whom </w:t>
      </w:r>
      <w:r w:rsidR="00B47929">
        <w:rPr>
          <w:lang w:val="en-CA"/>
        </w:rPr>
        <w:t>the land is shared</w:t>
      </w:r>
      <w:r>
        <w:rPr>
          <w:lang w:val="en-CA"/>
        </w:rPr>
        <w:t xml:space="preserve">. </w:t>
      </w:r>
    </w:p>
    <w:p w14:paraId="0A379138" w14:textId="176C10E7" w:rsidR="00361050" w:rsidRDefault="00E61104" w:rsidP="00697585">
      <w:pPr>
        <w:spacing w:line="360" w:lineRule="auto"/>
        <w:ind w:firstLine="720"/>
        <w:rPr>
          <w:lang w:val="en-CA"/>
        </w:rPr>
      </w:pPr>
      <w:r>
        <w:rPr>
          <w:lang w:val="en-CA"/>
        </w:rPr>
        <w:t>First, t</w:t>
      </w:r>
      <w:r w:rsidR="006353AC">
        <w:rPr>
          <w:lang w:val="en-CA"/>
        </w:rPr>
        <w:t>he effects of salmon inputs on riparian soils shown here are consistent with fertilization and increased soil fertility due to nitrogen, phosphorus, and calcium inputs.</w:t>
      </w:r>
      <w:r w:rsidR="00770744">
        <w:rPr>
          <w:lang w:val="en-CA"/>
        </w:rPr>
        <w:t xml:space="preserve"> This work thus adds to and reinforces previous studies highlighting the importance of salmon in maintaining riparian forest sites. Of particular importance may be the limited support shown for the idea of salmon acting as a calcium cation pump, where over long timescales other cations (sodium, magnesium, potassium) are displaced from the soil profile and replaced with calcium inputs. This may imply the development of</w:t>
      </w:r>
      <w:r w:rsidR="00361050">
        <w:rPr>
          <w:lang w:val="en-CA"/>
        </w:rPr>
        <w:t xml:space="preserve"> deficiencies in these elements, of which </w:t>
      </w:r>
      <w:r w:rsidR="00770744">
        <w:rPr>
          <w:lang w:val="en-CA"/>
        </w:rPr>
        <w:t xml:space="preserve">potassium </w:t>
      </w:r>
      <w:r w:rsidR="00361050">
        <w:rPr>
          <w:lang w:val="en-CA"/>
        </w:rPr>
        <w:t xml:space="preserve">may be the most impactful </w:t>
      </w:r>
      <w:r w:rsidR="00B47929">
        <w:rPr>
          <w:lang w:val="en-CA"/>
        </w:rPr>
        <w:t>due to its biological importance (ref)</w:t>
      </w:r>
      <w:r w:rsidR="00361050">
        <w:rPr>
          <w:lang w:val="en-CA"/>
        </w:rPr>
        <w:t>. Accompanying this, I found some support for nitrogen-associated acidification at these sites; this may account for the extremely acidic nature of these soils.</w:t>
      </w:r>
    </w:p>
    <w:p w14:paraId="126E2E68" w14:textId="74BB1F17" w:rsidR="00746487" w:rsidRDefault="00E61104" w:rsidP="00697585">
      <w:pPr>
        <w:spacing w:line="360" w:lineRule="auto"/>
        <w:ind w:firstLine="720"/>
        <w:rPr>
          <w:lang w:val="en-CA"/>
        </w:rPr>
      </w:pPr>
      <w:r>
        <w:rPr>
          <w:lang w:val="en-CA"/>
        </w:rPr>
        <w:t>Second, t</w:t>
      </w:r>
      <w:r w:rsidR="00B47929">
        <w:rPr>
          <w:lang w:val="en-CA"/>
        </w:rPr>
        <w:t>he role of salmon in modifying stand metabolism</w:t>
      </w:r>
      <w:r w:rsidR="00455E78">
        <w:rPr>
          <w:lang w:val="en-CA"/>
        </w:rPr>
        <w:t xml:space="preserve"> is also consistent with the model of salmon inputs acting as fertilizing agents in these systems. Accompanied with previously recognized shifts in plant community composition to arbuscular communities (characterized especially by culturally important plants such as salmonberry and devil’s club) these shifts may be particularly desired by coastal communities. </w:t>
      </w:r>
    </w:p>
    <w:p w14:paraId="1F0AF941" w14:textId="77777777" w:rsidR="00E61104" w:rsidRDefault="00E61104" w:rsidP="00697585">
      <w:pPr>
        <w:spacing w:line="360" w:lineRule="auto"/>
        <w:ind w:firstLine="720"/>
        <w:rPr>
          <w:lang w:val="en-CA"/>
        </w:rPr>
      </w:pPr>
      <w:r>
        <w:rPr>
          <w:lang w:val="en-CA"/>
        </w:rPr>
        <w:t>Third</w:t>
      </w:r>
      <w:r w:rsidR="00746487">
        <w:rPr>
          <w:lang w:val="en-CA"/>
        </w:rPr>
        <w:t xml:space="preserve">, </w:t>
      </w:r>
      <w:r w:rsidR="00455E78">
        <w:rPr>
          <w:lang w:val="en-CA"/>
        </w:rPr>
        <w:t xml:space="preserve">it comes as no surprise that </w:t>
      </w:r>
      <w:r w:rsidR="00746487">
        <w:rPr>
          <w:lang w:val="en-CA"/>
        </w:rPr>
        <w:t xml:space="preserve">salmon change soil fungal communities. </w:t>
      </w:r>
      <w:r>
        <w:rPr>
          <w:lang w:val="en-CA"/>
        </w:rPr>
        <w:t>It would be interesting to connect the data found in the foray here to more experienced foragers and those who spend more time on the land. Connecting fungal sporocarps to ecological context can help inform observations about underlying soil conditions which may have management implications.</w:t>
      </w:r>
    </w:p>
    <w:p w14:paraId="6B70A063" w14:textId="288431EF" w:rsidR="00B47929" w:rsidRDefault="00E61104" w:rsidP="00697585">
      <w:pPr>
        <w:spacing w:line="360" w:lineRule="auto"/>
        <w:ind w:firstLine="720"/>
        <w:rPr>
          <w:lang w:val="en-CA"/>
        </w:rPr>
      </w:pPr>
      <w:r>
        <w:rPr>
          <w:lang w:val="en-CA"/>
        </w:rPr>
        <w:t xml:space="preserve">Finally, one of the take-aways of this thesis is that many of the questions I was trying to answer really require long-term, sustained observations from interested parties. </w:t>
      </w:r>
      <w:r w:rsidR="00D167B8">
        <w:rPr>
          <w:lang w:val="en-CA"/>
        </w:rPr>
        <w:t xml:space="preserve">Setting up this sort of integrative monitoring program is challenging given academic and funding constraints. </w:t>
      </w:r>
      <w:r>
        <w:rPr>
          <w:lang w:val="en-CA"/>
        </w:rPr>
        <w:t>Heiltsuk Nation is really the only polity capable of doing this work</w:t>
      </w:r>
      <w:r w:rsidR="00D167B8">
        <w:rPr>
          <w:lang w:val="en-CA"/>
        </w:rPr>
        <w:t>, and I firmly believe they are the appropriate ones to direct and implement work carried out in their land.</w:t>
      </w:r>
      <w:r w:rsidR="003B4B10">
        <w:rPr>
          <w:lang w:val="en-CA"/>
        </w:rPr>
        <w:t xml:space="preserve"> </w:t>
      </w:r>
      <w:r w:rsidR="00B47929">
        <w:rPr>
          <w:lang w:val="en-CA"/>
        </w:rPr>
        <w:t xml:space="preserve"> </w:t>
      </w:r>
    </w:p>
    <w:p w14:paraId="34125E17" w14:textId="727C5917" w:rsidR="00697585" w:rsidRPr="009867C1" w:rsidRDefault="00770744" w:rsidP="00D167B8">
      <w:pPr>
        <w:spacing w:line="360" w:lineRule="auto"/>
        <w:ind w:firstLine="720"/>
      </w:pPr>
      <w:r>
        <w:rPr>
          <w:lang w:val="en-CA"/>
        </w:rPr>
        <w:t xml:space="preserve"> </w:t>
      </w:r>
      <w:r w:rsidR="006353AC">
        <w:rPr>
          <w:lang w:val="en-CA"/>
        </w:rPr>
        <w:t xml:space="preserve"> </w:t>
      </w:r>
      <w:r w:rsidR="00D23DFF">
        <w:rPr>
          <w:lang w:val="en-CA"/>
        </w:rPr>
        <w:t xml:space="preserve"> </w:t>
      </w:r>
    </w:p>
    <w:p w14:paraId="3FB059D8" w14:textId="77777777" w:rsidR="00697585" w:rsidRPr="009867C1" w:rsidRDefault="00697585" w:rsidP="00697585">
      <w:pPr>
        <w:pStyle w:val="Heading3"/>
        <w:spacing w:line="360" w:lineRule="auto"/>
      </w:pPr>
      <w:bookmarkStart w:id="298" w:name="_Toc99385521"/>
      <w:r w:rsidRPr="009867C1">
        <w:t>Conclusion</w:t>
      </w:r>
      <w:bookmarkEnd w:id="298"/>
    </w:p>
    <w:p w14:paraId="352AB4AE" w14:textId="732936BC" w:rsidR="00697585" w:rsidRPr="009867C1" w:rsidRDefault="00697585" w:rsidP="00697585">
      <w:pPr>
        <w:spacing w:line="360" w:lineRule="auto"/>
        <w:ind w:firstLine="720"/>
      </w:pPr>
      <w:r w:rsidRPr="009867C1">
        <w:t>Th</w:t>
      </w:r>
      <w:r w:rsidR="00AB5B1E" w:rsidRPr="009867C1">
        <w:t xml:space="preserve">e main question of this thesis was ‘how do salmon inputs change soils in salmon forests”, and in this </w:t>
      </w:r>
      <w:r w:rsidRPr="009867C1">
        <w:t>thesis</w:t>
      </w:r>
      <w:r w:rsidR="00AB5B1E" w:rsidRPr="009867C1">
        <w:t xml:space="preserve"> I</w:t>
      </w:r>
      <w:r w:rsidRPr="009867C1">
        <w:t xml:space="preserve"> examined the effects of salmon inputs on</w:t>
      </w:r>
      <w:r w:rsidR="00D36A5D" w:rsidRPr="009867C1">
        <w:t xml:space="preserve"> riparian</w:t>
      </w:r>
      <w:r w:rsidRPr="009867C1">
        <w:t xml:space="preserve"> soil chemistry and microbial communities. The initial step in understanding how a system functions is first describing what is there – the chemical analyses in chapter 2 and the community sequencing in chapters 4 and 5</w:t>
      </w:r>
      <w:r w:rsidR="00D36A5D" w:rsidRPr="009867C1">
        <w:t xml:space="preserve"> </w:t>
      </w:r>
      <w:r w:rsidR="00AB5B1E" w:rsidRPr="009867C1">
        <w:t xml:space="preserve">are an attempt at this, and </w:t>
      </w:r>
      <w:r w:rsidR="00D36A5D" w:rsidRPr="009867C1">
        <w:t>will</w:t>
      </w:r>
      <w:r w:rsidRPr="009867C1">
        <w:t xml:space="preserve"> provide baselines for soil chemistry and fungal and bacterial communit</w:t>
      </w:r>
      <w:r w:rsidR="00FF6BD0" w:rsidRPr="009867C1">
        <w:t>y composition</w:t>
      </w:r>
      <w:r w:rsidRPr="009867C1">
        <w:t xml:space="preserve"> </w:t>
      </w:r>
      <w:r w:rsidR="00FF6BD0" w:rsidRPr="009867C1">
        <w:t>for</w:t>
      </w:r>
      <w:r w:rsidRPr="009867C1">
        <w:t xml:space="preserve"> future work.</w:t>
      </w:r>
      <w:r w:rsidR="00DD597C" w:rsidRPr="009867C1">
        <w:t xml:space="preserve"> The </w:t>
      </w:r>
      <w:r w:rsidR="00FF6BD0" w:rsidRPr="009867C1">
        <w:t>second</w:t>
      </w:r>
      <w:r w:rsidR="00DD597C" w:rsidRPr="009867C1">
        <w:t xml:space="preserve"> step</w:t>
      </w:r>
      <w:r w:rsidRPr="009867C1">
        <w:t xml:space="preserve"> </w:t>
      </w:r>
      <w:r w:rsidR="00FF6BD0" w:rsidRPr="009867C1">
        <w:t>in understanding how a system functions is describing what the things</w:t>
      </w:r>
      <w:r w:rsidR="004C7516">
        <w:t xml:space="preserve"> that are present</w:t>
      </w:r>
      <w:r w:rsidR="00FF6BD0" w:rsidRPr="009867C1">
        <w:t xml:space="preserve"> do – as databases connecting microbial identity to microbial function accumulate, we will be able to infer functional responses across natural gradients like the ones investigated in this thesis. Chapter 3 was </w:t>
      </w:r>
      <w:r w:rsidR="00AB5B1E" w:rsidRPr="009867C1">
        <w:t xml:space="preserve">such </w:t>
      </w:r>
      <w:r w:rsidR="00FF6BD0" w:rsidRPr="009867C1">
        <w:t>an effort to infer ecosystem functional responses to salmon inputs, and the use of</w:t>
      </w:r>
      <w:r w:rsidR="00DD597C" w:rsidRPr="009867C1">
        <w:t xml:space="preserve"> </w:t>
      </w:r>
      <w:r w:rsidRPr="009867C1">
        <w:t>stable isotope natural abundances in mushroom sporocarps and other ecosystem compartments is the first study to use stable isotopes to investigate community-level nutrient cycling in salmon forests.</w:t>
      </w:r>
      <w:r w:rsidR="00E47BE3">
        <w:t xml:space="preserve"> Chapters 4 and 5 applied environmental sequencing to examine fungal and bacterial community responses to marine-derived nutrients.</w:t>
      </w:r>
      <w:r w:rsidRPr="009867C1">
        <w:t xml:space="preserve"> </w:t>
      </w:r>
      <w:r w:rsidR="00FF6BD0" w:rsidRPr="009867C1">
        <w:t xml:space="preserve">Finally, </w:t>
      </w:r>
      <w:r w:rsidRPr="009867C1">
        <w:t xml:space="preserve">Chapter 6 presented the pilot of an experimental procedure that may be </w:t>
      </w:r>
      <w:r w:rsidR="00FF6BD0" w:rsidRPr="009867C1">
        <w:t>put to use</w:t>
      </w:r>
      <w:r w:rsidRPr="009867C1">
        <w:t xml:space="preserve"> in future </w:t>
      </w:r>
      <w:r w:rsidR="00FF6BD0" w:rsidRPr="009867C1">
        <w:t>studies attempting to isolate the effects of fungal metabolism as an experimental treatment</w:t>
      </w:r>
      <w:r w:rsidRPr="009867C1">
        <w:t>.</w:t>
      </w:r>
      <w:r w:rsidR="00AB5B1E" w:rsidRPr="009867C1">
        <w:t xml:space="preserve"> In general, this thesis answered </w:t>
      </w:r>
      <w:r w:rsidR="00E47BE3">
        <w:t>most</w:t>
      </w:r>
      <w:r w:rsidR="00AB5B1E" w:rsidRPr="009867C1">
        <w:t xml:space="preserve"> of the questions as originally laid out, and opened up many more. </w:t>
      </w:r>
    </w:p>
    <w:p w14:paraId="42623C98" w14:textId="53E45C96" w:rsidR="00697585" w:rsidRPr="009867C1" w:rsidRDefault="00697585" w:rsidP="00697585">
      <w:pPr>
        <w:spacing w:line="360" w:lineRule="auto"/>
        <w:ind w:firstLine="720"/>
        <w:rPr>
          <w:lang w:val="en-CA" w:eastAsia="en-CA"/>
        </w:rPr>
      </w:pPr>
      <w:r w:rsidRPr="009867C1">
        <w:rPr>
          <w:lang w:val="en-CA" w:eastAsia="en-CA"/>
        </w:rPr>
        <w:t xml:space="preserve">This thesis was conducted on the Central Coast of British Columbia, in a region where soils are dominated by Folisols. Some of the effects of salmon inputs on the soils shown here are different than some of those observed at sites in Western Alaska </w:t>
      </w:r>
      <w:r w:rsidRPr="009867C1">
        <w:rPr>
          <w:lang w:val="en-CA" w:eastAsia="en-CA"/>
        </w:rPr>
        <w:fldChar w:fldCharType="begin"/>
      </w:r>
      <w:r w:rsidR="00AC0205">
        <w:rPr>
          <w:lang w:val="en-CA" w:eastAsia="en-CA"/>
        </w:rPr>
        <w:instrText xml:space="preserve"> ADDIN ZOTERO_ITEM CSL_CITATION {"citationID":"SUcKmVSw","properties":{"formattedCitation":"(Feddern et al., 2019)","plainCitation":"(Feddern et al., 2019)","noteIndex":0},"citationItems":[{"id":1688,"uris":["http://zotero.org/users/2189142/items/YIC4UT3V"],"itemData":{"id":1688,"type":"article-journal","abstract":"Pacific salmon acquire most of their biomass in the ocean before returning to spawn and die in coastal streams and lakes, thus providing subsidies of marine-derived nitrogen (MDN) to freshwater and terrestrial ecosystems. Recent declines in salmon abundance have raised questions of whether managers should mitigate for losses of salmon MDN subsidies. To test the long-term importance of salmon subsidies to riparian ecosystems, we measured soil nitrogen cycling in response to a 20-yr manipulation where salmon carcasses were systematically removed from one bank and deposited on the opposite bank along a 2-km stream in southwestern Alaska. Soil samples were taken at different distances from the stream bank along nine paired transects and measured for organic and inorganic nitrogen concentrations, and nitrogen transformation rates. Marine-derived nitrogen was measured using 15N/14N for bulk soils, and NH4+ and NO3− soil pools. Stable isotope analyses confirmed 15N/14N was elevated on the salmon-enhanced bank compared to the salmon-depleted bank. However, 15N/14N values of plant-available inorganic nitrogen exceeded the 15N/14N of salmon inputs, highlighting nitrogen isotope fractionation in soils that raises significant methodological issues with standard MDN assessments in riparian systems. Surprisingly, despite 20 yr of salmon supplementation, the presence of MDN did not cause a long-term increase in soil nitrogen availability. This finding indicates the importance of MDN to ecosystem nitrogen biogeochemistry, and riparian vegetation may be overestimated for some systems. Given that essential nutrients can also be pollutants, we urge more critical analyses of the role of MDN to inform compensatory mitigation programs targeting salmon nutrient enhancement.","container-title":"Ecosphere","DOI":"10.1002/ecs2.2958","ISSN":"2150-8925","issue":"11","language":"en","page":"e02958","source":"Wiley Online Library","title":"Riparian soil nitrogen cycling and isotopic enrichment in response to a long-term salmon carcass manipulation experiment","volume":"10","author":[{"family":"Feddern","given":"Megan L."},{"family":"Holtgrieve","given":"Gordon W."},{"family":"Perakis","given":"Steven S."},{"family":"Hart","given":"Julia"},{"family":"Ro","given":"Hyejoo"},{"family":"Quinn","given":"Thomas P."}],"issued":{"date-parts":[["2019"]]},"citation-key":"feddern_2019"}}],"schema":"https://github.com/citation-style-language/schema/raw/master/csl-citation.json"} </w:instrText>
      </w:r>
      <w:r w:rsidRPr="009867C1">
        <w:rPr>
          <w:lang w:val="en-CA" w:eastAsia="en-CA"/>
        </w:rPr>
        <w:fldChar w:fldCharType="separate"/>
      </w:r>
      <w:r w:rsidR="0042141C" w:rsidRPr="009867C1">
        <w:t>(Feddern et al., 2019)</w:t>
      </w:r>
      <w:r w:rsidRPr="009867C1">
        <w:rPr>
          <w:lang w:val="en-CA" w:eastAsia="en-CA"/>
        </w:rPr>
        <w:fldChar w:fldCharType="end"/>
      </w:r>
      <w:r w:rsidRPr="009867C1">
        <w:rPr>
          <w:lang w:val="en-CA" w:eastAsia="en-CA"/>
        </w:rPr>
        <w:t xml:space="preserve"> and inland sites in Idaho </w:t>
      </w:r>
      <w:r w:rsidRPr="009867C1">
        <w:rPr>
          <w:lang w:val="en-CA" w:eastAsia="en-CA"/>
        </w:rPr>
        <w:fldChar w:fldCharType="begin"/>
      </w:r>
      <w:r w:rsidR="00AC0205">
        <w:rPr>
          <w:lang w:val="en-CA" w:eastAsia="en-CA"/>
        </w:rPr>
        <w:instrText xml:space="preserve"> ADDIN ZOTERO_ITEM CSL_CITATION {"citationID":"ykaiNi1q","properties":{"formattedCitation":"(T. A. Wheeler &amp; Kavanagh, 2017)","plainCitation":"(T. A. Wheeler &amp; Kavanagh, 2017)","noteIndex":0},"citationItems":[{"id":1598,"uris":["http://zotero.org/users/2189142/items/DF4W6BUL"],"itemData":{"id":1598,"type":"article-journal","abstract":"The historic abundance of salmonids returning to natal streams of the inland Pacific Northwest, USA, may have constituted a major nutrient influx into these commonly oligotrophic ecosystems. Inland..., L’abondance historique des salmonidés qui reviennent vers les cours d’eau où ils ont vu le jour dans l’arrière-pays du Pacific Northwest aux États-Unis, ont pu constituer un apport majeur de nutrim...","container-title":"Canadian Journal of Forest Research","DOI":"10.1139/cjfr-2017-0194","ISSN":"0045-5067","issue":"11","journalAbbreviation":"Can. J. For. Res.","page":"1506-1516","source":"NRC Research Press","title":"Soil biogeochemical responses to the deposition of anadromous fish carcasses in inland riparian forests of the Pacific Northwest, USA","volume":"47","author":[{"family":"Wheeler","given":"Tadd A."},{"family":"Kavanagh","given":"Kathleen L."}],"issued":{"date-parts":[["2017",9,5]]},"citation-key":"wheeler_2017"}}],"schema":"https://github.com/citation-style-language/schema/raw/master/csl-citation.json"} </w:instrText>
      </w:r>
      <w:r w:rsidRPr="009867C1">
        <w:rPr>
          <w:lang w:val="en-CA" w:eastAsia="en-CA"/>
        </w:rPr>
        <w:fldChar w:fldCharType="separate"/>
      </w:r>
      <w:r w:rsidR="0042141C" w:rsidRPr="009867C1">
        <w:t>(T. A. Wheeler &amp; Kavanagh, 2017)</w:t>
      </w:r>
      <w:r w:rsidRPr="009867C1">
        <w:rPr>
          <w:lang w:val="en-CA" w:eastAsia="en-CA"/>
        </w:rPr>
        <w:fldChar w:fldCharType="end"/>
      </w:r>
      <w:r w:rsidRPr="009867C1">
        <w:rPr>
          <w:lang w:val="en-CA" w:eastAsia="en-CA"/>
        </w:rPr>
        <w:t xml:space="preserve">. Soils are active, rather than passive, players in forest biogeochemical cycling and differences in the effects of salmon inputs have been shown to be dependent on edaphic conditions even on a single site </w:t>
      </w:r>
      <w:r w:rsidRPr="009867C1">
        <w:rPr>
          <w:lang w:val="en-CA" w:eastAsia="en-CA"/>
        </w:rPr>
        <w:fldChar w:fldCharType="begin"/>
      </w:r>
      <w:r w:rsidR="00AC0205">
        <w:rPr>
          <w:lang w:val="en-CA" w:eastAsia="en-CA"/>
        </w:rPr>
        <w:instrText xml:space="preserve"> ADDIN ZOTERO_ITEM CSL_CITATION {"citationID":"yxyQYCex","properties":{"formattedCitation":"(D\\uc0\\u8217{}Amore et al., 2011)","plainCitation":"(D’Amore et al., 2011)","noteIndex":0},"citationItems":[{"id":970,"uris":["http://zotero.org/users/2189142/items/SQPRJQMG"],"itemData":{"id":970,"type":"article-journal","abstract":"The influence of salmon-derived nutrients (SDN) is widely accepted as a potential factor in the maintenance of aquatic and terrestrial productivity in North American Coastal rainforests. Holocene alluvial landforms are intimately connected with the return of anadromous salmon, but the influence of the soils that occupy these landforms and support this important terrestrial–aquatic ecological coupling have not been examined in SDN studies. We used paleo-ecologic information, soil resource inventories and measurements of soil morphology to construct a soil-geomorphic model for alluvial landforms along salmon spawning channels on Prince of Wales Island, Southeast Alaska, USA. Post-glacial sea-level rise, crustal uplift and subsidence combined with Holocene sediment deposition have formed alluvial terraces and floodplains along rivers on Prince of Wales Island. These alluvial landforms have soils that are mapped as Entisols (Tonowek soil series) and Spodosols (Tuxekan soil series). We propose a soil-geomorphic model where the Spodosols located on terraces are estimated to derive from sediments deposited after the stabilization of landscape approximately 8 kybp to 6 kybp. The stability of these soils is reflected through mature soil development with organic matter accumulation and podzolization. Our model identifies Entisols on floodplains developed from alluvial deposition in the latter Holocene that have soil morphologic features consistent with recent deposition and limited soil development. We used this soil-geomorphic model to test the hypothesis that the terrestrial end-member value commonly used to quantify nitrogen (N) loading on soils through stable isotope analysis differs by soil type and found that the two soil types had significantly different N isotopic (δ15N) values more consistent with soil development than SDN loading. The use of a soil-geomorphic model provides a means to stratify alluvial landforms and constrain the natural variability encountered in studies of riparian nutrient cycles associated with the feedbacks between SDN and terrestrial ecosystems to improve estimates of the fate of SDN in soils and vegetation.","collection-title":"Geomorphology on Multiscale Feedbacks in Ecogeomorphology","container-title":"Geomorphology","DOI":"10.1016/j.geomorph.2010.04.014","ISSN":"0169-555X","issue":"3–4","journalAbbreviation":"Geomorphology","page":"377-386","source":"ScienceDirect","title":"Holocene soil-geomorphic surfaces influence the role of salmon-derived nutrients in the coastal temperate rainforest of Southeast Alaska","volume":"126","author":[{"family":"D'Amore","given":"David V."},{"family":"Bonzey","given":"Nicholas S."},{"family":"Berkowitz","given":"Jacob"},{"family":"Rüegg","given":"Janine"},{"family":"Bridgham","given":"Scott"}],"issued":{"date-parts":[["2011",3,15]]},"citation-key":"damore_2011"}}],"schema":"https://github.com/citation-style-language/schema/raw/master/csl-citation.json"} </w:instrText>
      </w:r>
      <w:r w:rsidRPr="009867C1">
        <w:rPr>
          <w:lang w:val="en-CA" w:eastAsia="en-CA"/>
        </w:rPr>
        <w:fldChar w:fldCharType="separate"/>
      </w:r>
      <w:r w:rsidR="0042141C" w:rsidRPr="009867C1">
        <w:t>(D’Amore et al., 2011)</w:t>
      </w:r>
      <w:r w:rsidRPr="009867C1">
        <w:rPr>
          <w:lang w:val="en-CA" w:eastAsia="en-CA"/>
        </w:rPr>
        <w:fldChar w:fldCharType="end"/>
      </w:r>
      <w:r w:rsidRPr="009867C1">
        <w:rPr>
          <w:lang w:val="en-CA" w:eastAsia="en-CA"/>
        </w:rPr>
        <w:t xml:space="preserve">. </w:t>
      </w:r>
      <w:r w:rsidR="00D36A5D" w:rsidRPr="009867C1">
        <w:rPr>
          <w:lang w:val="en-CA" w:eastAsia="en-CA"/>
        </w:rPr>
        <w:t>Here I echo</w:t>
      </w:r>
      <w:r w:rsidRPr="009867C1">
        <w:rPr>
          <w:lang w:val="en-CA" w:eastAsia="en-CA"/>
        </w:rPr>
        <w:t xml:space="preserve"> calls to center forest soils in </w:t>
      </w:r>
      <w:r w:rsidR="004C7516">
        <w:rPr>
          <w:lang w:val="en-CA" w:eastAsia="en-CA"/>
        </w:rPr>
        <w:t>the</w:t>
      </w:r>
      <w:r w:rsidRPr="009867C1">
        <w:rPr>
          <w:lang w:val="en-CA" w:eastAsia="en-CA"/>
        </w:rPr>
        <w:t xml:space="preserve"> conversation </w:t>
      </w:r>
      <w:r w:rsidRPr="009867C1">
        <w:rPr>
          <w:lang w:val="en-CA" w:eastAsia="en-CA"/>
        </w:rPr>
        <w:fldChar w:fldCharType="begin"/>
      </w:r>
      <w:r w:rsidR="00AC0205">
        <w:rPr>
          <w:lang w:val="en-CA" w:eastAsia="en-CA"/>
        </w:rPr>
        <w:instrText xml:space="preserve"> ADDIN ZOTERO_ITEM CSL_CITATION {"citationID":"Zi1AipyF","properties":{"formattedCitation":"(D\\uc0\\u8217{}Amore et al., 2020)","plainCitation":"(D’Amore et al., 2020)","noteIndex":0},"citationItems":[{"id":2083,"uris":["http://zotero.org/users/2189142/items/UL2T3I39"],"itemData":{"id":2083,"type":"article-journal","container-title":"Soil Science Society of America Journal","issue":"3","note":"publisher: Wiley Online Library","page":"877–887","source":"Google Scholar","title":"The nutrient legacy left by salmon tissue on riparian soils in Southeast Alaska","volume":"84","author":[{"family":"D'Amore","given":"David V."},{"family":"Chaloner","given":"Dominic T."},{"family":"Gerig","given":"Brandon S."},{"family":"Berkowitz","given":"Jacob F."},{"family":"Bridgham","given":"Scott D."}],"issued":{"date-parts":[["2020"]]},"citation-key":"damore_2020"}}],"schema":"https://github.com/citation-style-language/schema/raw/master/csl-citation.json"} </w:instrText>
      </w:r>
      <w:r w:rsidRPr="009867C1">
        <w:rPr>
          <w:lang w:val="en-CA" w:eastAsia="en-CA"/>
        </w:rPr>
        <w:fldChar w:fldCharType="separate"/>
      </w:r>
      <w:r w:rsidR="0042141C" w:rsidRPr="009867C1">
        <w:t>(D’Amore et al., 2020)</w:t>
      </w:r>
      <w:r w:rsidRPr="009867C1">
        <w:rPr>
          <w:lang w:val="en-CA" w:eastAsia="en-CA"/>
        </w:rPr>
        <w:fldChar w:fldCharType="end"/>
      </w:r>
      <w:r w:rsidRPr="009867C1">
        <w:rPr>
          <w:lang w:val="en-CA" w:eastAsia="en-CA"/>
        </w:rPr>
        <w:t>, and regional soil differences may explain some of the variation observed in th</w:t>
      </w:r>
      <w:r w:rsidR="00D36A5D" w:rsidRPr="009867C1">
        <w:rPr>
          <w:lang w:val="en-CA" w:eastAsia="en-CA"/>
        </w:rPr>
        <w:t>is</w:t>
      </w:r>
      <w:r w:rsidRPr="009867C1">
        <w:rPr>
          <w:lang w:val="en-CA" w:eastAsia="en-CA"/>
        </w:rPr>
        <w:t xml:space="preserve"> literature.  </w:t>
      </w:r>
    </w:p>
    <w:p w14:paraId="2B78DCEE" w14:textId="0E28DF34" w:rsidR="00697585" w:rsidRPr="009867C1" w:rsidRDefault="00D36A5D" w:rsidP="00697585">
      <w:pPr>
        <w:spacing w:line="360" w:lineRule="auto"/>
        <w:ind w:firstLine="720"/>
        <w:rPr>
          <w:lang w:val="en-CA" w:eastAsia="en-CA"/>
        </w:rPr>
      </w:pPr>
      <w:r w:rsidRPr="009867C1">
        <w:rPr>
          <w:lang w:val="en-CA" w:eastAsia="en-CA"/>
        </w:rPr>
        <w:t>The</w:t>
      </w:r>
      <w:r w:rsidR="00697585" w:rsidRPr="009867C1">
        <w:rPr>
          <w:lang w:val="en-CA" w:eastAsia="en-CA"/>
        </w:rPr>
        <w:t xml:space="preserve"> acidic and high-organic matter nature</w:t>
      </w:r>
      <w:r w:rsidRPr="009867C1">
        <w:rPr>
          <w:lang w:val="en-CA" w:eastAsia="en-CA"/>
        </w:rPr>
        <w:t xml:space="preserve"> of Folisols</w:t>
      </w:r>
      <w:r w:rsidR="00697585" w:rsidRPr="009867C1">
        <w:rPr>
          <w:lang w:val="en-CA" w:eastAsia="en-CA"/>
        </w:rPr>
        <w:t xml:space="preserve"> may make them particularly well suited to retaining</w:t>
      </w:r>
      <w:r w:rsidRPr="009867C1">
        <w:rPr>
          <w:lang w:val="en-CA" w:eastAsia="en-CA"/>
        </w:rPr>
        <w:t xml:space="preserve"> and recycling</w:t>
      </w:r>
      <w:r w:rsidR="00697585" w:rsidRPr="009867C1">
        <w:rPr>
          <w:lang w:val="en-CA" w:eastAsia="en-CA"/>
        </w:rPr>
        <w:t xml:space="preserve"> deposited nutrients</w:t>
      </w:r>
      <w:r w:rsidRPr="009867C1">
        <w:rPr>
          <w:lang w:val="en-CA" w:eastAsia="en-CA"/>
        </w:rPr>
        <w:t xml:space="preserve"> relative to soils at other sites</w:t>
      </w:r>
      <w:r w:rsidR="00697585" w:rsidRPr="009867C1">
        <w:rPr>
          <w:lang w:val="en-CA" w:eastAsia="en-CA"/>
        </w:rPr>
        <w:t xml:space="preserve">. If </w:t>
      </w:r>
      <w:r w:rsidR="00DD597C" w:rsidRPr="009867C1">
        <w:rPr>
          <w:lang w:val="en-CA" w:eastAsia="en-CA"/>
        </w:rPr>
        <w:t>this is the case</w:t>
      </w:r>
      <w:r w:rsidR="00697585" w:rsidRPr="009867C1">
        <w:rPr>
          <w:lang w:val="en-CA" w:eastAsia="en-CA"/>
        </w:rPr>
        <w:t xml:space="preserve">, salmon declines on the BC central coast </w:t>
      </w:r>
      <w:r w:rsidR="00697585" w:rsidRPr="009867C1">
        <w:rPr>
          <w:lang w:val="en-CA" w:eastAsia="en-CA"/>
        </w:rPr>
        <w:fldChar w:fldCharType="begin"/>
      </w:r>
      <w:r w:rsidR="00AC0205">
        <w:rPr>
          <w:lang w:val="en-CA" w:eastAsia="en-CA"/>
        </w:rPr>
        <w:instrText xml:space="preserve"> ADDIN ZOTERO_ITEM CSL_CITATION {"citationID":"ivvYqhq3","properties":{"formattedCitation":"(Connors, Jones, Kellock, et al., 2018)","plainCitation":"(Connors, Jones, Kellock, et al., 2018)","noteIndex":0},"citationItems":[{"id":1746,"uris":["http://zotero.org/users/2189142/items/CAJFLS9V"],"itemData":{"id":1746,"type":"report","title":"BC Central Coast: A Snapshot of Salmon Populations and Their Habitats (Technical Report)","author":[{"family":"Connors","given":"K"},{"family":"Jones","given":"E"},{"family":"Kellock","given":"K"},{"family":"Hertz","given":"E"},{"family":"Honka","given":"L"},{"family":"Belzile","given":"J"}],"issued":{"date-parts":[["2018"]]},"citation-key":"connors_2018a"}}],"schema":"https://github.com/citation-style-language/schema/raw/master/csl-citation.json"} </w:instrText>
      </w:r>
      <w:r w:rsidR="00697585" w:rsidRPr="009867C1">
        <w:rPr>
          <w:lang w:val="en-CA" w:eastAsia="en-CA"/>
        </w:rPr>
        <w:fldChar w:fldCharType="separate"/>
      </w:r>
      <w:r w:rsidR="0042141C" w:rsidRPr="009867C1">
        <w:t>(Connors, Jones, Kellock, et al., 2018)</w:t>
      </w:r>
      <w:r w:rsidR="00697585" w:rsidRPr="009867C1">
        <w:rPr>
          <w:lang w:val="en-CA" w:eastAsia="en-CA"/>
        </w:rPr>
        <w:fldChar w:fldCharType="end"/>
      </w:r>
      <w:r w:rsidR="00697585" w:rsidRPr="009867C1">
        <w:rPr>
          <w:lang w:val="en-CA" w:eastAsia="en-CA"/>
        </w:rPr>
        <w:t xml:space="preserve"> and</w:t>
      </w:r>
      <w:r w:rsidRPr="009867C1">
        <w:rPr>
          <w:lang w:val="en-CA" w:eastAsia="en-CA"/>
        </w:rPr>
        <w:t xml:space="preserve"> the Pacific Northwest/</w:t>
      </w:r>
      <w:r w:rsidR="00697585" w:rsidRPr="009867C1">
        <w:rPr>
          <w:lang w:val="en-CA" w:eastAsia="en-CA"/>
        </w:rPr>
        <w:t xml:space="preserve">Columbia basin </w:t>
      </w:r>
      <w:r w:rsidR="00697585" w:rsidRPr="009867C1">
        <w:rPr>
          <w:lang w:val="en-CA" w:eastAsia="en-CA"/>
        </w:rPr>
        <w:fldChar w:fldCharType="begin"/>
      </w:r>
      <w:r w:rsidR="00AC0205">
        <w:rPr>
          <w:lang w:val="en-CA" w:eastAsia="en-CA"/>
        </w:rPr>
        <w:instrText xml:space="preserve"> ADDIN ZOTERO_ITEM CSL_CITATION {"citationID":"qf3RBEyt","properties":{"formattedCitation":"(Kohler et al., 2013)","plainCitation":"(Kohler et al., 2013)","noteIndex":0},"citationItems":[{"id":848,"uris":["http://zotero.org/users/2189142/items/QTTKVWII"],"itemData":{"id":848,"type":"article-journal","abstract":"Salmon provide an important resource subsidy and linkage between marine and land-based ecosystems. This flow of energy and nutrients is not unidirectional (i.e., upstream only); in addition to passive nutrient export via stream flow, juvenile emigrants actively export nutrients from freshwater environments. In some cases, nutrient export can exceed import. We evaluated nutrient fluxes in streams across central Idaho, USA, using Chinook salmon (Oncorhynchus tshawytscha) adult escapement and juvenile production data from 1998 to 2008. We found in the majority of stream-years evaluated, adults imported more nutrients than progeny exported; however, in 3% of the years, juveniles exported more nutrients than their parents imported. On average, juvenile emigrants exported 22% ± 3% of the nitrogen and 30% ± 4% of the phosphorus their parents imported. This relationship was density-dependent and nonlinear; during periods of low adult abundance, juveniles were larger and exported up to 194% and 268% of parental ni..., Les saumons assurent un transfert des ressources et un lien importants entre les écosystèmes marins et terrestres. Ce flux d'énergie et de nutriments n'est pas unidirectionnel (c.-à-d. uniquement vers l'amont); en plus de l'exportation passive de nutriments assurée par l'écoulement de l'eau, les émigrants juvéniles exportent activement des nutriments hors des milieux d'eau douce. Dans certains cas, l'exportation de nutriments peut surpasser leur importation. Nous avons évalué les flux de nutriments dans des cours d'eau du centre de l'Idaho (États-Unis) à partir de données sur l'échappement d'adultes et la production de juvéniles de saumon quinnat (Oncorhynchus tshawytscha) recueillies de 1998 à 2008. Nous avons constaté, pour la majorité des années-cours d'eau évaluées, que les adultes importaient plus de nutriments que leur descendance en exportait. Cela dit, pour 3 % des années, les juvéniles exportaient plus de nutriments que leurs parents en importaient. En moyenne, les émigrants juvéniles exportaient...","container-title":"Canadian Journal of Fisheries and Aquatic Sciences","DOI":"10.1139/cjfas-2012-0347","ISSN":"0706-652X","issue":"3","journalAbbreviation":"Can. J. Fish. Aquat. Sci.","page":"502-512","source":"NRC Research Press","title":"Salmon-mediated nutrient flux in selected streams of the Columbia River basin, USA","volume":"70","author":[{"family":"Kohler","given":"Andre E."},{"family":"Kusnierz","given":"Paul C."},{"family":"Copeland","given":"Timothy"},{"family":"Venditti","given":"David A."},{"family":"Denny","given":"Lytle"},{"family":"Gable","given":"Josh"},{"family":"Lewis","given":"Bert A."},{"family":"Kinzer","given":"Ryan"},{"family":"Barnett","given":"Bruce"},{"family":"Wipfli","given":"Mark S."}],"issued":{"date-parts":[["2013",1,23]]},"citation-key":"kohler_2013"}}],"schema":"https://github.com/citation-style-language/schema/raw/master/csl-citation.json"} </w:instrText>
      </w:r>
      <w:r w:rsidR="00697585" w:rsidRPr="009867C1">
        <w:rPr>
          <w:lang w:val="en-CA" w:eastAsia="en-CA"/>
        </w:rPr>
        <w:fldChar w:fldCharType="separate"/>
      </w:r>
      <w:r w:rsidR="0042141C" w:rsidRPr="009867C1">
        <w:t>(Kohler et al., 2013)</w:t>
      </w:r>
      <w:r w:rsidR="00697585" w:rsidRPr="009867C1">
        <w:rPr>
          <w:lang w:val="en-CA" w:eastAsia="en-CA"/>
        </w:rPr>
        <w:fldChar w:fldCharType="end"/>
      </w:r>
      <w:r w:rsidR="00697585" w:rsidRPr="009867C1">
        <w:rPr>
          <w:lang w:val="en-CA" w:eastAsia="en-CA"/>
        </w:rPr>
        <w:t xml:space="preserve"> may be concentrated precisely in the places </w:t>
      </w:r>
      <w:r w:rsidR="00AF015B" w:rsidRPr="009867C1">
        <w:rPr>
          <w:lang w:val="en-CA" w:eastAsia="en-CA"/>
        </w:rPr>
        <w:t>where edaphic factors make their</w:t>
      </w:r>
      <w:r w:rsidR="00697585" w:rsidRPr="009867C1">
        <w:rPr>
          <w:lang w:val="en-CA" w:eastAsia="en-CA"/>
        </w:rPr>
        <w:t xml:space="preserve"> inputs most important for terrestrial environments. Understanding the interactions between MDN inputs, soils, and vegetation is particularly relevant when climate change is leading to </w:t>
      </w:r>
      <w:r w:rsidR="00AF015B" w:rsidRPr="009867C1">
        <w:rPr>
          <w:lang w:val="en-CA" w:eastAsia="en-CA"/>
        </w:rPr>
        <w:t>projected</w:t>
      </w:r>
      <w:r w:rsidR="00697585" w:rsidRPr="009867C1">
        <w:rPr>
          <w:lang w:val="en-CA" w:eastAsia="en-CA"/>
        </w:rPr>
        <w:t xml:space="preserve"> </w:t>
      </w:r>
      <w:r w:rsidR="00697585" w:rsidRPr="009867C1">
        <w:rPr>
          <w:lang w:val="en-CA" w:eastAsia="en-CA"/>
        </w:rPr>
        <w:fldChar w:fldCharType="begin"/>
      </w:r>
      <w:r w:rsidR="00AC0205">
        <w:rPr>
          <w:lang w:val="en-CA" w:eastAsia="en-CA"/>
        </w:rPr>
        <w:instrText xml:space="preserve"> ADDIN ZOTERO_ITEM CSL_CITATION {"citationID":"tRzeugdR","properties":{"formattedCitation":"(L. G. Crozier et al., 2008)","plainCitation":"(L. G. Crozier et al., 2008)","noteIndex":0},"citationItems":[{"id":1993,"uris":["http://zotero.org/users/2189142/items/M8NRXZ7Y"],"itemData":{"id":1993,"type":"article-journal","abstract":"Salmon life histories are finely tuned to local environmental conditions, which are intimately linked to climate. We summarize the likely impacts of climate change on the physical environment of salmon in the Pacific Northwest and discuss the potential evolutionary consequences of these changes, with particular reference to Columbia River Basin spring/summer Chinook (Oncorhynchus tshawytscha) and sockeye (Oncorhynchus nerka) salmon. We discuss the possible evolutionary responses in migration and spawning date egg and juvenile growth and development rates, thermal tolerance, and disease resistance. We know little about ocean migration pathways, so cannot confidently suggest the potential changes in this life stage. Climate change might produce conflicting selection pressures in different life stages, which will interact with plastic (i.e. nongenetic) changes in various ways. To clarify these interactions, we present a conceptual model of how changing environmental conditions shift phenotypic optima and, through plastic responses, phenotype distributions, affecting the force of selection. Our predictions are tentative because we lack data on the strength of selection, heritability, and ecological and genetic linkages among many of the traits discussed here. Despite the challenges involved in experimental manipulation of species with complex life histories, such research is essential for full appreciation of the biological effects of climate change.","container-title":"Evolutionary Applications","DOI":"10.1111/j.1752-4571.2008.00033.x","ISSN":"1752-4571","issue":"2","language":"en","note":"_eprint: https://onlinelibrary.wiley.com/doi/pdf/10.1111/j.1752-4571.2008.00033.x","page":"252-270","source":"Wiley Online Library","title":"Potential responses to climate change in organisms with complex life histories: evolution and plasticity in Pacific salmon","title-short":"Potential responses to climate change in organisms with complex life histories","volume":"1","author":[{"family":"Crozier","given":"L. G."},{"family":"Hendry","given":"A. P."},{"family":"Lawson","given":"P. W."},{"family":"Quinn","given":"T. P."},{"family":"Mantua","given":"N. J."},{"family":"Battin","given":"J."},{"family":"Shaw","given":"R. G."},{"family":"Huey","given":"R. B."}],"issued":{"date-parts":[["2008"]]},"citation-key":"crozier_2008"}}],"schema":"https://github.com/citation-style-language/schema/raw/master/csl-citation.json"} </w:instrText>
      </w:r>
      <w:r w:rsidR="00697585" w:rsidRPr="009867C1">
        <w:rPr>
          <w:lang w:val="en-CA" w:eastAsia="en-CA"/>
        </w:rPr>
        <w:fldChar w:fldCharType="separate"/>
      </w:r>
      <w:r w:rsidR="0042141C" w:rsidRPr="009867C1">
        <w:t>(L. G. Crozier et al., 2008)</w:t>
      </w:r>
      <w:r w:rsidR="00697585" w:rsidRPr="009867C1">
        <w:rPr>
          <w:lang w:val="en-CA" w:eastAsia="en-CA"/>
        </w:rPr>
        <w:fldChar w:fldCharType="end"/>
      </w:r>
      <w:r w:rsidR="00697585" w:rsidRPr="009867C1">
        <w:rPr>
          <w:lang w:val="en-CA" w:eastAsia="en-CA"/>
        </w:rPr>
        <w:t xml:space="preserve"> and observed </w:t>
      </w:r>
      <w:r w:rsidR="00697585" w:rsidRPr="009867C1">
        <w:rPr>
          <w:lang w:val="en-CA" w:eastAsia="en-CA"/>
        </w:rPr>
        <w:fldChar w:fldCharType="begin"/>
      </w:r>
      <w:r w:rsidR="00AC0205">
        <w:rPr>
          <w:lang w:val="en-CA" w:eastAsia="en-CA"/>
        </w:rPr>
        <w:instrText xml:space="preserve"> ADDIN ZOTERO_ITEM CSL_CITATION {"citationID":"JS1J4Onh","properties":{"formattedCitation":"(L. Crozier, 2015; Nielsen et al., 2013)","plainCitation":"(L. Crozier, 2015; Nielsen et al., 2013)","noteIndex":0},"citationItems":[{"id":302,"uris":["http://zotero.org/users/2189142/items/CRZF22C4"],"itemData":{"id":302,"type":"article-journal","source":"Google Scholar","title":"Impacts of Climate Change on Salmon of the Pacific Northwest","URL":"https://www.nwfsc.noaa.gov/trt/lcm/Literature_Review_%20Impacts_of_Climate_Change_on_Salmon_2014.pdf","author":[{"family":"Crozier","given":"Lisa"}],"accessed":{"date-parts":[["2016",10,17]]},"issued":{"date-parts":[["2015"]]},"citation-key":"crozier_2015"}},{"id":1994,"uris":["http://zotero.org/users/2189142/items/XDK9WNVD"],"itemData":{"id":1994,"type":"article-journal","abstract":"In the warming Arctic, aquatic habitats are in flux and salmon are exploring their options. Adult Pacific salmon, including sockeye (Oncorhynchus nerka), coho (O. kisutch), Chinook (O. tshawytscha), pink (O. gorbuscha) and chum (O. keta) have been captured throughout the Arctic. Pink and chum salmon are the most common species found in the Arctic today. These species are less dependent on freshwater habitats as juveniles and grow quickly in marine habitats. Putative spawning populations are rare in the North American Arctic and limited to pink salmon in drainages north of Point Hope, Alaska, chum salmon spawning rivers draining to the northwestern Beaufort Sea, and small populations of chum and pink salmon in Canada’s Mackenzie River. Pacific salmon have colonized several large river basins draining to the Kara, Laptev and East Siberian seas in the Russian Arctic. These populations probably developed from hatchery supplementation efforts in the 1960’s. Hundreds of populations of Arctic Atlantic salmon (Salmo salar) are found in Russia, Norway and Finland. Atlantic salmon have extended their range eastward as far as the Kara Sea in central Russian. A small native population of Atlantic salmon is found in Canada’s Ungava Bay. The northern tip of Quebec seems to be an Atlantic salmon migration barrier for other North American stocks. Compatibility between life history requirements and ecological conditions are prerequisite for salmon colonizing Arctic habitats. Broad-scale predictive models of climate change in the Arctic give little information about feedback processes contributing to local conditions, especially in freshwater systems. This paper reviews the recent history of salmon in the Arctic and explores various patterns of climate change that may influence range expansions and future sustainability of salmon in Arctic habitats. A summary of the research needs that will allow informed expectation of further Arctic colonization by salmon is given.","container-title":"Environmental Biology of Fishes","DOI":"10.1007/s10641-012-0082-6","ISSN":"1573-5133","issue":"10","journalAbbreviation":"Environ Biol Fish","language":"en","page":"1187-1226","source":"Springer Link","title":"Adaptive strategies and life history characteristics in a warming climate: Salmon in the Arctic?","title-short":"Adaptive strategies and life history characteristics in a warming climate","volume":"96","author":[{"family":"Nielsen","given":"Jennifer L."},{"family":"Ruggerone","given":"Gregory T."},{"family":"Zimmerman","given":"Christian E."}],"issued":{"date-parts":[["2013",11,1]]},"citation-key":"nielsen_2013"}}],"schema":"https://github.com/citation-style-language/schema/raw/master/csl-citation.json"} </w:instrText>
      </w:r>
      <w:r w:rsidR="00697585" w:rsidRPr="009867C1">
        <w:rPr>
          <w:lang w:val="en-CA" w:eastAsia="en-CA"/>
        </w:rPr>
        <w:fldChar w:fldCharType="separate"/>
      </w:r>
      <w:r w:rsidR="0042141C" w:rsidRPr="009867C1">
        <w:t>(L. Crozier, 2015; Nielsen et al., 2013)</w:t>
      </w:r>
      <w:r w:rsidR="00697585" w:rsidRPr="009867C1">
        <w:rPr>
          <w:lang w:val="en-CA" w:eastAsia="en-CA"/>
        </w:rPr>
        <w:fldChar w:fldCharType="end"/>
      </w:r>
      <w:r w:rsidR="00697585" w:rsidRPr="009867C1">
        <w:rPr>
          <w:lang w:val="en-CA" w:eastAsia="en-CA"/>
        </w:rPr>
        <w:t xml:space="preserve"> northern range shifts in salmon populations. </w:t>
      </w:r>
      <w:r w:rsidR="00DD597C" w:rsidRPr="009867C1">
        <w:rPr>
          <w:lang w:val="en-CA" w:eastAsia="en-CA"/>
        </w:rPr>
        <w:t xml:space="preserve">A comprehensive effort to document the diversity of responses </w:t>
      </w:r>
      <w:r w:rsidR="0022030C">
        <w:rPr>
          <w:lang w:val="en-CA" w:eastAsia="en-CA"/>
        </w:rPr>
        <w:t>amongst</w:t>
      </w:r>
      <w:r w:rsidR="00DD597C" w:rsidRPr="009867C1">
        <w:rPr>
          <w:lang w:val="en-CA" w:eastAsia="en-CA"/>
        </w:rPr>
        <w:t xml:space="preserve"> soil types to salmon inputs across current and projected salmon distributions w</w:t>
      </w:r>
      <w:r w:rsidR="00AB5B1E" w:rsidRPr="009867C1">
        <w:rPr>
          <w:lang w:val="en-CA" w:eastAsia="en-CA"/>
        </w:rPr>
        <w:t>ill</w:t>
      </w:r>
      <w:r w:rsidR="00DD597C" w:rsidRPr="009867C1">
        <w:rPr>
          <w:lang w:val="en-CA" w:eastAsia="en-CA"/>
        </w:rPr>
        <w:t xml:space="preserve"> answer some of these questions. </w:t>
      </w:r>
      <w:r w:rsidR="00697585" w:rsidRPr="009867C1">
        <w:rPr>
          <w:lang w:val="en-CA" w:eastAsia="en-CA"/>
        </w:rPr>
        <w:t xml:space="preserve"> </w:t>
      </w:r>
    </w:p>
    <w:p w14:paraId="2FCF0994" w14:textId="1E1F73A8" w:rsidR="00697585" w:rsidRPr="009867C1" w:rsidRDefault="00697585" w:rsidP="00697585">
      <w:pPr>
        <w:spacing w:line="360" w:lineRule="auto"/>
        <w:ind w:firstLine="720"/>
      </w:pPr>
      <w:r w:rsidRPr="009867C1">
        <w:t xml:space="preserve">In </w:t>
      </w:r>
      <w:r w:rsidR="00D36A5D" w:rsidRPr="009867C1">
        <w:t xml:space="preserve">a similar vein, </w:t>
      </w:r>
      <w:r w:rsidRPr="009867C1">
        <w:t xml:space="preserve">to the degree that salmon forest soils are driven by long-term </w:t>
      </w:r>
      <w:r w:rsidR="00D36A5D" w:rsidRPr="009867C1">
        <w:t xml:space="preserve">rather than short-term </w:t>
      </w:r>
      <w:r w:rsidRPr="009867C1">
        <w:t>accumulation of marine-derived nutrients (both from natural and anthropological sources), sea-level rise due to global heating may inundate many of the more productive larger and flatter riparian sites</w:t>
      </w:r>
      <w:r w:rsidR="00D36A5D" w:rsidRPr="009867C1">
        <w:t xml:space="preserve"> </w:t>
      </w:r>
      <w:r w:rsidR="00D36A5D" w:rsidRPr="009867C1">
        <w:fldChar w:fldCharType="begin"/>
      </w:r>
      <w:r w:rsidR="00AC0205">
        <w:instrText xml:space="preserve"> ADDIN ZOTERO_ITEM CSL_CITATION {"citationID":"O644WRPi","properties":{"formattedCitation":"(Thorne et al., 2018)","plainCitation":"(Thorne et al., 2018)","noteIndex":0},"citationItems":[{"id":10417,"uris":["http://zotero.org/users/2189142/items/GWABLQRU"],"itemData":{"id":10417,"type":"article-journal","abstract":"We used a first-of-its-kind comprehensive scenario approach to evaluate both the vertical and horizontal response of tidal wetlands to projected changes in the rate of sea-level rise (SLR) across 14 estuaries along the Pacific coast of the continental United States. Throughout the U.S. Pacific region, we found that tidal wetlands are highly vulnerable to end-of-century submergence, with resulting extensive loss of habitat. Using higher-range SLR scenarios, all high and middle marsh habitats were lost, with 83% of current tidal wetlands transitioning to unvegetated habitats by 2110. The wetland area lost was greater in California and Oregon (100%) but still severe in Washington, with 68% submerged by the end of the century. The only wetland habitat remaining at the end of the century was low marsh under higher-range SLR rates. Tidal wetland loss was also likely under more conservative SLR scenarios, including loss of 95% of high marsh and 60% of middle marsh habitats by the end of the century. Horizontal migration of most wetlands was constrained by coastal development or steep topography, with just two wetland sites having sufficient upland space for migration and the possibility for nearly 1:1 replacement, making SLR threats particularly high in this region and generally undocumented. With low vertical accretion rates and little upland migration space, Pacific coast tidal wetlands are at imminent risk of submergence with projected rates of rapid SLR.\nA comprehensive field and modeling study indicates vulnerability of tidal wetlands to sea-level rise on the U.S. Pacific coast.\nA comprehensive field and modeling study indicates vulnerability of tidal wetlands to sea-level rise on the U.S. Pacific coast.","container-title":"Science Advances","DOI":"10.1126/sciadv.aao3270","ISSN":"2375-2548","issue":"2","language":"en","note":"publisher: American Association for the Advancement of Science\nsection: Research Article","page":"eaao3270","source":"advances.sciencemag.org","title":"U.S. Pacific coastal wetland resilience and vulnerability to sea-level rise","volume":"4","author":[{"family":"Thorne","given":"Karen"},{"family":"MacDonald","given":"Glen"},{"family":"Guntenspergen","given":"Glenn"},{"family":"Ambrose","given":"Richard"},{"family":"Buffington","given":"Kevin"},{"family":"Dugger","given":"Bruce"},{"family":"Freeman","given":"Chase"},{"family":"Janousek","given":"Christopher"},{"family":"Brown","given":"Lauren"},{"family":"Rosencranz","given":"Jordan"},{"family":"Holmquist","given":"James"},{"family":"Smol","given":"John"},{"family":"Hargan","given":"Kathryn"},{"family":"Takekawa","given":"John"}],"issued":{"date-parts":[["2018",2,1]]},"citation-key":"thorne_2018"}}],"schema":"https://github.com/citation-style-language/schema/raw/master/csl-citation.json"} </w:instrText>
      </w:r>
      <w:r w:rsidR="00D36A5D" w:rsidRPr="009867C1">
        <w:fldChar w:fldCharType="separate"/>
      </w:r>
      <w:r w:rsidR="0042141C" w:rsidRPr="009867C1">
        <w:t>(Thorne et al., 2018)</w:t>
      </w:r>
      <w:r w:rsidR="00D36A5D" w:rsidRPr="009867C1">
        <w:fldChar w:fldCharType="end"/>
      </w:r>
      <w:r w:rsidRPr="009867C1">
        <w:t xml:space="preserve">. Climate change is expected to have wide-ranging effects on coastal </w:t>
      </w:r>
      <w:r w:rsidR="005853EC" w:rsidRPr="009867C1">
        <w:t xml:space="preserve">riparian </w:t>
      </w:r>
      <w:r w:rsidRPr="009867C1">
        <w:t>forests</w:t>
      </w:r>
      <w:r w:rsidR="00DD597C" w:rsidRPr="009867C1">
        <w:t xml:space="preserve"> relevant to salmon populations</w:t>
      </w:r>
      <w:r w:rsidRPr="009867C1">
        <w:t xml:space="preserve">, including changes in the timing and magnitude of stream discharge, increased frequency of flooding, warmer freshwater thermal regimes, and a reduction in snowpack </w:t>
      </w:r>
      <w:r w:rsidRPr="009867C1">
        <w:fldChar w:fldCharType="begin"/>
      </w:r>
      <w:r w:rsidR="00AC0205">
        <w:instrText xml:space="preserve"> ADDIN ZOTERO_ITEM CSL_CITATION {"citationID":"B44ndAg7","properties":{"formattedCitation":"(Shanley et al., 2015)","plainCitation":"(Shanley et al., 2015)","noteIndex":0},"citationItems":[{"id":1158,"uris":["http://zotero.org/users/2189142/items/FAT4WMS3"],"itemData":{"id":1158,"type":"article-journal","abstract":"We synthesized an expert review of climate change implications for hydroecological and terrestrial ecological systems in the northern coastal temperate rainforest of North America. Our synthesis is based on an analysis of projected temperature, precipitation, and snowfall stratified by eight biogeoclimatic provinces and three vegetation zones. Five IPCC CMIP5 global climate models (GCMs) and two representative concentration pathways (RCPs) are the basis for projections of mean annual temperature increasing from a current average (1961–1990) of 3.2 °C to 4.9–6.9 °C (5 GCM range; RCP4.5 scenario) or 6.4–8.7 °C (RCP8.5), mean annual precipitation increasing from 3130 mm to 3210–3400 mm (3–9 % increase) or 3320–3690 mm (6–18 % increase), and total precipitation as snow decreasing from 1200 mm to 940–720 mm (22–40 % decrease) or 720–500 mm (40–58 % decrease) by the 2080s (2071–2100; 30-year normal period). These projected changes are anticipated to result in a cascade of ecosystem-level effects including: increased frequency of flooding and rain-on-snow events; an elevated snowline and reduced snowpack; changes in the timing and magnitude of stream flow, freshwater thermal regimes, and riverine nutrient exports; shrinking alpine habitats; altitudinal and latitudinal expansion of lowland and subalpine forest types; shifts in suitable habitat boundaries for vegetation and wildlife communities; adverse effects on species with rare ecological niches or limited dispersibility; and shifts in anadromous salmon distribution and productivity. Our collaborative synthesis of potential impacts highlights the coupling of social and ecological systems that characterize the region as well as a number of major information gaps to help guide assessments of future conditions and adaptive capacity.","container-title":"Climatic Change","DOI":"10.1007/s10584-015-1355-9","ISSN":"0165-0009, 1573-1480","issue":"2","journalAbbreviation":"Climatic Change","language":"en","page":"155-170","source":"link.springer.com.ezproxy.library.ubc.ca","title":"Climate change implications in the northern coastal temperate rainforest of North America","volume":"130","author":[{"family":"Shanley","given":"Colin S."},{"family":"Pyare","given":"Sanjay"},{"family":"Goldstein","given":"Michael I."},{"family":"Alaback","given":"Paul B."},{"family":"Albert","given":"David M."},{"family":"Beier","given":"Colin M."},{"family":"Brinkman","given":"Todd J."},{"family":"Edwards","given":"Rick T."},{"family":"Hood","given":"Eran"},{"family":"MacKinnon","given":"Andy"},{"family":"McPhee","given":"Megan V."},{"family":"Patterson","given":"Trista M."},{"family":"Suring","given":"Lowell H."},{"family":"Tallmon","given":"David A."},{"family":"Wipfli","given":"Mark S."}],"issued":{"date-parts":[["2015",2,27]]},"citation-key":"shanley_2015"}}],"schema":"https://github.com/citation-style-language/schema/raw/master/csl-citation.json"} </w:instrText>
      </w:r>
      <w:r w:rsidRPr="009867C1">
        <w:fldChar w:fldCharType="separate"/>
      </w:r>
      <w:r w:rsidR="0042141C" w:rsidRPr="009867C1">
        <w:t>(Shanley et al., 2015)</w:t>
      </w:r>
      <w:r w:rsidRPr="009867C1">
        <w:fldChar w:fldCharType="end"/>
      </w:r>
      <w:r w:rsidRPr="009867C1">
        <w:t xml:space="preserve">. </w:t>
      </w:r>
      <w:r w:rsidR="00DD597C" w:rsidRPr="009867C1">
        <w:t>If</w:t>
      </w:r>
      <w:r w:rsidRPr="009867C1">
        <w:t xml:space="preserve"> salmon forests require decades to centuries to accumulate sufficient nutrients to </w:t>
      </w:r>
      <w:r w:rsidR="005853EC" w:rsidRPr="009867C1">
        <w:t>reach an equilibrial ‘salmon-forest’ steady state</w:t>
      </w:r>
      <w:r w:rsidR="00DD597C" w:rsidRPr="009867C1">
        <w:t>,</w:t>
      </w:r>
      <w:r w:rsidRPr="009867C1">
        <w:t xml:space="preserve"> new</w:t>
      </w:r>
      <w:r w:rsidR="005853EC" w:rsidRPr="009867C1">
        <w:t xml:space="preserve"> northern</w:t>
      </w:r>
      <w:r w:rsidRPr="009867C1">
        <w:t xml:space="preserve"> habitat</w:t>
      </w:r>
      <w:r w:rsidR="005853EC" w:rsidRPr="009867C1">
        <w:t>s</w:t>
      </w:r>
      <w:r w:rsidRPr="009867C1">
        <w:t xml:space="preserve"> will not compensate for the loss of long-established </w:t>
      </w:r>
      <w:r w:rsidR="00DD597C" w:rsidRPr="009867C1">
        <w:t xml:space="preserve">southern </w:t>
      </w:r>
      <w:r w:rsidRPr="009867C1">
        <w:t>habitat</w:t>
      </w:r>
      <w:r w:rsidR="005853EC" w:rsidRPr="009867C1">
        <w:t>s</w:t>
      </w:r>
      <w:r w:rsidRPr="009867C1">
        <w:t>, leading to a net loss of salmon-forest systems.</w:t>
      </w:r>
    </w:p>
    <w:p w14:paraId="3FE79859" w14:textId="742AD7B2" w:rsidR="00697585" w:rsidRPr="009867C1" w:rsidRDefault="00697585" w:rsidP="00697585">
      <w:pPr>
        <w:spacing w:line="360" w:lineRule="auto"/>
        <w:rPr>
          <w:lang w:val="en-CA" w:eastAsia="en-CA"/>
        </w:rPr>
      </w:pPr>
      <w:r w:rsidRPr="009867C1">
        <w:tab/>
        <w:t>Caution should be applied in interpreting environmental correlations such as those demonstrated in much of this thesis</w:t>
      </w:r>
      <w:r w:rsidR="00AB5B1E" w:rsidRPr="009867C1">
        <w:t>, and s</w:t>
      </w:r>
      <w:r w:rsidRPr="009867C1">
        <w:t>ome of the questions I set out to answer proved to be difficult to address.</w:t>
      </w:r>
      <w:r w:rsidR="009061C4" w:rsidRPr="009867C1">
        <w:t xml:space="preserve"> At the same time, experimental approaches are often site- and time-specific, </w:t>
      </w:r>
      <w:r w:rsidR="00E47BE3">
        <w:t xml:space="preserve">difficult or impossible to do on adult trees, </w:t>
      </w:r>
      <w:r w:rsidR="009061C4" w:rsidRPr="009867C1">
        <w:t xml:space="preserve">and their necessary artificiality also makes generalization difficult. </w:t>
      </w:r>
      <w:r w:rsidR="00AB5B1E" w:rsidRPr="009867C1">
        <w:t xml:space="preserve">Are salmon forests more fertile than other sites and, if so, why? How should we measure fertility in these systems, and relative to which species? </w:t>
      </w:r>
      <w:r w:rsidRPr="009867C1">
        <w:t xml:space="preserve">How </w:t>
      </w:r>
      <w:r w:rsidR="009061C4" w:rsidRPr="009867C1">
        <w:t xml:space="preserve">is the </w:t>
      </w:r>
      <w:r w:rsidRPr="009867C1">
        <w:t>diver</w:t>
      </w:r>
      <w:r w:rsidR="009061C4" w:rsidRPr="009867C1">
        <w:t>sity of</w:t>
      </w:r>
      <w:r w:rsidRPr="009867C1">
        <w:t xml:space="preserve"> chemicals and elements deposited by salmon carcasses cycled through the ecosystem</w:t>
      </w:r>
      <w:r w:rsidR="009061C4" w:rsidRPr="009867C1">
        <w:t>, and how is this mediated by vegetal and microbial communities</w:t>
      </w:r>
      <w:r w:rsidRPr="009867C1">
        <w:t>?</w:t>
      </w:r>
      <w:r w:rsidR="00AB5B1E" w:rsidRPr="009867C1">
        <w:t xml:space="preserve"> </w:t>
      </w:r>
      <w:r w:rsidR="00681773" w:rsidRPr="009867C1">
        <w:t xml:space="preserve">How do we interpret ‘big data’ from sequencing studies, and which taxa are particularly relevant to ecosystem function? </w:t>
      </w:r>
      <w:r w:rsidR="004C7516">
        <w:t xml:space="preserve">Are the results I found here on Folisolic soils generalizable to other soil orders? </w:t>
      </w:r>
      <w:r w:rsidR="00AB5B1E" w:rsidRPr="009867C1">
        <w:t>And finally: do mycorrhizal fungi play an active role in distributing salmon nutrients</w:t>
      </w:r>
      <w:r w:rsidR="00681773" w:rsidRPr="009867C1">
        <w:t xml:space="preserve"> that is biologically relevant</w:t>
      </w:r>
      <w:r w:rsidR="00AB5B1E" w:rsidRPr="009867C1">
        <w:t xml:space="preserve">? </w:t>
      </w:r>
      <w:r w:rsidR="00681773" w:rsidRPr="009867C1">
        <w:t>Despite the efforts presented in this thesis, t</w:t>
      </w:r>
      <w:r w:rsidRPr="009867C1">
        <w:t xml:space="preserve">hese remain largely open questions. It is my hope that the work presented here will provide </w:t>
      </w:r>
      <w:r w:rsidR="00681773" w:rsidRPr="009867C1">
        <w:t>the starting point</w:t>
      </w:r>
      <w:r w:rsidRPr="009867C1">
        <w:t xml:space="preserve"> for refining and addressing these questions in future studies. </w:t>
      </w:r>
    </w:p>
    <w:p w14:paraId="32CC6E77" w14:textId="77777777" w:rsidR="00697585" w:rsidRPr="009867C1" w:rsidRDefault="00697585" w:rsidP="00697585">
      <w:pPr>
        <w:spacing w:line="360" w:lineRule="auto"/>
      </w:pPr>
    </w:p>
    <w:p w14:paraId="67B6A6CA" w14:textId="77777777" w:rsidR="00697585" w:rsidRPr="009867C1" w:rsidRDefault="00697585" w:rsidP="00697585">
      <w:pPr>
        <w:spacing w:line="360" w:lineRule="auto"/>
      </w:pPr>
    </w:p>
    <w:p w14:paraId="6529923C" w14:textId="77777777" w:rsidR="00697585" w:rsidRPr="009867C1" w:rsidRDefault="00697585" w:rsidP="00697585">
      <w:pPr>
        <w:spacing w:line="360" w:lineRule="auto"/>
      </w:pPr>
    </w:p>
    <w:p w14:paraId="06DBF57F" w14:textId="77777777" w:rsidR="00697585" w:rsidRPr="009867C1" w:rsidRDefault="00697585" w:rsidP="00697585">
      <w:pPr>
        <w:spacing w:line="360" w:lineRule="auto"/>
      </w:pPr>
    </w:p>
    <w:p w14:paraId="3F65B99E" w14:textId="77777777" w:rsidR="00697585" w:rsidRPr="009867C1" w:rsidRDefault="00697585" w:rsidP="00697585">
      <w:pPr>
        <w:spacing w:line="360" w:lineRule="auto"/>
      </w:pPr>
    </w:p>
    <w:p w14:paraId="3C8EA9E1" w14:textId="77777777" w:rsidR="00697585" w:rsidRPr="009867C1" w:rsidRDefault="00697585" w:rsidP="00697585">
      <w:pPr>
        <w:spacing w:line="360" w:lineRule="auto"/>
      </w:pPr>
    </w:p>
    <w:p w14:paraId="28A923FD" w14:textId="77777777" w:rsidR="00D96AEC" w:rsidRPr="009867C1" w:rsidRDefault="00D96AEC" w:rsidP="00CF2762">
      <w:pPr>
        <w:pStyle w:val="Heading2"/>
        <w:numPr>
          <w:ilvl w:val="0"/>
          <w:numId w:val="0"/>
        </w:numPr>
        <w:sectPr w:rsidR="00D96AEC" w:rsidRPr="009867C1" w:rsidSect="00D828F7">
          <w:footerReference w:type="default" r:id="rId69"/>
          <w:headerReference w:type="first" r:id="rId70"/>
          <w:pgSz w:w="12240" w:h="15840"/>
          <w:pgMar w:top="1440" w:right="1440" w:bottom="1440" w:left="1440" w:header="706" w:footer="706" w:gutter="0"/>
          <w:cols w:space="708"/>
        </w:sectPr>
      </w:pPr>
    </w:p>
    <w:p w14:paraId="7BD672F4" w14:textId="2D0C4A1A" w:rsidR="00697585" w:rsidRPr="009867C1" w:rsidRDefault="00E9753B" w:rsidP="00697585">
      <w:pPr>
        <w:pStyle w:val="Heading1"/>
      </w:pPr>
      <w:bookmarkStart w:id="299" w:name="_Toc153357253"/>
      <w:bookmarkStart w:id="300" w:name="_Toc157169061"/>
      <w:bookmarkStart w:id="301" w:name="_Toc99385522"/>
      <w:r w:rsidRPr="009867C1">
        <w:t>Bibliography</w:t>
      </w:r>
      <w:bookmarkEnd w:id="299"/>
      <w:bookmarkEnd w:id="300"/>
      <w:bookmarkEnd w:id="301"/>
    </w:p>
    <w:p w14:paraId="5EB0ED8F" w14:textId="77777777" w:rsidR="00276430" w:rsidRDefault="00924DC2" w:rsidP="00276430">
      <w:pPr>
        <w:pStyle w:val="Bibliography"/>
      </w:pPr>
      <w:r w:rsidRPr="009867C1">
        <w:fldChar w:fldCharType="begin"/>
      </w:r>
      <w:r w:rsidR="00276430">
        <w:instrText xml:space="preserve"> ADDIN ZOTERO_BIBL {"uncited":[],"omitted":[],"custom":[]} CSL_BIBLIOGRAPHY </w:instrText>
      </w:r>
      <w:r w:rsidRPr="009867C1">
        <w:fldChar w:fldCharType="separate"/>
      </w:r>
      <w:r w:rsidR="00276430">
        <w:t xml:space="preserve">Abarenkov, K., Henrik Nilsson, R., Larsson, K.-H., Alexander, I. J., Eberhardt, U., Erland, S., Høiland, K., Kjøller, R., Larsson, E., Pennanen, T., Sen, R., Taylor, A. F. S., Tedersoo, L., Ursing, B. M., Vrålstad, T., Liimatainen, K., Peintner, U., &amp; Kõljalg, U. (2010). The UNITE database for molecular identification of fungi - recent updates and future perspectives: Letters. </w:t>
      </w:r>
      <w:r w:rsidR="00276430">
        <w:rPr>
          <w:i/>
          <w:iCs/>
        </w:rPr>
        <w:t>New Phytologist</w:t>
      </w:r>
      <w:r w:rsidR="00276430">
        <w:t xml:space="preserve">, </w:t>
      </w:r>
      <w:r w:rsidR="00276430">
        <w:rPr>
          <w:i/>
          <w:iCs/>
        </w:rPr>
        <w:t>186</w:t>
      </w:r>
      <w:r w:rsidR="00276430">
        <w:t>(2), 281–285. https://doi.org/10.1111/j.1469-8137.2009.03160.x</w:t>
      </w:r>
    </w:p>
    <w:p w14:paraId="449681AF" w14:textId="77777777" w:rsidR="00276430" w:rsidRDefault="00276430" w:rsidP="00276430">
      <w:pPr>
        <w:pStyle w:val="Bibliography"/>
      </w:pPr>
      <w:r>
        <w:t xml:space="preserve">Adams, M. S., Service, C. N., Bateman, A., Bourbonnais, M., Artelle, K. A., Nelson, T., Paquet, P. C., Levi, T., &amp; Darimont, C. T. (2017). Intrapopulation diversity in isotopic niche over landscapes: Spatial patterns inform conservation of bear–salmon systems. </w:t>
      </w:r>
      <w:r>
        <w:rPr>
          <w:i/>
          <w:iCs/>
        </w:rPr>
        <w:t>Ecosphere</w:t>
      </w:r>
      <w:r>
        <w:t xml:space="preserve">, </w:t>
      </w:r>
      <w:r>
        <w:rPr>
          <w:i/>
          <w:iCs/>
        </w:rPr>
        <w:t>8</w:t>
      </w:r>
      <w:r>
        <w:t>(6), e01843. https://doi.org/10.1002/ecs2.1843</w:t>
      </w:r>
    </w:p>
    <w:p w14:paraId="5CF9DE47" w14:textId="77777777" w:rsidR="00276430" w:rsidRDefault="00276430" w:rsidP="00276430">
      <w:pPr>
        <w:pStyle w:val="Bibliography"/>
      </w:pPr>
      <w:r>
        <w:t xml:space="preserve">Addison, J. A. (2008). Distribution and impacts of invasive earthworms in Canadian forest ecosystems. </w:t>
      </w:r>
      <w:r>
        <w:rPr>
          <w:i/>
          <w:iCs/>
        </w:rPr>
        <w:t>Biological Invasions</w:t>
      </w:r>
      <w:r>
        <w:t xml:space="preserve">, </w:t>
      </w:r>
      <w:r>
        <w:rPr>
          <w:i/>
          <w:iCs/>
        </w:rPr>
        <w:t>11</w:t>
      </w:r>
      <w:r>
        <w:t>(1), 59–79. https://doi.org/10.1007/s10530-008-9320-4</w:t>
      </w:r>
    </w:p>
    <w:p w14:paraId="78D14379" w14:textId="77777777" w:rsidR="00276430" w:rsidRDefault="00276430" w:rsidP="00276430">
      <w:pPr>
        <w:pStyle w:val="Bibliography"/>
      </w:pPr>
      <w:r>
        <w:t xml:space="preserve">Agerer, R. (2006). Fungal relationships and structural identity of their ectomycorrhizae. </w:t>
      </w:r>
      <w:r>
        <w:rPr>
          <w:i/>
          <w:iCs/>
        </w:rPr>
        <w:t>Mycological Progress</w:t>
      </w:r>
      <w:r>
        <w:t xml:space="preserve">, </w:t>
      </w:r>
      <w:r>
        <w:rPr>
          <w:i/>
          <w:iCs/>
        </w:rPr>
        <w:t>5</w:t>
      </w:r>
      <w:r>
        <w:t>(2), 67–107. https://doi.org/10.1007/s11557-006-0505-x</w:t>
      </w:r>
    </w:p>
    <w:p w14:paraId="0F167890" w14:textId="77777777" w:rsidR="00276430" w:rsidRDefault="00276430" w:rsidP="00276430">
      <w:pPr>
        <w:pStyle w:val="Bibliography"/>
      </w:pPr>
      <w:r>
        <w:t xml:space="preserve">Aleksandrowicz-Trzcinska, M. (2008). Wzrost naturalnych odnowien sosny zwyczajnej i stan ich mikoryz po chemicznej ochronie przed osutka. </w:t>
      </w:r>
      <w:r>
        <w:rPr>
          <w:i/>
          <w:iCs/>
        </w:rPr>
        <w:t>Leśne Prace Badawcze</w:t>
      </w:r>
      <w:r>
        <w:t xml:space="preserve">, </w:t>
      </w:r>
      <w:r>
        <w:rPr>
          <w:i/>
          <w:iCs/>
        </w:rPr>
        <w:t>69</w:t>
      </w:r>
      <w:r>
        <w:t>(1), 7–14.</w:t>
      </w:r>
    </w:p>
    <w:p w14:paraId="6C1BECAC" w14:textId="77777777" w:rsidR="00276430" w:rsidRDefault="00276430" w:rsidP="00276430">
      <w:pPr>
        <w:pStyle w:val="Bibliography"/>
      </w:pPr>
      <w:r>
        <w:t xml:space="preserve">Allison, S. D., LeBauer, D. S., Ofrecio, M. R., Reyes, R., Ta, A.-M., &amp; Tran, T. M. (2009). Low levels of nitrogen addition stimulate decomposition by boreal forest fungi. </w:t>
      </w:r>
      <w:r>
        <w:rPr>
          <w:i/>
          <w:iCs/>
        </w:rPr>
        <w:t>Soil Biology and Biochemistry</w:t>
      </w:r>
      <w:r>
        <w:t xml:space="preserve">, </w:t>
      </w:r>
      <w:r>
        <w:rPr>
          <w:i/>
          <w:iCs/>
        </w:rPr>
        <w:t>41</w:t>
      </w:r>
      <w:r>
        <w:t>(2), 293–302. https://doi.org/10.1016/j.soilbio.2008.10.032</w:t>
      </w:r>
    </w:p>
    <w:p w14:paraId="065383D1" w14:textId="77777777" w:rsidR="00276430" w:rsidRDefault="00276430" w:rsidP="00276430">
      <w:pPr>
        <w:pStyle w:val="Bibliography"/>
      </w:pPr>
      <w:r>
        <w:t xml:space="preserve">Amundson, R., Austin, A. T., Schuur, E. a. G., Yoo, K., Matzek, V., Kendall, C., Uebersax, A., Brenner, D., &amp; Baisden, W. T. (2003). Global patterns of the isotopic composition of soil and plant nitrogen. </w:t>
      </w:r>
      <w:r>
        <w:rPr>
          <w:i/>
          <w:iCs/>
        </w:rPr>
        <w:t>Global Biogeochemical Cycles</w:t>
      </w:r>
      <w:r>
        <w:t xml:space="preserve">, </w:t>
      </w:r>
      <w:r>
        <w:rPr>
          <w:i/>
          <w:iCs/>
        </w:rPr>
        <w:t>17</w:t>
      </w:r>
      <w:r>
        <w:t>(1), 1031. https://doi.org/10.1029/2002GB001903</w:t>
      </w:r>
    </w:p>
    <w:p w14:paraId="4CF489D2" w14:textId="77777777" w:rsidR="00276430" w:rsidRDefault="00276430" w:rsidP="00276430">
      <w:pPr>
        <w:pStyle w:val="Bibliography"/>
      </w:pPr>
      <w:r>
        <w:t xml:space="preserve">Anderson, D. W., &amp; Scott Smith, C. A. (2011). A history of soil classification and soil survey in Canada: Personal perspectives. </w:t>
      </w:r>
      <w:r>
        <w:rPr>
          <w:i/>
          <w:iCs/>
        </w:rPr>
        <w:t>Canadian Journal of Soil Science</w:t>
      </w:r>
      <w:r>
        <w:t xml:space="preserve">, </w:t>
      </w:r>
      <w:r>
        <w:rPr>
          <w:i/>
          <w:iCs/>
        </w:rPr>
        <w:t>91</w:t>
      </w:r>
      <w:r>
        <w:t>(5), 675–694.</w:t>
      </w:r>
    </w:p>
    <w:p w14:paraId="5C580D29" w14:textId="77777777" w:rsidR="00276430" w:rsidRDefault="00276430" w:rsidP="00276430">
      <w:pPr>
        <w:pStyle w:val="Bibliography"/>
      </w:pPr>
      <w:r>
        <w:t xml:space="preserve">Andrews, L. (2016). </w:t>
      </w:r>
      <w:r>
        <w:rPr>
          <w:i/>
          <w:iCs/>
        </w:rPr>
        <w:t>akutils-v1.2: Facilitating analyses of microbial communities through QIIME.</w:t>
      </w:r>
      <w:r>
        <w:t xml:space="preserve"> Zenodo. https://doi.org/10.5281/zenodo.61581</w:t>
      </w:r>
    </w:p>
    <w:p w14:paraId="38FDCFDC" w14:textId="77777777" w:rsidR="00276430" w:rsidRDefault="00276430" w:rsidP="00276430">
      <w:pPr>
        <w:pStyle w:val="Bibliography"/>
      </w:pPr>
      <w:r>
        <w:t xml:space="preserve">Arcese, P., &amp; Rodewald, A. (2019). Predictors and consequences of earthworm invasion in a coastal archipelago. </w:t>
      </w:r>
      <w:r>
        <w:rPr>
          <w:i/>
          <w:iCs/>
        </w:rPr>
        <w:t>Biological Invasions</w:t>
      </w:r>
      <w:r>
        <w:t xml:space="preserve">, </w:t>
      </w:r>
      <w:r>
        <w:rPr>
          <w:i/>
          <w:iCs/>
        </w:rPr>
        <w:t>21</w:t>
      </w:r>
      <w:r>
        <w:t>. https://doi.org/10.1007/s10530-019-01942-w</w:t>
      </w:r>
    </w:p>
    <w:p w14:paraId="7C1C0F53" w14:textId="77777777" w:rsidR="00276430" w:rsidRDefault="00276430" w:rsidP="00276430">
      <w:pPr>
        <w:pStyle w:val="Bibliography"/>
      </w:pPr>
      <w:r>
        <w:t xml:space="preserve">Asada, T., Warner, B. G., &amp; Pojar, J. (2003). Environmental factors responsible for shaping an open peatland  forest complex on the hypermaritime north coast of British Columbia. </w:t>
      </w:r>
      <w:r>
        <w:rPr>
          <w:i/>
          <w:iCs/>
        </w:rPr>
        <w:t>Canadian Journal of Forest Research</w:t>
      </w:r>
      <w:r>
        <w:t xml:space="preserve">, </w:t>
      </w:r>
      <w:r>
        <w:rPr>
          <w:i/>
          <w:iCs/>
        </w:rPr>
        <w:t>33</w:t>
      </w:r>
      <w:r>
        <w:t>(12), 2380–2394. https://doi.org/10.1139/x03-174</w:t>
      </w:r>
    </w:p>
    <w:p w14:paraId="5B84CC46" w14:textId="77777777" w:rsidR="00276430" w:rsidRDefault="00276430" w:rsidP="00276430">
      <w:pPr>
        <w:pStyle w:val="Bibliography"/>
      </w:pPr>
      <w:r>
        <w:t xml:space="preserve">Atlas, W. I., Ban, N. C., Moore, J. W., Tuohy, A. M., Greening, S., Reid, A. J., Morven, N., White, E., Housty, W. G., Housty, J. A., Service, C. N., Greba, L., Harrison, S., Sharpe, C., Butts, K. I. R., Shepert, W. M., Sweeney-Bergen, E., Macintyre, D., Sloat, M. R., &amp; Connors, K. (2021). Indigenous Systems of Management for Culturally and Ecologically Resilient Pacific Salmon (Oncorhynchus spp.) Fisheries. </w:t>
      </w:r>
      <w:r>
        <w:rPr>
          <w:i/>
          <w:iCs/>
        </w:rPr>
        <w:t>BioScience</w:t>
      </w:r>
      <w:r>
        <w:t xml:space="preserve">, </w:t>
      </w:r>
      <w:r>
        <w:rPr>
          <w:i/>
          <w:iCs/>
        </w:rPr>
        <w:t>71</w:t>
      </w:r>
      <w:r>
        <w:t>(2), 186–204. https://doi.org/10.1093/biosci/biaa144</w:t>
      </w:r>
    </w:p>
    <w:p w14:paraId="109D93A4" w14:textId="77777777" w:rsidR="00276430" w:rsidRDefault="00276430" w:rsidP="00276430">
      <w:pPr>
        <w:pStyle w:val="Bibliography"/>
      </w:pPr>
      <w:r>
        <w:t xml:space="preserve">Augerot, X., Foley, D. N., Steinback, C., Fuller, A., Fobes, N., &amp; Spencer, K. (2005). </w:t>
      </w:r>
      <w:r>
        <w:rPr>
          <w:i/>
          <w:iCs/>
        </w:rPr>
        <w:t>Atlas of Pacific salmon: The first map-based status assessment of salmon in the North Pacific</w:t>
      </w:r>
      <w:r>
        <w:t>. University of California Press Berkeley.</w:t>
      </w:r>
    </w:p>
    <w:p w14:paraId="0835B7E0" w14:textId="77777777" w:rsidR="00276430" w:rsidRDefault="00276430" w:rsidP="00276430">
      <w:pPr>
        <w:pStyle w:val="Bibliography"/>
      </w:pPr>
      <w:r>
        <w:t xml:space="preserve">Bach, E. M., Williams, R. J., Hargreaves, S. K., Yang, F., &amp; Hofmockel, K. S. (2018). Greatest soil microbial diversity found in micro-habitats. </w:t>
      </w:r>
      <w:r>
        <w:rPr>
          <w:i/>
          <w:iCs/>
        </w:rPr>
        <w:t>Soil Biology and Biochemistry</w:t>
      </w:r>
      <w:r>
        <w:t xml:space="preserve">, </w:t>
      </w:r>
      <w:r>
        <w:rPr>
          <w:i/>
          <w:iCs/>
        </w:rPr>
        <w:t>118</w:t>
      </w:r>
      <w:r>
        <w:t>, 217–226. https://doi.org/10.1016/j.soilbio.2017.12.018</w:t>
      </w:r>
    </w:p>
    <w:p w14:paraId="0FDBAFD2" w14:textId="77777777" w:rsidR="00276430" w:rsidRDefault="00276430" w:rsidP="00276430">
      <w:pPr>
        <w:pStyle w:val="Bibliography"/>
      </w:pPr>
      <w:r>
        <w:t xml:space="preserve">Bailey, C. J., Andersson, L. C., Arbeider, M., Bradford, K., &amp; Moore, J. W. (2019). Salmon egg subsidies and interference competition among stream fishes. </w:t>
      </w:r>
      <w:r>
        <w:rPr>
          <w:i/>
          <w:iCs/>
        </w:rPr>
        <w:t>Environmental Biology of Fishes</w:t>
      </w:r>
      <w:r>
        <w:t xml:space="preserve">, </w:t>
      </w:r>
      <w:r>
        <w:rPr>
          <w:i/>
          <w:iCs/>
        </w:rPr>
        <w:t>102</w:t>
      </w:r>
      <w:r>
        <w:t>(6), 915–926. https://doi.org/10.1007/s10641-019-00880-9</w:t>
      </w:r>
    </w:p>
    <w:p w14:paraId="79F4BB8A" w14:textId="77777777" w:rsidR="00276430" w:rsidRDefault="00276430" w:rsidP="00276430">
      <w:pPr>
        <w:pStyle w:val="Bibliography"/>
      </w:pPr>
      <w:r>
        <w:t xml:space="preserve">Bailey, C. J., &amp; Moore, J. W. (2020). Resource pulses increase the diversity of successful competitors in a multi-species stream fish assemblage. </w:t>
      </w:r>
      <w:r>
        <w:rPr>
          <w:i/>
          <w:iCs/>
        </w:rPr>
        <w:t>Ecosphere</w:t>
      </w:r>
      <w:r>
        <w:t xml:space="preserve">, </w:t>
      </w:r>
      <w:r>
        <w:rPr>
          <w:i/>
          <w:iCs/>
        </w:rPr>
        <w:t>11</w:t>
      </w:r>
      <w:r>
        <w:t>(9), e03211.</w:t>
      </w:r>
    </w:p>
    <w:p w14:paraId="3CCB9C70" w14:textId="77777777" w:rsidR="00276430" w:rsidRDefault="00276430" w:rsidP="00276430">
      <w:pPr>
        <w:pStyle w:val="Bibliography"/>
      </w:pPr>
      <w:r>
        <w:t xml:space="preserve">Baldrian, P. (2017). Forest microbiome: Diversity, complexity and dynamics. </w:t>
      </w:r>
      <w:r>
        <w:rPr>
          <w:i/>
          <w:iCs/>
        </w:rPr>
        <w:t>FEMS Microbiology Reviews</w:t>
      </w:r>
      <w:r>
        <w:t xml:space="preserve">, </w:t>
      </w:r>
      <w:r>
        <w:rPr>
          <w:i/>
          <w:iCs/>
        </w:rPr>
        <w:t>41</w:t>
      </w:r>
      <w:r>
        <w:t>(2), 109–130. https://doi.org/10.1093/femsre/fuw040</w:t>
      </w:r>
    </w:p>
    <w:p w14:paraId="6A3D3F8A" w14:textId="77777777" w:rsidR="00276430" w:rsidRDefault="00276430" w:rsidP="00276430">
      <w:pPr>
        <w:pStyle w:val="Bibliography"/>
      </w:pPr>
      <w:r>
        <w:t xml:space="preserve">Baldrian, P. (2019). The known and the unknown in soil microbial ecology. </w:t>
      </w:r>
      <w:r>
        <w:rPr>
          <w:i/>
          <w:iCs/>
        </w:rPr>
        <w:t>FEMS Microbiology Ecology</w:t>
      </w:r>
      <w:r>
        <w:t xml:space="preserve">, </w:t>
      </w:r>
      <w:r>
        <w:rPr>
          <w:i/>
          <w:iCs/>
        </w:rPr>
        <w:t>95</w:t>
      </w:r>
      <w:r>
        <w:t>(2). https://doi.org/10.1093/femsec/fiz005</w:t>
      </w:r>
    </w:p>
    <w:p w14:paraId="4ABB7C94" w14:textId="77777777" w:rsidR="00276430" w:rsidRDefault="00276430" w:rsidP="00276430">
      <w:pPr>
        <w:pStyle w:val="Bibliography"/>
      </w:pPr>
      <w:r>
        <w:t xml:space="preserve">Barto, E. K., Weidenhamer, J. D., Cipollini, D., &amp; Rillig, M. C. (2012). Fungal superhighways: Do common mycorrhizal networks enhance below ground communication? </w:t>
      </w:r>
      <w:r>
        <w:rPr>
          <w:i/>
          <w:iCs/>
        </w:rPr>
        <w:t>Trends in Plant Science</w:t>
      </w:r>
      <w:r>
        <w:t xml:space="preserve">, </w:t>
      </w:r>
      <w:r>
        <w:rPr>
          <w:i/>
          <w:iCs/>
        </w:rPr>
        <w:t>17</w:t>
      </w:r>
      <w:r>
        <w:t>(11), 633–637. https://doi.org/10.1016/j.tplants.2012.06.007</w:t>
      </w:r>
    </w:p>
    <w:p w14:paraId="15A725BD" w14:textId="77777777" w:rsidR="00276430" w:rsidRDefault="00276430" w:rsidP="00276430">
      <w:pPr>
        <w:pStyle w:val="Bibliography"/>
      </w:pPr>
      <w:r>
        <w:t xml:space="preserve">Barton, K. (2020). </w:t>
      </w:r>
      <w:r>
        <w:rPr>
          <w:i/>
          <w:iCs/>
        </w:rPr>
        <w:t>MuMIn: Multi-Model Inference</w:t>
      </w:r>
      <w:r>
        <w:t>. https://CRAN.R-project.org/package=MuMIn</w:t>
      </w:r>
    </w:p>
    <w:p w14:paraId="485F93AF" w14:textId="77777777" w:rsidR="00276430" w:rsidRDefault="00276430" w:rsidP="00276430">
      <w:pPr>
        <w:pStyle w:val="Bibliography"/>
      </w:pPr>
      <w:r>
        <w:t xml:space="preserve">Bartz, K. K., &amp; Naiman, R. J. (2005). Effects of salmon-borne nutrients on riparian soils and vegetation in southwest Alaska. </w:t>
      </w:r>
      <w:r>
        <w:rPr>
          <w:i/>
          <w:iCs/>
        </w:rPr>
        <w:t>Ecosystems</w:t>
      </w:r>
      <w:r>
        <w:t xml:space="preserve">, </w:t>
      </w:r>
      <w:r>
        <w:rPr>
          <w:i/>
          <w:iCs/>
        </w:rPr>
        <w:t>8</w:t>
      </w:r>
      <w:r>
        <w:t>(5), 529–545.</w:t>
      </w:r>
    </w:p>
    <w:p w14:paraId="15B17A1E" w14:textId="77777777" w:rsidR="00276430" w:rsidRDefault="00276430" w:rsidP="00276430">
      <w:pPr>
        <w:pStyle w:val="Bibliography"/>
      </w:pPr>
      <w:r>
        <w:t xml:space="preserve">Battles, J. J., Fahey, T. J., Driscoll, C. T., Blum, J. D., &amp; Johnson, C. E. (2014). Restoring Soil Calcium Reverses Forest Decline. </w:t>
      </w:r>
      <w:r>
        <w:rPr>
          <w:i/>
          <w:iCs/>
        </w:rPr>
        <w:t>Environmental Science &amp; Technology Letters</w:t>
      </w:r>
      <w:r>
        <w:t xml:space="preserve">, </w:t>
      </w:r>
      <w:r>
        <w:rPr>
          <w:i/>
          <w:iCs/>
        </w:rPr>
        <w:t>1</w:t>
      </w:r>
      <w:r>
        <w:t>(1), 15–19. https://doi.org/10.1021/ez400033d</w:t>
      </w:r>
    </w:p>
    <w:p w14:paraId="54A686B2" w14:textId="77777777" w:rsidR="00276430" w:rsidRDefault="00276430" w:rsidP="00276430">
      <w:pPr>
        <w:pStyle w:val="Bibliography"/>
      </w:pPr>
      <w:r>
        <w:t xml:space="preserve">Baveye, P. C., Otten, W., Kravchenko, A., Balseiro-Romero, M., Beckers, É., Chalhoub, M., Darnault, C., Eickhorst, T., Garnier, P., Hapca, S., Kiranyaz, S., Monga, O., Mueller, C. W., Nunan, N., Pot, V., Schlüter, S., Schmidt, H., &amp; Vogel, H.-J. (2018). Emergent Properties of Microbial Activity in Heterogeneous Soil Microenvironments: Different Research Approaches Are Slowly Converging, Yet Major Challenges Remain. </w:t>
      </w:r>
      <w:r>
        <w:rPr>
          <w:i/>
          <w:iCs/>
        </w:rPr>
        <w:t>Frontiers in Microbiology</w:t>
      </w:r>
      <w:r>
        <w:t xml:space="preserve">, </w:t>
      </w:r>
      <w:r>
        <w:rPr>
          <w:i/>
          <w:iCs/>
        </w:rPr>
        <w:t>9</w:t>
      </w:r>
      <w:r>
        <w:t>. https://doi.org/10.3389/fmicb.2018.01929</w:t>
      </w:r>
    </w:p>
    <w:p w14:paraId="138A448A" w14:textId="77777777" w:rsidR="00276430" w:rsidRDefault="00276430" w:rsidP="00276430">
      <w:pPr>
        <w:pStyle w:val="Bibliography"/>
      </w:pPr>
      <w:r>
        <w:t xml:space="preserve">Ben-David, M., Bowyer, R. T., Duffy, L. K., Roby, D. D., &amp; Schell, D. M. (1998). Social behavior and ecosystem processes: River otter latrines and nutrient dynamics of terrestrial vegetation. </w:t>
      </w:r>
      <w:r>
        <w:rPr>
          <w:i/>
          <w:iCs/>
        </w:rPr>
        <w:t>Ecology</w:t>
      </w:r>
      <w:r>
        <w:t xml:space="preserve">, </w:t>
      </w:r>
      <w:r>
        <w:rPr>
          <w:i/>
          <w:iCs/>
        </w:rPr>
        <w:t>79</w:t>
      </w:r>
      <w:r>
        <w:t>(7), 2567–2571.</w:t>
      </w:r>
    </w:p>
    <w:p w14:paraId="3A742EDC" w14:textId="77777777" w:rsidR="00276430" w:rsidRDefault="00276430" w:rsidP="00276430">
      <w:pPr>
        <w:pStyle w:val="Bibliography"/>
      </w:pPr>
      <w:r>
        <w:t xml:space="preserve">Ben-David, M., Hanley, T. A., Klein, D. R., &amp; Schell, D. M. (1997). Seasonal changes in diets of coastal and riverine mink: The role of spawning Pacific salmon. </w:t>
      </w:r>
      <w:r>
        <w:rPr>
          <w:i/>
          <w:iCs/>
        </w:rPr>
        <w:t>Canadian Journal of Zoology</w:t>
      </w:r>
      <w:r>
        <w:t xml:space="preserve">, </w:t>
      </w:r>
      <w:r>
        <w:rPr>
          <w:i/>
          <w:iCs/>
        </w:rPr>
        <w:t>75</w:t>
      </w:r>
      <w:r>
        <w:t>(5), 803–811. https://doi.org/10.1139/z97-102</w:t>
      </w:r>
    </w:p>
    <w:p w14:paraId="163687C4" w14:textId="77777777" w:rsidR="00276430" w:rsidRDefault="00276430" w:rsidP="00276430">
      <w:pPr>
        <w:pStyle w:val="Bibliography"/>
      </w:pPr>
      <w:r>
        <w:t xml:space="preserve">Bending, G. D., &amp; Read, D. J. (1995). The structure and function of the vegetative mycelium of ectomycorrhizal plants. </w:t>
      </w:r>
      <w:r>
        <w:rPr>
          <w:i/>
          <w:iCs/>
        </w:rPr>
        <w:t>New Phytologist</w:t>
      </w:r>
      <w:r>
        <w:t xml:space="preserve">, </w:t>
      </w:r>
      <w:r>
        <w:rPr>
          <w:i/>
          <w:iCs/>
        </w:rPr>
        <w:t>130</w:t>
      </w:r>
      <w:r>
        <w:t>(3), 401–409. https://doi.org/10.1111/j.1469-8137.1995.tb01834.x</w:t>
      </w:r>
    </w:p>
    <w:p w14:paraId="45031583" w14:textId="77777777" w:rsidR="00276430" w:rsidRDefault="00276430" w:rsidP="00276430">
      <w:pPr>
        <w:pStyle w:val="Bibliography"/>
      </w:pPr>
      <w:r>
        <w:t xml:space="preserve">Bengtsson‐Palme, J., Ryberg, M., Hartmann, M., Branco, S., Wang, Z., Godhe, A., Wit, P. D., Sánchez‐García, M., Ebersberger, I., Sousa, F. de, Amend, A., Jumpponen, A., Unterseher, M., Kristiansson, E., Abarenkov, K., Bertrand, Y. J. K., Sanli, K., Eriksson, K. M., Vik, U., … Nilsson, R. H. (2013). Improved software detection and extraction of ITS1 and ITS2 from ribosomal ITS sequences of fungi and other eukaryotes for analysis of environmental sequencing data. </w:t>
      </w:r>
      <w:r>
        <w:rPr>
          <w:i/>
          <w:iCs/>
        </w:rPr>
        <w:t>Methods in Ecology and Evolution</w:t>
      </w:r>
      <w:r>
        <w:t xml:space="preserve">, </w:t>
      </w:r>
      <w:r>
        <w:rPr>
          <w:i/>
          <w:iCs/>
        </w:rPr>
        <w:t>4</w:t>
      </w:r>
      <w:r>
        <w:t>(10), 914–919. https://doi.org/10.1111/2041-210X.12073</w:t>
      </w:r>
    </w:p>
    <w:p w14:paraId="225D1BFB" w14:textId="77777777" w:rsidR="00276430" w:rsidRDefault="00276430" w:rsidP="00276430">
      <w:pPr>
        <w:pStyle w:val="Bibliography"/>
      </w:pPr>
      <w:r>
        <w:t xml:space="preserve">Berg, B., Davey, M. P., De Marco, A., Emmett, B., Faituri, M., Hobbie, S. E., Johansson, M.-B., Liu, C., McClaugherty, C., Norell, L., Rutigliano, F. A., Vesterdal, L., &amp; Virzo De Santo, A. (2010). Factors influencing limit values for pine needle litter decomposition: A synthesis for boreal and temperate pine forest systems. </w:t>
      </w:r>
      <w:r>
        <w:rPr>
          <w:i/>
          <w:iCs/>
        </w:rPr>
        <w:t>Biogeochemistry</w:t>
      </w:r>
      <w:r>
        <w:t xml:space="preserve">, </w:t>
      </w:r>
      <w:r>
        <w:rPr>
          <w:i/>
          <w:iCs/>
        </w:rPr>
        <w:t>100</w:t>
      </w:r>
      <w:r>
        <w:t>(1), 57–73. https://doi.org/10.1007/s10533-009-9404-y</w:t>
      </w:r>
    </w:p>
    <w:p w14:paraId="69073A68" w14:textId="77777777" w:rsidR="00276430" w:rsidRDefault="00276430" w:rsidP="00276430">
      <w:pPr>
        <w:pStyle w:val="Bibliography"/>
      </w:pPr>
      <w:r>
        <w:t xml:space="preserve">Bethlenfalvay, G. J., Reyes-Solis, M. G., Camel, S. B., &amp; Ferrera-Cerrato, R. (1991). Nutrient transfer between the root zones of soybean and maize plants connected by a common mycorrhizal mycelium. </w:t>
      </w:r>
      <w:r>
        <w:rPr>
          <w:i/>
          <w:iCs/>
        </w:rPr>
        <w:t>Physiologia Plantarum</w:t>
      </w:r>
      <w:r>
        <w:t xml:space="preserve">, </w:t>
      </w:r>
      <w:r>
        <w:rPr>
          <w:i/>
          <w:iCs/>
        </w:rPr>
        <w:t>82</w:t>
      </w:r>
      <w:r>
        <w:t>(3), 423–432. https://doi.org/10.1111/j.1399-3054.1991.tb02928.x</w:t>
      </w:r>
    </w:p>
    <w:p w14:paraId="555899E5" w14:textId="77777777" w:rsidR="00276430" w:rsidRDefault="00276430" w:rsidP="00276430">
      <w:pPr>
        <w:pStyle w:val="Bibliography"/>
      </w:pPr>
      <w:r>
        <w:t xml:space="preserve">Bigler, B. S., Welch, D. W., &amp; Helle, J. H. (1996). A review of size trends among North Pacific salmon (Oncorhynchus spp.). </w:t>
      </w:r>
      <w:r>
        <w:rPr>
          <w:i/>
          <w:iCs/>
        </w:rPr>
        <w:t>Canadian Journal of Fisheries and Aquatic Sciences</w:t>
      </w:r>
      <w:r>
        <w:t xml:space="preserve">, </w:t>
      </w:r>
      <w:r>
        <w:rPr>
          <w:i/>
          <w:iCs/>
        </w:rPr>
        <w:t>53</w:t>
      </w:r>
      <w:r>
        <w:t>(2), 455–465.</w:t>
      </w:r>
    </w:p>
    <w:p w14:paraId="4314D888" w14:textId="77777777" w:rsidR="00276430" w:rsidRDefault="00276430" w:rsidP="00276430">
      <w:pPr>
        <w:pStyle w:val="Bibliography"/>
      </w:pPr>
      <w:r>
        <w:t xml:space="preserve">Bilby, R. E., Beach, E. W., Fransen, B. R., Walter, J. K., &amp; Bisson, P. A. (2003). Transfer of Nutrients from Spawning Salmon to Riparian Vegetation in Western Washington. </w:t>
      </w:r>
      <w:r>
        <w:rPr>
          <w:i/>
          <w:iCs/>
        </w:rPr>
        <w:t>Transactions of the American Fisheries Society</w:t>
      </w:r>
      <w:r>
        <w:t xml:space="preserve">, </w:t>
      </w:r>
      <w:r>
        <w:rPr>
          <w:i/>
          <w:iCs/>
        </w:rPr>
        <w:t>132</w:t>
      </w:r>
      <w:r>
        <w:t>(4), 733–745. https://doi.org/10.1577/T02-089</w:t>
      </w:r>
    </w:p>
    <w:p w14:paraId="11C3BA4B" w14:textId="77777777" w:rsidR="00276430" w:rsidRDefault="00276430" w:rsidP="00276430">
      <w:pPr>
        <w:pStyle w:val="Bibliography"/>
      </w:pPr>
      <w:r>
        <w:t xml:space="preserve">Bilby, R. E., Fransen, B. R., &amp; Bisson, P. A. (1996). Incorporation of nitrogen and carbon from spawning coho salmon into the trophic system of small streams: Evidence from stable isotopes. </w:t>
      </w:r>
      <w:r>
        <w:rPr>
          <w:i/>
          <w:iCs/>
        </w:rPr>
        <w:t>Canadian Journal of Fisheries and Aquatic Sciences</w:t>
      </w:r>
      <w:r>
        <w:t xml:space="preserve">, </w:t>
      </w:r>
      <w:r>
        <w:rPr>
          <w:i/>
          <w:iCs/>
        </w:rPr>
        <w:t>53</w:t>
      </w:r>
      <w:r>
        <w:t>(1), 164–173.</w:t>
      </w:r>
    </w:p>
    <w:p w14:paraId="1CCE7D68" w14:textId="77777777" w:rsidR="00276430" w:rsidRDefault="00276430" w:rsidP="00276430">
      <w:pPr>
        <w:pStyle w:val="Bibliography"/>
      </w:pPr>
      <w:r>
        <w:t xml:space="preserve">Binkley, D., &amp; Fisher, R. F. (2019). </w:t>
      </w:r>
      <w:r>
        <w:rPr>
          <w:i/>
          <w:iCs/>
        </w:rPr>
        <w:t>Ecology and management of forest soils</w:t>
      </w:r>
      <w:r>
        <w:t xml:space="preserve"> (Fifth edition). Wiley-Blackwell.</w:t>
      </w:r>
    </w:p>
    <w:p w14:paraId="38ADAE10" w14:textId="77777777" w:rsidR="00276430" w:rsidRDefault="00276430" w:rsidP="00276430">
      <w:pPr>
        <w:pStyle w:val="Bibliography"/>
      </w:pPr>
      <w:r>
        <w:t xml:space="preserve">Blevins, L. L., Prescott, C. E., &amp; Van Niejenhuis, A. (2006a). The roles of nitrogen and phosphorus in increasing productivity of western hemlock and western redcedar plantations on northern Vancouver Island. </w:t>
      </w:r>
      <w:r>
        <w:rPr>
          <w:i/>
          <w:iCs/>
        </w:rPr>
        <w:t>Forest Ecology and Management</w:t>
      </w:r>
      <w:r>
        <w:t xml:space="preserve">, </w:t>
      </w:r>
      <w:r>
        <w:rPr>
          <w:i/>
          <w:iCs/>
        </w:rPr>
        <w:t>234</w:t>
      </w:r>
      <w:r>
        <w:t>(1), 116–122. https://doi.org/10.1016/j.foreco.2006.06.029</w:t>
      </w:r>
    </w:p>
    <w:p w14:paraId="79FB66E3" w14:textId="77777777" w:rsidR="00276430" w:rsidRDefault="00276430" w:rsidP="00276430">
      <w:pPr>
        <w:pStyle w:val="Bibliography"/>
      </w:pPr>
      <w:r>
        <w:t xml:space="preserve">Blevins, L. L., Prescott, C., &amp; Van Niejenhuis, A. (2006b). The roles of nitrogen and phosphorus in increasing productivity of western hemlock and western redcedar plantations on northern Vancouver Island. </w:t>
      </w:r>
      <w:r>
        <w:rPr>
          <w:i/>
          <w:iCs/>
        </w:rPr>
        <w:t>Forest Ecology and Management</w:t>
      </w:r>
      <w:r>
        <w:t xml:space="preserve">, </w:t>
      </w:r>
      <w:r>
        <w:rPr>
          <w:i/>
          <w:iCs/>
        </w:rPr>
        <w:t>234</w:t>
      </w:r>
      <w:r>
        <w:t>(1), 116–122. https://doi.org/10.1016/j.foreco.2006.06.029</w:t>
      </w:r>
    </w:p>
    <w:p w14:paraId="3CA712D1" w14:textId="77777777" w:rsidR="00276430" w:rsidRDefault="00276430" w:rsidP="00276430">
      <w:pPr>
        <w:pStyle w:val="Bibliography"/>
      </w:pPr>
      <w:r>
        <w:t xml:space="preserve">Blighe, K., &amp; Lun, A. (2020). </w:t>
      </w:r>
      <w:r>
        <w:rPr>
          <w:i/>
          <w:iCs/>
        </w:rPr>
        <w:t>PCAtools: PCAtools: Everything Principal Components Analysis</w:t>
      </w:r>
      <w:r>
        <w:t>. https://github.com/kevinblighe/PCAtools</w:t>
      </w:r>
    </w:p>
    <w:p w14:paraId="7089BB9B" w14:textId="77777777" w:rsidR="00276430" w:rsidRDefault="00276430" w:rsidP="00276430">
      <w:pPr>
        <w:pStyle w:val="Bibliography"/>
      </w:pPr>
      <w:r>
        <w:t xml:space="preserve">Boano, F., Harvey, J. W., Marion, A., Packman, A. I., Revelli, R., Ridolfi, L., &amp; Wörman, A. (2014). Hyporheic flow and transport processes: Mechanisms, models, and biogeochemical implications. </w:t>
      </w:r>
      <w:r>
        <w:rPr>
          <w:i/>
          <w:iCs/>
        </w:rPr>
        <w:t>Reviews of Geophysics</w:t>
      </w:r>
      <w:r>
        <w:t xml:space="preserve">, </w:t>
      </w:r>
      <w:r>
        <w:rPr>
          <w:i/>
          <w:iCs/>
        </w:rPr>
        <w:t>52</w:t>
      </w:r>
      <w:r>
        <w:t>(4), 603–679. https://doi.org/10.1002/2012RG000417</w:t>
      </w:r>
    </w:p>
    <w:p w14:paraId="6EEF27C9" w14:textId="77777777" w:rsidR="00276430" w:rsidRDefault="00276430" w:rsidP="00276430">
      <w:pPr>
        <w:pStyle w:val="Bibliography"/>
      </w:pPr>
      <w:r>
        <w:t xml:space="preserve">Bohn, H. L., Myer, R. A., &amp; O’Connor, G. A. (2001). </w:t>
      </w:r>
      <w:r>
        <w:rPr>
          <w:i/>
          <w:iCs/>
        </w:rPr>
        <w:t>Soil Chemistry, 3rd Edition</w:t>
      </w:r>
      <w:r>
        <w:t xml:space="preserve"> (2 edition). Wiley.</w:t>
      </w:r>
    </w:p>
    <w:p w14:paraId="67D63B3C" w14:textId="77777777" w:rsidR="00276430" w:rsidRDefault="00276430" w:rsidP="00276430">
      <w:pPr>
        <w:pStyle w:val="Bibliography"/>
      </w:pPr>
      <w:r>
        <w:t xml:space="preserve">Bojórquez-Quintal, E., Escalante-Magaña, C., Echevarría-Machado, I., &amp; Martínez-Estévez, M. (2017). Aluminum, a Friend or Foe of Higher Plants in Acid Soils. </w:t>
      </w:r>
      <w:r>
        <w:rPr>
          <w:i/>
          <w:iCs/>
        </w:rPr>
        <w:t>Frontiers in Plant Science</w:t>
      </w:r>
      <w:r>
        <w:t xml:space="preserve">, </w:t>
      </w:r>
      <w:r>
        <w:rPr>
          <w:i/>
          <w:iCs/>
        </w:rPr>
        <w:t>8</w:t>
      </w:r>
      <w:r>
        <w:t>. https://doi.org/10.3389/fpls.2017.01767</w:t>
      </w:r>
    </w:p>
    <w:p w14:paraId="20AB5852" w14:textId="77777777" w:rsidR="00276430" w:rsidRDefault="00276430" w:rsidP="00276430">
      <w:pPr>
        <w:pStyle w:val="Bibliography"/>
      </w:pPr>
      <w:r>
        <w:t xml:space="preserve">Bokulich, N. A., Kaehler, B. D., Rideout, J. R., Dillon, M., Bolyen, E., Knight, R., Huttley, G. A., &amp; Gregory Caporaso, J. (2018). Optimizing taxonomic classification of marker-gene amplicon sequences with QIIME 2’s q2-feature-classifier plugin. </w:t>
      </w:r>
      <w:r>
        <w:rPr>
          <w:i/>
          <w:iCs/>
        </w:rPr>
        <w:t>Microbiome</w:t>
      </w:r>
      <w:r>
        <w:t xml:space="preserve">, </w:t>
      </w:r>
      <w:r>
        <w:rPr>
          <w:i/>
          <w:iCs/>
        </w:rPr>
        <w:t>6</w:t>
      </w:r>
      <w:r>
        <w:t>(1), 90. https://doi.org/10.1186/s40168-018-0470-z</w:t>
      </w:r>
    </w:p>
    <w:p w14:paraId="68680E5D" w14:textId="77777777" w:rsidR="00276430" w:rsidRDefault="00276430" w:rsidP="00276430">
      <w:pPr>
        <w:pStyle w:val="Bibliography"/>
      </w:pPr>
      <w:r>
        <w:t xml:space="preserve">Bolger, A. M., Lohse, M., &amp; Usadel, B. (2014). Trimmomatic: A flexible trimmer for Illumina sequence data. </w:t>
      </w:r>
      <w:r>
        <w:rPr>
          <w:i/>
          <w:iCs/>
        </w:rPr>
        <w:t>Bioinformatics</w:t>
      </w:r>
      <w:r>
        <w:t xml:space="preserve">, </w:t>
      </w:r>
      <w:r>
        <w:rPr>
          <w:i/>
          <w:iCs/>
        </w:rPr>
        <w:t>30</w:t>
      </w:r>
      <w:r>
        <w:t>(15), 2114–2120. https://doi.org/10.1093/bioinformatics/btu170</w:t>
      </w:r>
    </w:p>
    <w:p w14:paraId="7AFBF80C" w14:textId="77777777" w:rsidR="00276430" w:rsidRDefault="00276430" w:rsidP="00276430">
      <w:pPr>
        <w:pStyle w:val="Bibliography"/>
      </w:pPr>
      <w:r>
        <w:t xml:space="preserve">Bolyen, E., Rideout, J. R., Dillon, M. R., Bokulich, N. A., Abnet, C. C., Al-Ghalith, G. A., Alexander, H., Alm, E. J., Arumugam, M., Asnicar, F., Bai, Y., Bisanz, J. E., Bittinger, K., Brejnrod, A., Brislawn, C. J., Brown, C. T., Callahan, B. J., Caraballo-Rodríguez, A. M., Chase, J., … Caporaso, J. G. (2019). Reproducible, interactive, scalable and extensible microbiome data science using QIIME 2. </w:t>
      </w:r>
      <w:r>
        <w:rPr>
          <w:i/>
          <w:iCs/>
        </w:rPr>
        <w:t>Nature Biotechnology</w:t>
      </w:r>
      <w:r>
        <w:t xml:space="preserve">, </w:t>
      </w:r>
      <w:r>
        <w:rPr>
          <w:i/>
          <w:iCs/>
        </w:rPr>
        <w:t>37</w:t>
      </w:r>
      <w:r>
        <w:t>(8), 852–857. https://doi.org/10.1038/s41587-019-0209-9</w:t>
      </w:r>
    </w:p>
    <w:p w14:paraId="2F67E4A3" w14:textId="77777777" w:rsidR="00276430" w:rsidRDefault="00276430" w:rsidP="00276430">
      <w:pPr>
        <w:pStyle w:val="Bibliography"/>
      </w:pPr>
      <w:r>
        <w:t xml:space="preserve">Bowen, L., von Biela, V. R., McCormick, S. D., Regish, A. M., Waters, S. C., Durbin-Johnson, B., Britton, M., Settles, M. L., Donnelly, D. S., Laske, S. M., Carey, M. P., Brown, R. J., &amp; Zimmerman, C. E. (2020). Transcriptomic response to elevated water temperatures in adult migrating Yukon River Chinook salmon (Oncorhynchus tshawytscha). </w:t>
      </w:r>
      <w:r>
        <w:rPr>
          <w:i/>
          <w:iCs/>
        </w:rPr>
        <w:t>Conservation Physiology</w:t>
      </w:r>
      <w:r>
        <w:t xml:space="preserve">, </w:t>
      </w:r>
      <w:r>
        <w:rPr>
          <w:i/>
          <w:iCs/>
        </w:rPr>
        <w:t>8</w:t>
      </w:r>
      <w:r>
        <w:t>(1). https://doi.org/10.1093/conphys/coaa084</w:t>
      </w:r>
    </w:p>
    <w:p w14:paraId="3FBB19DB" w14:textId="77777777" w:rsidR="00276430" w:rsidRDefault="00276430" w:rsidP="00276430">
      <w:pPr>
        <w:pStyle w:val="Bibliography"/>
      </w:pPr>
      <w:r>
        <w:t xml:space="preserve">Bowman, S. M., &amp; Free, S. J. (2006). The structure and synthesis of the fungal cell wall. </w:t>
      </w:r>
      <w:r>
        <w:rPr>
          <w:i/>
          <w:iCs/>
        </w:rPr>
        <w:t>BioEssays</w:t>
      </w:r>
      <w:r>
        <w:t xml:space="preserve">, </w:t>
      </w:r>
      <w:r>
        <w:rPr>
          <w:i/>
          <w:iCs/>
        </w:rPr>
        <w:t>28</w:t>
      </w:r>
      <w:r>
        <w:t>(8), 799–808. https://doi.org/10.1002/bies.20441</w:t>
      </w:r>
    </w:p>
    <w:p w14:paraId="07DBBBD5" w14:textId="77777777" w:rsidR="00276430" w:rsidRDefault="00276430" w:rsidP="00276430">
      <w:pPr>
        <w:pStyle w:val="Bibliography"/>
      </w:pPr>
      <w:r>
        <w:t xml:space="preserve">Brady, N. C., &amp; Weil, R. R. (2016). </w:t>
      </w:r>
      <w:r>
        <w:rPr>
          <w:i/>
          <w:iCs/>
        </w:rPr>
        <w:t>The nature and properties of soils</w:t>
      </w:r>
      <w:r>
        <w:t>. Pearson.</w:t>
      </w:r>
    </w:p>
    <w:p w14:paraId="13C1829E" w14:textId="77777777" w:rsidR="00276430" w:rsidRDefault="00276430" w:rsidP="00276430">
      <w:pPr>
        <w:pStyle w:val="Bibliography"/>
      </w:pPr>
      <w:r>
        <w:t xml:space="preserve">Breheny, P., &amp; Burchett, W. (2017). Visualization of Regression Models Using visreg. </w:t>
      </w:r>
      <w:r>
        <w:rPr>
          <w:i/>
          <w:iCs/>
        </w:rPr>
        <w:t>The R Journal</w:t>
      </w:r>
      <w:r>
        <w:t xml:space="preserve">, </w:t>
      </w:r>
      <w:r>
        <w:rPr>
          <w:i/>
          <w:iCs/>
        </w:rPr>
        <w:t>9</w:t>
      </w:r>
      <w:r>
        <w:t>(2), 56. https://doi.org/10.32614/RJ-2017-046</w:t>
      </w:r>
    </w:p>
    <w:p w14:paraId="01BCAFA2" w14:textId="77777777" w:rsidR="00276430" w:rsidRDefault="00276430" w:rsidP="00276430">
      <w:pPr>
        <w:pStyle w:val="Bibliography"/>
      </w:pPr>
      <w:r>
        <w:t xml:space="preserve">Brownlee, C., Duddridge, J. A., Malibari, A., &amp; Read, D. J. (1983). The structure and function of mycelial systems of ectomycorrhizal roots with special reference to their role in forming inter-plant connections and providing pathways for assimilate and water transport. </w:t>
      </w:r>
      <w:r>
        <w:rPr>
          <w:i/>
          <w:iCs/>
        </w:rPr>
        <w:t>Plant and Soil</w:t>
      </w:r>
      <w:r>
        <w:t xml:space="preserve">, </w:t>
      </w:r>
      <w:r>
        <w:rPr>
          <w:i/>
          <w:iCs/>
        </w:rPr>
        <w:t>71</w:t>
      </w:r>
      <w:r>
        <w:t>(1–3), 433–443.</w:t>
      </w:r>
    </w:p>
    <w:p w14:paraId="3EAA9139" w14:textId="77777777" w:rsidR="00276430" w:rsidRDefault="00276430" w:rsidP="00276430">
      <w:pPr>
        <w:pStyle w:val="Bibliography"/>
      </w:pPr>
      <w:r>
        <w:t xml:space="preserve">Bruns, T. D., Bidartondo, M. I., &amp; Taylor, D. L. (2002). Host Specificity in Ectomycorrhizal Communities: What Do the Exceptions Tell Us? </w:t>
      </w:r>
      <w:r>
        <w:rPr>
          <w:i/>
          <w:iCs/>
        </w:rPr>
        <w:t>Integrative and Comparative Biology</w:t>
      </w:r>
      <w:r>
        <w:t xml:space="preserve">, </w:t>
      </w:r>
      <w:r>
        <w:rPr>
          <w:i/>
          <w:iCs/>
        </w:rPr>
        <w:t>42</w:t>
      </w:r>
      <w:r>
        <w:t>(2), 352–359. https://doi.org/10.1093/icb/42.2.352</w:t>
      </w:r>
    </w:p>
    <w:p w14:paraId="30921A77" w14:textId="77777777" w:rsidR="00276430" w:rsidRDefault="00276430" w:rsidP="00276430">
      <w:pPr>
        <w:pStyle w:val="Bibliography"/>
      </w:pPr>
      <w:r>
        <w:t xml:space="preserve">Buée, M., Courty, P. E., Mignot, D., &amp; Garbaye, J. (2007). Soil niche effect on species diversity and catabolic activities in an ectomycorrhizal fungal community. </w:t>
      </w:r>
      <w:r>
        <w:rPr>
          <w:i/>
          <w:iCs/>
        </w:rPr>
        <w:t>Soil Biology and Biochemistry</w:t>
      </w:r>
      <w:r>
        <w:t xml:space="preserve">, </w:t>
      </w:r>
      <w:r>
        <w:rPr>
          <w:i/>
          <w:iCs/>
        </w:rPr>
        <w:t>39</w:t>
      </w:r>
      <w:r>
        <w:t>(8), 1947–1955. https://doi.org/10.1016/j.soilbio.2007.02.016</w:t>
      </w:r>
    </w:p>
    <w:p w14:paraId="700E2124" w14:textId="77777777" w:rsidR="00276430" w:rsidRDefault="00276430" w:rsidP="00276430">
      <w:pPr>
        <w:pStyle w:val="Bibliography"/>
      </w:pPr>
      <w:r>
        <w:t xml:space="preserve">Bunn, R. A., Simpson, D. T., Bullington, L. S., Lekberg, Y., &amp; Janos, D. P. (2019). Revisiting the ‘direct mineral cycling’ hypothesis: Arbuscular mycorrhizal fungi colonize leaf litter, but why? </w:t>
      </w:r>
      <w:r>
        <w:rPr>
          <w:i/>
          <w:iCs/>
        </w:rPr>
        <w:t>The ISME Journal</w:t>
      </w:r>
      <w:r>
        <w:t xml:space="preserve">, </w:t>
      </w:r>
      <w:r>
        <w:rPr>
          <w:i/>
          <w:iCs/>
        </w:rPr>
        <w:t>13</w:t>
      </w:r>
      <w:r>
        <w:t>(8), 1891–1898. https://doi.org/10.1038/s41396-019-0403-2</w:t>
      </w:r>
    </w:p>
    <w:p w14:paraId="691A6114" w14:textId="77777777" w:rsidR="00276430" w:rsidRDefault="00276430" w:rsidP="00276430">
      <w:pPr>
        <w:pStyle w:val="Bibliography"/>
      </w:pPr>
      <w:r>
        <w:t xml:space="preserve">Buotte, P. C., Law, B. E., Ripple, W. J., &amp; Berner, L. T. (2020). Carbon sequestration and biodiversity co-benefits of preserving forests in the western United States. </w:t>
      </w:r>
      <w:r>
        <w:rPr>
          <w:i/>
          <w:iCs/>
        </w:rPr>
        <w:t>Ecological Applications</w:t>
      </w:r>
      <w:r>
        <w:t xml:space="preserve">, </w:t>
      </w:r>
      <w:r>
        <w:rPr>
          <w:i/>
          <w:iCs/>
        </w:rPr>
        <w:t>30</w:t>
      </w:r>
      <w:r>
        <w:t>(2), e02039. https://doi.org/10.1002/eap.2039</w:t>
      </w:r>
    </w:p>
    <w:p w14:paraId="340B37F9" w14:textId="77777777" w:rsidR="00276430" w:rsidRDefault="00276430" w:rsidP="00276430">
      <w:pPr>
        <w:pStyle w:val="Bibliography"/>
      </w:pPr>
      <w:r>
        <w:t xml:space="preserve">Burnham, K. P., &amp; Anderson, D. R. (2003). </w:t>
      </w:r>
      <w:r>
        <w:rPr>
          <w:i/>
          <w:iCs/>
        </w:rPr>
        <w:t>Model Selection and Multimodel Inference: A Practical Information-Theoretic Approach</w:t>
      </w:r>
      <w:r>
        <w:t xml:space="preserve"> (2nd ed. 2002. Corr. 3rd printing 2003 edition). Springer.</w:t>
      </w:r>
    </w:p>
    <w:p w14:paraId="2D6F2107" w14:textId="77777777" w:rsidR="00276430" w:rsidRDefault="00276430" w:rsidP="00276430">
      <w:pPr>
        <w:pStyle w:val="Bibliography"/>
      </w:pPr>
      <w:r>
        <w:t xml:space="preserve">Cade, B. S. (2015). Model averaging and muddled multimodel inferences. </w:t>
      </w:r>
      <w:r>
        <w:rPr>
          <w:i/>
          <w:iCs/>
        </w:rPr>
        <w:t>Ecology</w:t>
      </w:r>
      <w:r>
        <w:t xml:space="preserve">, </w:t>
      </w:r>
      <w:r>
        <w:rPr>
          <w:i/>
          <w:iCs/>
        </w:rPr>
        <w:t>96</w:t>
      </w:r>
      <w:r>
        <w:t>(9), 2370–2382. https://doi.org/10.1890/14-1639.1</w:t>
      </w:r>
    </w:p>
    <w:p w14:paraId="1B52CDA8" w14:textId="77777777" w:rsidR="00276430" w:rsidRDefault="00276430" w:rsidP="00276430">
      <w:pPr>
        <w:pStyle w:val="Bibliography"/>
      </w:pPr>
      <w:r>
        <w:t xml:space="preserve">Cairney, J. W. G. (2000). Evolution of mycorrhiza systems. </w:t>
      </w:r>
      <w:r>
        <w:rPr>
          <w:i/>
          <w:iCs/>
        </w:rPr>
        <w:t>Naturwissenschaften</w:t>
      </w:r>
      <w:r>
        <w:t xml:space="preserve">, </w:t>
      </w:r>
      <w:r>
        <w:rPr>
          <w:i/>
          <w:iCs/>
        </w:rPr>
        <w:t>87</w:t>
      </w:r>
      <w:r>
        <w:t>(11), 467–475.</w:t>
      </w:r>
    </w:p>
    <w:p w14:paraId="52A85DC7" w14:textId="77777777" w:rsidR="00276430" w:rsidRDefault="00276430" w:rsidP="00276430">
      <w:pPr>
        <w:pStyle w:val="Bibliography"/>
      </w:pPr>
      <w:r>
        <w:t xml:space="preserve">Callahan, B. J., McMurdie, P. J., Rosen, M. J., Han, A. W., Johnson, A. J. A., &amp; Holmes, S. P. (2016). DADA2: High-resolution sample inference from Illumina amplicon data. </w:t>
      </w:r>
      <w:r>
        <w:rPr>
          <w:i/>
          <w:iCs/>
        </w:rPr>
        <w:t>Nature Methods</w:t>
      </w:r>
      <w:r>
        <w:t xml:space="preserve">, </w:t>
      </w:r>
      <w:r>
        <w:rPr>
          <w:i/>
          <w:iCs/>
        </w:rPr>
        <w:t>13</w:t>
      </w:r>
      <w:r>
        <w:t>(7), 581–583. https://doi.org/10.1038/nmeth.3869</w:t>
      </w:r>
    </w:p>
    <w:p w14:paraId="20227A87" w14:textId="77777777" w:rsidR="00276430" w:rsidRDefault="00276430" w:rsidP="00276430">
      <w:pPr>
        <w:pStyle w:val="Bibliography"/>
      </w:pPr>
      <w:r>
        <w:t xml:space="preserve">Callahan, B. J., Sankaran, K., Fukuyama, J. A., McMurdie, P. J., &amp; Holmes, S. P. (2016). Bioconductor Workflow for Microbiome Data Analysis: From raw reads to community analyses. </w:t>
      </w:r>
      <w:r>
        <w:rPr>
          <w:i/>
          <w:iCs/>
        </w:rPr>
        <w:t>F1000Research</w:t>
      </w:r>
      <w:r>
        <w:t xml:space="preserve">, </w:t>
      </w:r>
      <w:r>
        <w:rPr>
          <w:i/>
          <w:iCs/>
        </w:rPr>
        <w:t>5</w:t>
      </w:r>
      <w:r>
        <w:t>, 1492. https://doi.org/10.12688/f1000research.8986.2</w:t>
      </w:r>
    </w:p>
    <w:p w14:paraId="65C361B6" w14:textId="77777777" w:rsidR="00276430" w:rsidRDefault="00276430" w:rsidP="00276430">
      <w:pPr>
        <w:pStyle w:val="Bibliography"/>
      </w:pPr>
      <w:r>
        <w:t xml:space="preserve">Campbell, E. Y., Benbow, M. E., Tiegs, S. D., Hudson, J. P., Lamberti, G. A., &amp; Merritt, R. W. (2011). Timber harvest intensifies spawning-salmon disturbance of macroinvertebrates in southeastern Alaskan streams. </w:t>
      </w:r>
      <w:r>
        <w:rPr>
          <w:i/>
          <w:iCs/>
        </w:rPr>
        <w:t>Journal of the North American Benthological Society</w:t>
      </w:r>
      <w:r>
        <w:t xml:space="preserve">, </w:t>
      </w:r>
      <w:r>
        <w:rPr>
          <w:i/>
          <w:iCs/>
        </w:rPr>
        <w:t>30</w:t>
      </w:r>
      <w:r>
        <w:t>(1), 49–59.</w:t>
      </w:r>
    </w:p>
    <w:p w14:paraId="138866B3" w14:textId="77777777" w:rsidR="00276430" w:rsidRDefault="00276430" w:rsidP="00276430">
      <w:pPr>
        <w:pStyle w:val="Bibliography"/>
      </w:pPr>
      <w:r>
        <w:t xml:space="preserve">Campbell, S., &amp; Butler, V. (2010). Archaeological Evidence for Resilience of Pacific Northwest Salmon Populations and the Socioecological System Over the Last ~7,500 Years. </w:t>
      </w:r>
      <w:r>
        <w:rPr>
          <w:i/>
          <w:iCs/>
        </w:rPr>
        <w:t>Anthropology Faculty Publications and Presentations</w:t>
      </w:r>
      <w:r>
        <w:t>. http://pdxscholar.library.pdx.edu/anth_fac/19</w:t>
      </w:r>
    </w:p>
    <w:p w14:paraId="72D8A3DC" w14:textId="77777777" w:rsidR="00276430" w:rsidRDefault="00276430" w:rsidP="00276430">
      <w:pPr>
        <w:pStyle w:val="Bibliography"/>
      </w:pPr>
      <w:r>
        <w:t xml:space="preserve">Cárcamo, H. A., Prescott, C. E., Chanway, C. P., &amp; Abe, T. A. (2001). Do soil fauna increase rates of litter breakdown and nitrogen release in forests of British Columbia, Canada? </w:t>
      </w:r>
      <w:r>
        <w:rPr>
          <w:i/>
          <w:iCs/>
        </w:rPr>
        <w:t>Canadian Journal of Forest Research</w:t>
      </w:r>
      <w:r>
        <w:t xml:space="preserve">, </w:t>
      </w:r>
      <w:r>
        <w:rPr>
          <w:i/>
          <w:iCs/>
        </w:rPr>
        <w:t>31</w:t>
      </w:r>
      <w:r>
        <w:t>(7), 1195–1204.</w:t>
      </w:r>
    </w:p>
    <w:p w14:paraId="7C133005" w14:textId="77777777" w:rsidR="00276430" w:rsidRDefault="00276430" w:rsidP="00276430">
      <w:pPr>
        <w:pStyle w:val="Bibliography"/>
      </w:pPr>
      <w:r>
        <w:t xml:space="preserve">Carothers, C., Sformo, T. L., Cotton, S., George, J. C., &amp; Westley, P. A. H. (2019). Pacific Salmon in the Rapidly Changing Arctic: Exploring Local Knowledge and Emerging Fisheries in Utqiaġvik and Nuiqsut, Alaska. </w:t>
      </w:r>
      <w:r>
        <w:rPr>
          <w:i/>
          <w:iCs/>
        </w:rPr>
        <w:t>ARCTIC</w:t>
      </w:r>
      <w:r>
        <w:t xml:space="preserve">, </w:t>
      </w:r>
      <w:r>
        <w:rPr>
          <w:i/>
          <w:iCs/>
        </w:rPr>
        <w:t>72</w:t>
      </w:r>
      <w:r>
        <w:t>(3), 273–288. https://doi.org/10.14430/arctic68876</w:t>
      </w:r>
    </w:p>
    <w:p w14:paraId="07262ED3" w14:textId="77777777" w:rsidR="00276430" w:rsidRDefault="00276430" w:rsidP="00276430">
      <w:pPr>
        <w:pStyle w:val="Bibliography"/>
      </w:pPr>
      <w:r>
        <w:t xml:space="preserve">Carpenter, D. N., Bockheim, J. G., &amp; Reich, P. F. (2014). Soils of temperate rainforests of the North American Pacific Coast. </w:t>
      </w:r>
      <w:r>
        <w:rPr>
          <w:i/>
          <w:iCs/>
        </w:rPr>
        <w:t>Geoderma</w:t>
      </w:r>
      <w:r>
        <w:t xml:space="preserve">, </w:t>
      </w:r>
      <w:r>
        <w:rPr>
          <w:i/>
          <w:iCs/>
        </w:rPr>
        <w:t>230–231</w:t>
      </w:r>
      <w:r>
        <w:t>, 250–264. https://doi.org/10.1016/j.geoderma.2014.04.023</w:t>
      </w:r>
    </w:p>
    <w:p w14:paraId="5EDF03A1" w14:textId="77777777" w:rsidR="00276430" w:rsidRDefault="00276430" w:rsidP="00276430">
      <w:pPr>
        <w:pStyle w:val="Bibliography"/>
      </w:pPr>
      <w:r>
        <w:t xml:space="preserve">Carter, M. R., &amp; Gregorich, E. G. (Eds.). (2007). </w:t>
      </w:r>
      <w:r>
        <w:rPr>
          <w:i/>
          <w:iCs/>
        </w:rPr>
        <w:t>Soil Sampling and Methods of Analysis</w:t>
      </w:r>
      <w:r>
        <w:t xml:space="preserve"> (2 edition). CRC Press.</w:t>
      </w:r>
    </w:p>
    <w:p w14:paraId="2C9B336C" w14:textId="77777777" w:rsidR="00276430" w:rsidRDefault="00276430" w:rsidP="00276430">
      <w:pPr>
        <w:pStyle w:val="Bibliography"/>
      </w:pPr>
      <w:r>
        <w:t xml:space="preserve">Cederholm, C. J., Bilby, R. E., Bisson, P. A., Bumstead, T. W., Fransen, B. R., Scarlett, W. J., &amp; Ward, J. W. (1997). Response of juvenile coho salmon and steelhead to placement of large woody debris in a coastal Washington stream. </w:t>
      </w:r>
      <w:r>
        <w:rPr>
          <w:i/>
          <w:iCs/>
        </w:rPr>
        <w:t>North American Journal of Fisheries Management</w:t>
      </w:r>
      <w:r>
        <w:t xml:space="preserve">, </w:t>
      </w:r>
      <w:r>
        <w:rPr>
          <w:i/>
          <w:iCs/>
        </w:rPr>
        <w:t>17</w:t>
      </w:r>
      <w:r>
        <w:t>(4), 947–963.</w:t>
      </w:r>
    </w:p>
    <w:p w14:paraId="59107A58" w14:textId="77777777" w:rsidR="00276430" w:rsidRDefault="00276430" w:rsidP="00276430">
      <w:pPr>
        <w:pStyle w:val="Bibliography"/>
      </w:pPr>
      <w:r>
        <w:t xml:space="preserve">Cederholm, C. J., Houston, D. B., Cole, D. L., &amp; Scarlett, W. J. (1989). Fate of Coho Salmon (Oncorhynchus kisutch) Carcasses in Spawning Streams. </w:t>
      </w:r>
      <w:r>
        <w:rPr>
          <w:i/>
          <w:iCs/>
        </w:rPr>
        <w:t>Canadian Journal of Fisheries and Aquatic Sciences</w:t>
      </w:r>
      <w:r>
        <w:t xml:space="preserve">, </w:t>
      </w:r>
      <w:r>
        <w:rPr>
          <w:i/>
          <w:iCs/>
        </w:rPr>
        <w:t>46</w:t>
      </w:r>
      <w:r>
        <w:t>(8), 1347–1355. https://doi.org/10.1139/f89-173</w:t>
      </w:r>
    </w:p>
    <w:p w14:paraId="68326014" w14:textId="77777777" w:rsidR="00276430" w:rsidRDefault="00276430" w:rsidP="00276430">
      <w:pPr>
        <w:pStyle w:val="Bibliography"/>
      </w:pPr>
      <w:r>
        <w:t xml:space="preserve">Cederholm, C. J., Kunze, M. D., Murota, T., &amp; Sibatani, A. (1999a). Pacific Salmon Carcasses: Essential Contributions of Nutrients and Energy for Aquatic and Terrestrial Ecosystems. </w:t>
      </w:r>
      <w:r>
        <w:rPr>
          <w:i/>
          <w:iCs/>
        </w:rPr>
        <w:t>Fisheries</w:t>
      </w:r>
      <w:r>
        <w:t xml:space="preserve">, </w:t>
      </w:r>
      <w:r>
        <w:rPr>
          <w:i/>
          <w:iCs/>
        </w:rPr>
        <w:t>24</w:t>
      </w:r>
      <w:r>
        <w:t>(10), 6–15. https://doi.org/10.1577/1548-8446(1999)024&lt;0006:PSC&gt;2.0.CO;2</w:t>
      </w:r>
    </w:p>
    <w:p w14:paraId="6F9CBE7F" w14:textId="77777777" w:rsidR="00276430" w:rsidRDefault="00276430" w:rsidP="00276430">
      <w:pPr>
        <w:pStyle w:val="Bibliography"/>
      </w:pPr>
      <w:r>
        <w:t xml:space="preserve">Cederholm, C. J., Kunze, M. D., Murota, T., &amp; Sibatani, A. (1999b). Pacific Salmon Carcasses: Essential Contributions of Nutrients and Energy for Aquatic and Terrestrial Ecosystems. </w:t>
      </w:r>
      <w:r>
        <w:rPr>
          <w:i/>
          <w:iCs/>
        </w:rPr>
        <w:t>Fisheries</w:t>
      </w:r>
      <w:r>
        <w:t xml:space="preserve">, </w:t>
      </w:r>
      <w:r>
        <w:rPr>
          <w:i/>
          <w:iCs/>
        </w:rPr>
        <w:t>24</w:t>
      </w:r>
      <w:r>
        <w:t>(10), 6–15. https://doi.org/10.1577/1548-8446(1999)024&lt;0006:PSC&gt;2.0.CO;2</w:t>
      </w:r>
    </w:p>
    <w:p w14:paraId="6B45092B" w14:textId="77777777" w:rsidR="00276430" w:rsidRDefault="00276430" w:rsidP="00276430">
      <w:pPr>
        <w:pStyle w:val="Bibliography"/>
      </w:pPr>
      <w:r>
        <w:t xml:space="preserve">Cederholm, C. J., &amp; Peterson, N. P. (1985). The retention of coho salmon (Oncorhynchus kisutch) carcasses by organic debris in small streams. </w:t>
      </w:r>
      <w:r>
        <w:rPr>
          <w:i/>
          <w:iCs/>
        </w:rPr>
        <w:t>Canadian Journal of Fisheries and Aquatic Sciences</w:t>
      </w:r>
      <w:r>
        <w:t xml:space="preserve">, </w:t>
      </w:r>
      <w:r>
        <w:rPr>
          <w:i/>
          <w:iCs/>
        </w:rPr>
        <w:t>42</w:t>
      </w:r>
      <w:r>
        <w:t>(6), 1222–1225.</w:t>
      </w:r>
    </w:p>
    <w:p w14:paraId="527D9A5A" w14:textId="77777777" w:rsidR="00276430" w:rsidRDefault="00276430" w:rsidP="00276430">
      <w:pPr>
        <w:pStyle w:val="Bibliography"/>
      </w:pPr>
      <w:r>
        <w:t xml:space="preserve">Ceska, A., &amp; Scagel, A. M. (2011). </w:t>
      </w:r>
      <w:r>
        <w:rPr>
          <w:i/>
          <w:iCs/>
        </w:rPr>
        <w:t>Indicator Plants of Coastal British Columbia</w:t>
      </w:r>
      <w:r>
        <w:t>. UBC Press.</w:t>
      </w:r>
    </w:p>
    <w:p w14:paraId="37973F8B" w14:textId="77777777" w:rsidR="00276430" w:rsidRDefault="00276430" w:rsidP="00276430">
      <w:pPr>
        <w:pStyle w:val="Bibliography"/>
      </w:pPr>
      <w:r>
        <w:t xml:space="preserve">Chen, H., Mothapo, N. V., &amp; Shi, W. (2015). Soil moisture and pH control relative contributions of fungi and bacteria to N2O production. </w:t>
      </w:r>
      <w:r>
        <w:rPr>
          <w:i/>
          <w:iCs/>
        </w:rPr>
        <w:t>Microbial Ecology</w:t>
      </w:r>
      <w:r>
        <w:t xml:space="preserve">, </w:t>
      </w:r>
      <w:r>
        <w:rPr>
          <w:i/>
          <w:iCs/>
        </w:rPr>
        <w:t>69</w:t>
      </w:r>
      <w:r>
        <w:t>(1), 180–191. https://doi.org/10.1007/s00248-014-0488-0</w:t>
      </w:r>
    </w:p>
    <w:p w14:paraId="406D90F6" w14:textId="77777777" w:rsidR="00276430" w:rsidRDefault="00276430" w:rsidP="00276430">
      <w:pPr>
        <w:pStyle w:val="Bibliography"/>
      </w:pPr>
      <w:r>
        <w:t xml:space="preserve">Chen, Y., Camps-Arbestain, M., Shen, Q., Singh, B., &amp; Cayuela, M. L. (2018). The long-term role of organic amendments in building soil nutrient fertility: A meta-analysis and review. </w:t>
      </w:r>
      <w:r>
        <w:rPr>
          <w:i/>
          <w:iCs/>
        </w:rPr>
        <w:t>Nutrient Cycling in Agroecosystems</w:t>
      </w:r>
      <w:r>
        <w:t xml:space="preserve">, </w:t>
      </w:r>
      <w:r>
        <w:rPr>
          <w:i/>
          <w:iCs/>
        </w:rPr>
        <w:t>111</w:t>
      </w:r>
      <w:r>
        <w:t>(2), 103–125. https://doi.org/10.1007/s10705-017-9903-5</w:t>
      </w:r>
    </w:p>
    <w:p w14:paraId="465F0290" w14:textId="77777777" w:rsidR="00276430" w:rsidRDefault="00276430" w:rsidP="00276430">
      <w:pPr>
        <w:pStyle w:val="Bibliography"/>
      </w:pPr>
      <w:r>
        <w:t xml:space="preserve">Christensen, J. R. (2008). </w:t>
      </w:r>
      <w:r>
        <w:rPr>
          <w:i/>
          <w:iCs/>
        </w:rPr>
        <w:t>Factors affecting persistent organic pollutant (POP) accumulation in British Columbia grizzly bears (Ursus arctos horribilis)</w:t>
      </w:r>
      <w:r>
        <w:t xml:space="preserve"> [Thesis]. https://dspace.library.uvic.ca//handle/1828/890</w:t>
      </w:r>
    </w:p>
    <w:p w14:paraId="45F215F2" w14:textId="77777777" w:rsidR="00276430" w:rsidRDefault="00276430" w:rsidP="00276430">
      <w:pPr>
        <w:pStyle w:val="Bibliography"/>
      </w:pPr>
      <w:r>
        <w:t xml:space="preserve">Christie, K. S., &amp; Reimchen, T. E. (2005). Post-Reproductive Pacific Salmon, Oncorhynchus spp., as a Major Nutrient Source for Large Aggregations of Gulls, Larus spp. </w:t>
      </w:r>
      <w:r>
        <w:rPr>
          <w:i/>
          <w:iCs/>
        </w:rPr>
        <w:t>The Canadian Field-Naturalist</w:t>
      </w:r>
      <w:r>
        <w:t xml:space="preserve">, </w:t>
      </w:r>
      <w:r>
        <w:rPr>
          <w:i/>
          <w:iCs/>
        </w:rPr>
        <w:t>119</w:t>
      </w:r>
      <w:r>
        <w:t>(2), 202–207.</w:t>
      </w:r>
    </w:p>
    <w:p w14:paraId="7340B143" w14:textId="77777777" w:rsidR="00276430" w:rsidRDefault="00276430" w:rsidP="00276430">
      <w:pPr>
        <w:pStyle w:val="Bibliography"/>
      </w:pPr>
      <w:r>
        <w:t xml:space="preserve">Christie, K. S., &amp; Reimchen, T. E. (2008). Presence of salmon increases passerine density on Pacific Northwest streams. </w:t>
      </w:r>
      <w:r>
        <w:rPr>
          <w:i/>
          <w:iCs/>
        </w:rPr>
        <w:t>The Auk</w:t>
      </w:r>
      <w:r>
        <w:t xml:space="preserve">, </w:t>
      </w:r>
      <w:r>
        <w:rPr>
          <w:i/>
          <w:iCs/>
        </w:rPr>
        <w:t>125</w:t>
      </w:r>
      <w:r>
        <w:t>(1), 51–59.</w:t>
      </w:r>
    </w:p>
    <w:p w14:paraId="13DD5B11" w14:textId="77777777" w:rsidR="00276430" w:rsidRDefault="00276430" w:rsidP="00276430">
      <w:pPr>
        <w:pStyle w:val="Bibliography"/>
      </w:pPr>
      <w:r>
        <w:t xml:space="preserve">Ciarkowska, K., &amp; Miechówka, A. (2019). The effect of understory on cation binding reactions and aluminium behaviour in acidic soils under spruce forest stands (Southern Poland). </w:t>
      </w:r>
      <w:r>
        <w:rPr>
          <w:i/>
          <w:iCs/>
        </w:rPr>
        <w:t>Biogeochemistry</w:t>
      </w:r>
      <w:r>
        <w:t xml:space="preserve">, </w:t>
      </w:r>
      <w:r>
        <w:rPr>
          <w:i/>
          <w:iCs/>
        </w:rPr>
        <w:t>143</w:t>
      </w:r>
      <w:r>
        <w:t>(1), 55–66. https://doi.org/10.1007/s10533-019-00550-z</w:t>
      </w:r>
    </w:p>
    <w:p w14:paraId="2DFB5B3E" w14:textId="77777777" w:rsidR="00276430" w:rsidRDefault="00276430" w:rsidP="00276430">
      <w:pPr>
        <w:pStyle w:val="Bibliography"/>
      </w:pPr>
      <w:r>
        <w:t xml:space="preserve">Claeson, S. M., Li, J. L., Compton, J. E., &amp; Bisson, P. A. (2006). Response of nutrients, biofilm, and benthic insects to salmon carcass addition. </w:t>
      </w:r>
      <w:r>
        <w:rPr>
          <w:i/>
          <w:iCs/>
        </w:rPr>
        <w:t>Canadian Journal of Fisheries and Aquatic Sciences</w:t>
      </w:r>
      <w:r>
        <w:t xml:space="preserve">, </w:t>
      </w:r>
      <w:r>
        <w:rPr>
          <w:i/>
          <w:iCs/>
        </w:rPr>
        <w:t>63</w:t>
      </w:r>
      <w:r>
        <w:t>(6), 1230–1241. https://doi.org/10.1139/f06-029</w:t>
      </w:r>
    </w:p>
    <w:p w14:paraId="1EE8189E" w14:textId="77777777" w:rsidR="00276430" w:rsidRDefault="00276430" w:rsidP="00276430">
      <w:pPr>
        <w:pStyle w:val="Bibliography"/>
      </w:pPr>
      <w:r>
        <w:t xml:space="preserve">Clague, J., &amp; Ward, B. (2011). Pleistocene Glaciation of British Columbia. </w:t>
      </w:r>
      <w:r>
        <w:rPr>
          <w:i/>
          <w:iCs/>
        </w:rPr>
        <w:t>Developments in Quaternary Science</w:t>
      </w:r>
      <w:r>
        <w:t xml:space="preserve">, </w:t>
      </w:r>
      <w:r>
        <w:rPr>
          <w:i/>
          <w:iCs/>
        </w:rPr>
        <w:t>15</w:t>
      </w:r>
      <w:r>
        <w:t>, 563–573. https://doi.org/10.1016/B978-0-444-53447-7.00044-1</w:t>
      </w:r>
    </w:p>
    <w:p w14:paraId="490516A0" w14:textId="77777777" w:rsidR="00276430" w:rsidRDefault="00276430" w:rsidP="00276430">
      <w:pPr>
        <w:pStyle w:val="Bibliography"/>
      </w:pPr>
      <w:r>
        <w:t xml:space="preserve">Colella, J., Lan, T., Talbot, S. L., Lindqvist, C., &amp; Cook, J. A. (2021). Whole-genome resequencing reveals persistence of forest-associated mammals in Late Pleistocene refugia along North America’s North Pacific Coast. </w:t>
      </w:r>
      <w:r>
        <w:rPr>
          <w:i/>
          <w:iCs/>
        </w:rPr>
        <w:t>Journal of Biogeography</w:t>
      </w:r>
      <w:r>
        <w:t xml:space="preserve">, </w:t>
      </w:r>
      <w:r>
        <w:rPr>
          <w:i/>
          <w:iCs/>
        </w:rPr>
        <w:t>48</w:t>
      </w:r>
      <w:r>
        <w:t>(5), 1153–1169. https://doi.org/10.1111/jbi.14068</w:t>
      </w:r>
    </w:p>
    <w:p w14:paraId="6341DEED" w14:textId="77777777" w:rsidR="00276430" w:rsidRDefault="00276430" w:rsidP="00276430">
      <w:pPr>
        <w:pStyle w:val="Bibliography"/>
      </w:pPr>
      <w:r>
        <w:t xml:space="preserve">Colella, J., Lan, T., Talbot, S., Lindqvist, C., &amp; Cook, J. (2020). Whole-genome sequencing reveals a deeper history of dynamic biotic complexity along North America’s North Pacific Coast. </w:t>
      </w:r>
      <w:r>
        <w:rPr>
          <w:i/>
          <w:iCs/>
        </w:rPr>
        <w:t>Authorea Preprints</w:t>
      </w:r>
      <w:r>
        <w:t>.</w:t>
      </w:r>
    </w:p>
    <w:p w14:paraId="71120C07" w14:textId="77777777" w:rsidR="00276430" w:rsidRDefault="00276430" w:rsidP="00276430">
      <w:pPr>
        <w:pStyle w:val="Bibliography"/>
      </w:pPr>
      <w:r>
        <w:t xml:space="preserve">Coleman, D. C. (2008). From peds to paradoxes: Linkages between soil biota and their influences on ecological processes. </w:t>
      </w:r>
      <w:r>
        <w:rPr>
          <w:i/>
          <w:iCs/>
        </w:rPr>
        <w:t>Soil Biology and Biochemistry</w:t>
      </w:r>
      <w:r>
        <w:t xml:space="preserve">, </w:t>
      </w:r>
      <w:r>
        <w:rPr>
          <w:i/>
          <w:iCs/>
        </w:rPr>
        <w:t>40</w:t>
      </w:r>
      <w:r>
        <w:t>(2), 271–289. https://doi.org/10.1016/j.soilbio.2007.08.005</w:t>
      </w:r>
    </w:p>
    <w:p w14:paraId="5C6451E4" w14:textId="77777777" w:rsidR="00276430" w:rsidRDefault="00276430" w:rsidP="00276430">
      <w:pPr>
        <w:pStyle w:val="Bibliography"/>
      </w:pPr>
      <w:r>
        <w:t xml:space="preserve">Collins, B. D., &amp; Montgomery, D. R. (2002). Forest Development, Wood Jams, and Restoration of Floodplain Rivers in the Puget Lowland, Washington. </w:t>
      </w:r>
      <w:r>
        <w:rPr>
          <w:i/>
          <w:iCs/>
        </w:rPr>
        <w:t>Restoration Ecology</w:t>
      </w:r>
      <w:r>
        <w:t xml:space="preserve">, </w:t>
      </w:r>
      <w:r>
        <w:rPr>
          <w:i/>
          <w:iCs/>
        </w:rPr>
        <w:t>10</w:t>
      </w:r>
      <w:r>
        <w:t>(2), 237–247. https://doi.org/10.1046/j.1526-100X.2002.01023.x</w:t>
      </w:r>
    </w:p>
    <w:p w14:paraId="0FA680A8" w14:textId="77777777" w:rsidR="00276430" w:rsidRDefault="00276430" w:rsidP="00276430">
      <w:pPr>
        <w:pStyle w:val="Bibliography"/>
      </w:pPr>
      <w:r>
        <w:t xml:space="preserve">Collins, S. F., &amp; Baxter, C. V. (2020). Beyond “Donors and Recipients”: Impacts of Species Gains and Losses Reverberate Among Ecosystems Due to Changes in Resource Subsidies. In J. M. Kraus, D. M. Walters, &amp; M. A. Mills (Eds.), </w:t>
      </w:r>
      <w:r>
        <w:rPr>
          <w:i/>
          <w:iCs/>
        </w:rPr>
        <w:t>Contaminants and Ecological Subsidies: The Land-Water Interface</w:t>
      </w:r>
      <w:r>
        <w:t xml:space="preserve"> (pp. 157–176). Springer International Publishing. https://doi.org/10.1007/978-3-030-49480-3_8</w:t>
      </w:r>
    </w:p>
    <w:p w14:paraId="01A264EF" w14:textId="77777777" w:rsidR="00276430" w:rsidRDefault="00276430" w:rsidP="00276430">
      <w:pPr>
        <w:pStyle w:val="Bibliography"/>
      </w:pPr>
      <w:r>
        <w:t xml:space="preserve">Collins, S. F., Baxter, C. V., Marcarelli, A. M., &amp; Wipfli, M. S. (2016). Effects of experimentally added salmon subsidies on resident fishes via direct and indirect pathways. </w:t>
      </w:r>
      <w:r>
        <w:rPr>
          <w:i/>
          <w:iCs/>
        </w:rPr>
        <w:t>Ecosphere</w:t>
      </w:r>
      <w:r>
        <w:t xml:space="preserve">, </w:t>
      </w:r>
      <w:r>
        <w:rPr>
          <w:i/>
          <w:iCs/>
        </w:rPr>
        <w:t>7</w:t>
      </w:r>
      <w:r>
        <w:t>(3), n/a-n/a. https://doi.org/10.1002/ecs2.1248</w:t>
      </w:r>
    </w:p>
    <w:p w14:paraId="4E06C545" w14:textId="77777777" w:rsidR="00276430" w:rsidRDefault="00276430" w:rsidP="00276430">
      <w:pPr>
        <w:pStyle w:val="Bibliography"/>
      </w:pPr>
      <w:r>
        <w:t xml:space="preserve">Collins, S. F., Marcarelli, A. M., Baxter, C. V., &amp; Wipfli, M. S. (2015). A critical assessment of the ecological assumptions underpinning compensatory mitigation of salmon-derived nutrients. </w:t>
      </w:r>
      <w:r>
        <w:rPr>
          <w:i/>
          <w:iCs/>
        </w:rPr>
        <w:t>Environmental Management</w:t>
      </w:r>
      <w:r>
        <w:t xml:space="preserve">, </w:t>
      </w:r>
      <w:r>
        <w:rPr>
          <w:i/>
          <w:iCs/>
        </w:rPr>
        <w:t>56</w:t>
      </w:r>
      <w:r>
        <w:t>(3), 571–586.</w:t>
      </w:r>
    </w:p>
    <w:p w14:paraId="74CAB47E" w14:textId="77777777" w:rsidR="00276430" w:rsidRDefault="00276430" w:rsidP="00276430">
      <w:pPr>
        <w:pStyle w:val="Bibliography"/>
      </w:pPr>
      <w:r>
        <w:t xml:space="preserve">Colombi, B. J., &amp; Brooks, J. (2012). </w:t>
      </w:r>
      <w:r>
        <w:rPr>
          <w:i/>
          <w:iCs/>
        </w:rPr>
        <w:t>Keystone Nations: Indigenous Peoples and Salmon Across the North Pacific</w:t>
      </w:r>
      <w:r>
        <w:t>. School for Advanced Research Press.</w:t>
      </w:r>
    </w:p>
    <w:p w14:paraId="1F7B3592" w14:textId="77777777" w:rsidR="00276430" w:rsidRDefault="00276430" w:rsidP="00276430">
      <w:pPr>
        <w:pStyle w:val="Bibliography"/>
      </w:pPr>
      <w:r>
        <w:t xml:space="preserve">Compant, S., Samad, A., Faist, H., &amp; Sessitsch, A. (2019). A review on the plant microbiome: Ecology, functions, and emerging trends in microbial application. </w:t>
      </w:r>
      <w:r>
        <w:rPr>
          <w:i/>
          <w:iCs/>
        </w:rPr>
        <w:t>Journal of Advanced Research</w:t>
      </w:r>
      <w:r>
        <w:t xml:space="preserve">, </w:t>
      </w:r>
      <w:r>
        <w:rPr>
          <w:i/>
          <w:iCs/>
        </w:rPr>
        <w:t>19</w:t>
      </w:r>
      <w:r>
        <w:t>, 29–37.</w:t>
      </w:r>
    </w:p>
    <w:p w14:paraId="54C2D5D0" w14:textId="77777777" w:rsidR="00276430" w:rsidRDefault="00276430" w:rsidP="00276430">
      <w:pPr>
        <w:pStyle w:val="Bibliography"/>
      </w:pPr>
      <w:r>
        <w:t xml:space="preserve">Connors, K., Jones, E., Honka, L., Kellock, K., Hertz, E., &amp; Riddell, B. (2018). The Pacific salmon explorer: A data driven look at salmon populations and their habitats. </w:t>
      </w:r>
      <w:r>
        <w:rPr>
          <w:i/>
          <w:iCs/>
        </w:rPr>
        <w:t>Salish Sea Ecosystem Conference</w:t>
      </w:r>
      <w:r>
        <w:t>. https://cedar.wwu.edu/ssec/2018ssec/allsessions/516</w:t>
      </w:r>
    </w:p>
    <w:p w14:paraId="51917A1B" w14:textId="77777777" w:rsidR="00276430" w:rsidRDefault="00276430" w:rsidP="00276430">
      <w:pPr>
        <w:pStyle w:val="Bibliography"/>
      </w:pPr>
      <w:r>
        <w:t xml:space="preserve">Connors, K., Jones, E., Kellock, K., Hertz, E., Honka, L., &amp; Belzile, J. (2018). </w:t>
      </w:r>
      <w:r>
        <w:rPr>
          <w:i/>
          <w:iCs/>
        </w:rPr>
        <w:t>BC Central Coast: A Snapshot of Salmon Populations and Their Habitats (Technical Report)</w:t>
      </w:r>
      <w:r>
        <w:t>.</w:t>
      </w:r>
    </w:p>
    <w:p w14:paraId="55064D13" w14:textId="77777777" w:rsidR="00276430" w:rsidRDefault="00276430" w:rsidP="00276430">
      <w:pPr>
        <w:pStyle w:val="Bibliography"/>
      </w:pPr>
      <w:r>
        <w:t xml:space="preserve">Courty, P.-E., Buée, M., Diedhiou, A. G., Frey-Klett, P., Le Tacon, F., Rineau, F., Turpault, M.-P., Uroz, S., &amp; Garbaye, J. (2010). The role of ectomycorrhizal communities in forest ecosystem processes: New perspectives and emerging concepts. </w:t>
      </w:r>
      <w:r>
        <w:rPr>
          <w:i/>
          <w:iCs/>
        </w:rPr>
        <w:t>Soil Biology and Biochemistry</w:t>
      </w:r>
      <w:r>
        <w:t xml:space="preserve">, </w:t>
      </w:r>
      <w:r>
        <w:rPr>
          <w:i/>
          <w:iCs/>
        </w:rPr>
        <w:t>42</w:t>
      </w:r>
      <w:r>
        <w:t>(5), 679–698. https://doi.org/10.1016/j.soilbio.2009.12.006</w:t>
      </w:r>
    </w:p>
    <w:p w14:paraId="6DC7C7FD" w14:textId="77777777" w:rsidR="00276430" w:rsidRDefault="00276430" w:rsidP="00276430">
      <w:pPr>
        <w:pStyle w:val="Bibliography"/>
      </w:pPr>
      <w:r>
        <w:t xml:space="preserve">Cox, K. D., Davies, H. L., Davidson, K. H., Gerwing, T. G., Dudas, S. E., &amp; Juanes, F. (2020). Shellfish subsidies along the Pacific coast of North America. </w:t>
      </w:r>
      <w:r>
        <w:rPr>
          <w:i/>
          <w:iCs/>
        </w:rPr>
        <w:t>Ecography</w:t>
      </w:r>
      <w:r>
        <w:t xml:space="preserve">, </w:t>
      </w:r>
      <w:r>
        <w:rPr>
          <w:i/>
          <w:iCs/>
        </w:rPr>
        <w:t>43</w:t>
      </w:r>
      <w:r>
        <w:t>(5), 668–681. https://doi.org/10.1111/ecog.04476</w:t>
      </w:r>
    </w:p>
    <w:p w14:paraId="245018F1" w14:textId="77777777" w:rsidR="00276430" w:rsidRDefault="00276430" w:rsidP="00276430">
      <w:pPr>
        <w:pStyle w:val="Bibliography"/>
      </w:pPr>
      <w:r>
        <w:t xml:space="preserve">Craine, J. M., Brookshire, E. N. J., Cramer, M. D., Hasselquist, N. J., Koba, K., Marin-Spiotta, E., &amp; Wang, L. (2015). Ecological interpretations of nitrogen isotope ratios of terrestrial plants and soils. </w:t>
      </w:r>
      <w:r>
        <w:rPr>
          <w:i/>
          <w:iCs/>
        </w:rPr>
        <w:t>Plant and Soil</w:t>
      </w:r>
      <w:r>
        <w:t xml:space="preserve">, </w:t>
      </w:r>
      <w:r>
        <w:rPr>
          <w:i/>
          <w:iCs/>
        </w:rPr>
        <w:t>396</w:t>
      </w:r>
      <w:r>
        <w:t>(1–2), 1–26.</w:t>
      </w:r>
    </w:p>
    <w:p w14:paraId="2FD99BE9" w14:textId="77777777" w:rsidR="00276430" w:rsidRDefault="00276430" w:rsidP="00276430">
      <w:pPr>
        <w:pStyle w:val="Bibliography"/>
      </w:pPr>
      <w:r>
        <w:t xml:space="preserve">Craine, J. M., Elmore, A. J., Aidar, M. P. M., Bustamante, M., Dawson, T. E., Hobbie, E. A., Kahmen, A., Mack, M. C., McLauchlan, K. K., Michelsen, A., Nardoto, G. B., Pardo, L. H., Peñuelas, J., Reich, P. B., Schuur, E. A. G., Stock, W. D., Templer, P. H., Virginia, R. A., Welker, J. M., &amp; Wright, I. J. (2009). Global patterns of foliar nitrogen isotopes and their relationships with climate, mycorrhizal fungi, foliar nutrient concentrations, and nitrogen availability. </w:t>
      </w:r>
      <w:r>
        <w:rPr>
          <w:i/>
          <w:iCs/>
        </w:rPr>
        <w:t>New Phytologist</w:t>
      </w:r>
      <w:r>
        <w:t xml:space="preserve">, </w:t>
      </w:r>
      <w:r>
        <w:rPr>
          <w:i/>
          <w:iCs/>
        </w:rPr>
        <w:t>183</w:t>
      </w:r>
      <w:r>
        <w:t>(4), 980–992. https://doi.org/10.1111/j.1469-8137.2009.02917.x</w:t>
      </w:r>
    </w:p>
    <w:p w14:paraId="4A3F02A0" w14:textId="77777777" w:rsidR="00276430" w:rsidRDefault="00276430" w:rsidP="00276430">
      <w:pPr>
        <w:pStyle w:val="Bibliography"/>
      </w:pPr>
      <w:r>
        <w:t xml:space="preserve">Craven, L. A. (2011). </w:t>
      </w:r>
      <w:r>
        <w:rPr>
          <w:i/>
          <w:iCs/>
        </w:rPr>
        <w:t>Diplarche and Menziesia transferred to Rhododendron (Ericaceae)</w:t>
      </w:r>
      <w:r>
        <w:t xml:space="preserve"> [Text]. https://doi.org/info:doi/10.3767/000651911X568594</w:t>
      </w:r>
    </w:p>
    <w:p w14:paraId="6E548AD1" w14:textId="77777777" w:rsidR="00276430" w:rsidRDefault="00276430" w:rsidP="00276430">
      <w:pPr>
        <w:pStyle w:val="Bibliography"/>
      </w:pPr>
      <w:r>
        <w:t xml:space="preserve">Crisp, T. (2000). </w:t>
      </w:r>
      <w:r>
        <w:rPr>
          <w:i/>
          <w:iCs/>
        </w:rPr>
        <w:t>Trout &amp; Salmon: Ecology, Conservation and Rehabilitation</w:t>
      </w:r>
      <w:r>
        <w:t xml:space="preserve"> (1 edition). Wiley-Blackwell.</w:t>
      </w:r>
    </w:p>
    <w:p w14:paraId="3C5E53D6" w14:textId="77777777" w:rsidR="00276430" w:rsidRDefault="00276430" w:rsidP="00276430">
      <w:pPr>
        <w:pStyle w:val="Bibliography"/>
      </w:pPr>
      <w:r>
        <w:t xml:space="preserve">Cronan, C. S., &amp; Grigal, D. F. (1995). Use of Calcium/Aluminum Ratios as Indicators of Stress in Forest Ecosystems. </w:t>
      </w:r>
      <w:r>
        <w:rPr>
          <w:i/>
          <w:iCs/>
        </w:rPr>
        <w:t>Journal of Environmental Quality</w:t>
      </w:r>
      <w:r>
        <w:t xml:space="preserve">, </w:t>
      </w:r>
      <w:r>
        <w:rPr>
          <w:i/>
          <w:iCs/>
        </w:rPr>
        <w:t>24</w:t>
      </w:r>
      <w:r>
        <w:t>(2), 209–226. https://doi.org/10.2134/jeq1995.00472425002400020002x</w:t>
      </w:r>
    </w:p>
    <w:p w14:paraId="09C2FF67" w14:textId="77777777" w:rsidR="00276430" w:rsidRDefault="00276430" w:rsidP="00276430">
      <w:pPr>
        <w:pStyle w:val="Bibliography"/>
      </w:pPr>
      <w:r>
        <w:t xml:space="preserve">Crozier, L. (2015). </w:t>
      </w:r>
      <w:r>
        <w:rPr>
          <w:i/>
          <w:iCs/>
        </w:rPr>
        <w:t>Impacts of Climate Change on Salmon of the Pacific Northwest</w:t>
      </w:r>
      <w:r>
        <w:t>. https://www.nwfsc.noaa.gov/trt/lcm/Literature_Review_%20Impacts_of_Climate_Change_on_Salmon_2014.pdf</w:t>
      </w:r>
    </w:p>
    <w:p w14:paraId="18CCD0E9" w14:textId="77777777" w:rsidR="00276430" w:rsidRDefault="00276430" w:rsidP="00276430">
      <w:pPr>
        <w:pStyle w:val="Bibliography"/>
      </w:pPr>
      <w:r>
        <w:t xml:space="preserve">Crozier, L. G., Hendry, A. P., Lawson, P. W., Quinn, T. P., Mantua, N. J., Battin, J., Shaw, R. G., &amp; Huey, R. B. (2008). Potential responses to climate change in organisms with complex life histories: Evolution and plasticity in Pacific salmon. </w:t>
      </w:r>
      <w:r>
        <w:rPr>
          <w:i/>
          <w:iCs/>
        </w:rPr>
        <w:t>Evolutionary Applications</w:t>
      </w:r>
      <w:r>
        <w:t xml:space="preserve">, </w:t>
      </w:r>
      <w:r>
        <w:rPr>
          <w:i/>
          <w:iCs/>
        </w:rPr>
        <w:t>1</w:t>
      </w:r>
      <w:r>
        <w:t>(2), 252–270. https://doi.org/10.1111/j.1752-4571.2008.00033.x</w:t>
      </w:r>
    </w:p>
    <w:p w14:paraId="047740DB" w14:textId="77777777" w:rsidR="00276430" w:rsidRDefault="00276430" w:rsidP="00276430">
      <w:pPr>
        <w:pStyle w:val="Bibliography"/>
      </w:pPr>
      <w:r>
        <w:t xml:space="preserve">Cubitt, F., Butterworth, K., &amp; McKinley, R. S. (2008). A Synopsis of Environmental Issues Associated with Salmon Aquaculture in Canada. In K. Culver &amp; D. Castle (Eds.), </w:t>
      </w:r>
      <w:r>
        <w:rPr>
          <w:i/>
          <w:iCs/>
        </w:rPr>
        <w:t>Aquaculture, Innovation and Social Transformation</w:t>
      </w:r>
      <w:r>
        <w:t xml:space="preserve"> (pp. 123–162). Springer Netherlands. https://doi.org/10.1007/978-1-4020-8835-3_10</w:t>
      </w:r>
    </w:p>
    <w:p w14:paraId="6DFFCC9A" w14:textId="77777777" w:rsidR="00276430" w:rsidRDefault="00276430" w:rsidP="00276430">
      <w:pPr>
        <w:pStyle w:val="Bibliography"/>
      </w:pPr>
      <w:r>
        <w:t xml:space="preserve">Cullon, D. L., Yunker, M. B., Alleyne, C., Dangerfield, N. J., O’Neill, S., Whiticar, M. J., &amp; Ross, P. S. (2009). Persistent organic pollutants in chinook salmon (Oncorhynchus tshawytscha): Implications for resident killer whales of british columbia and adjacent waters. </w:t>
      </w:r>
      <w:r>
        <w:rPr>
          <w:i/>
          <w:iCs/>
        </w:rPr>
        <w:t>Environmental Toxicology and Chemistry</w:t>
      </w:r>
      <w:r>
        <w:t xml:space="preserve">, </w:t>
      </w:r>
      <w:r>
        <w:rPr>
          <w:i/>
          <w:iCs/>
        </w:rPr>
        <w:t>28</w:t>
      </w:r>
      <w:r>
        <w:t>(1), 148–161. https://doi.org/10.1897/08-125.1</w:t>
      </w:r>
    </w:p>
    <w:p w14:paraId="09590EE2" w14:textId="77777777" w:rsidR="00276430" w:rsidRDefault="00276430" w:rsidP="00276430">
      <w:pPr>
        <w:pStyle w:val="Bibliography"/>
      </w:pPr>
      <w:r>
        <w:t xml:space="preserve">Cunningham, C. J., Anderson, C. M., Wang, J. Y.-L., Link, M., &amp; Hilborn, R. (2019). A management strategy evaluation of the commercial sockeye salmon fishery in Bristol Bay, Alaska. </w:t>
      </w:r>
      <w:r>
        <w:rPr>
          <w:i/>
          <w:iCs/>
        </w:rPr>
        <w:t>Canadian Journal of Fisheries and Aquatic Sciences</w:t>
      </w:r>
      <w:r>
        <w:t xml:space="preserve">, </w:t>
      </w:r>
      <w:r>
        <w:rPr>
          <w:i/>
          <w:iCs/>
        </w:rPr>
        <w:t>76</w:t>
      </w:r>
      <w:r>
        <w:t>(9), 1669–1683.</w:t>
      </w:r>
    </w:p>
    <w:p w14:paraId="389CACF9" w14:textId="77777777" w:rsidR="00276430" w:rsidRDefault="00276430" w:rsidP="00276430">
      <w:pPr>
        <w:pStyle w:val="Bibliography"/>
      </w:pPr>
      <w:r>
        <w:t xml:space="preserve">D’Amore, D. V., Bonzey, N. S., Berkowitz, J., Rüegg, J., &amp; Bridgham, S. (2011). Holocene soil-geomorphic surfaces influence the role of salmon-derived nutrients in the coastal temperate rainforest of Southeast Alaska. </w:t>
      </w:r>
      <w:r>
        <w:rPr>
          <w:i/>
          <w:iCs/>
        </w:rPr>
        <w:t>Geomorphology</w:t>
      </w:r>
      <w:r>
        <w:t xml:space="preserve">, </w:t>
      </w:r>
      <w:r>
        <w:rPr>
          <w:i/>
          <w:iCs/>
        </w:rPr>
        <w:t>126</w:t>
      </w:r>
      <w:r>
        <w:t>(3–4), 377–386. https://doi.org/10.1016/j.geomorph.2010.04.014</w:t>
      </w:r>
    </w:p>
    <w:p w14:paraId="6DA4A120" w14:textId="77777777" w:rsidR="00276430" w:rsidRDefault="00276430" w:rsidP="00276430">
      <w:pPr>
        <w:pStyle w:val="Bibliography"/>
      </w:pPr>
      <w:r>
        <w:t xml:space="preserve">D’Amore, D. V., Chaloner, D. T., Gerig, B. S., Berkowitz, J. F., &amp; Bridgham, S. D. (2020). The nutrient legacy left by salmon tissue on riparian soils in Southeast Alaska. </w:t>
      </w:r>
      <w:r>
        <w:rPr>
          <w:i/>
          <w:iCs/>
        </w:rPr>
        <w:t>Soil Science Society of America Journal</w:t>
      </w:r>
      <w:r>
        <w:t xml:space="preserve">, </w:t>
      </w:r>
      <w:r>
        <w:rPr>
          <w:i/>
          <w:iCs/>
        </w:rPr>
        <w:t>84</w:t>
      </w:r>
      <w:r>
        <w:t>(3), 877–887.</w:t>
      </w:r>
    </w:p>
    <w:p w14:paraId="5FC62C34" w14:textId="77777777" w:rsidR="00276430" w:rsidRDefault="00276430" w:rsidP="00276430">
      <w:pPr>
        <w:pStyle w:val="Bibliography"/>
      </w:pPr>
      <w:r>
        <w:t xml:space="preserve">D’Amore, D. V., Hennon, P. E., Schaberg, P. G., &amp; Hawley, G. J. (2009). Adaptation to exploit nitrate in surface soils predisposes yellow-cedar to climate-induced decline while enhancing the survival of western redcedar: A new hypothesis. </w:t>
      </w:r>
      <w:r>
        <w:rPr>
          <w:i/>
          <w:iCs/>
        </w:rPr>
        <w:t>Forest Ecology and Management</w:t>
      </w:r>
      <w:r>
        <w:t xml:space="preserve">, </w:t>
      </w:r>
      <w:r>
        <w:rPr>
          <w:i/>
          <w:iCs/>
        </w:rPr>
        <w:t>258</w:t>
      </w:r>
      <w:r>
        <w:t>(10), 2261–2268. https://doi.org/10.1016/j.foreco.2009.03.006</w:t>
      </w:r>
    </w:p>
    <w:p w14:paraId="509AB02A" w14:textId="77777777" w:rsidR="00276430" w:rsidRDefault="00276430" w:rsidP="00276430">
      <w:pPr>
        <w:pStyle w:val="Bibliography"/>
      </w:pPr>
      <w:r>
        <w:t xml:space="preserve">Darimont, C. T., Paquet, P. C., &amp; Reimchen, T. E. (2008). Spawning salmon disrupt trophic coupling between wolves and ungulate prey in coastal British Columbia. </w:t>
      </w:r>
      <w:r>
        <w:rPr>
          <w:i/>
          <w:iCs/>
        </w:rPr>
        <w:t>BMC Ecology</w:t>
      </w:r>
      <w:r>
        <w:t xml:space="preserve">, </w:t>
      </w:r>
      <w:r>
        <w:rPr>
          <w:i/>
          <w:iCs/>
        </w:rPr>
        <w:t>8</w:t>
      </w:r>
      <w:r>
        <w:t>(1), 14. https://doi.org/10.1186/1472-6785-8-14</w:t>
      </w:r>
    </w:p>
    <w:p w14:paraId="59651CF7" w14:textId="77777777" w:rsidR="00276430" w:rsidRDefault="00276430" w:rsidP="00276430">
      <w:pPr>
        <w:pStyle w:val="Bibliography"/>
      </w:pPr>
      <w:r>
        <w:t xml:space="preserve">Darimont, C. T., Reimchen, T. E., &amp; Paquet, P. C. (2003). Foraging behaviour by gray wolves on salmon streams in coastal British Columbia. </w:t>
      </w:r>
      <w:r>
        <w:rPr>
          <w:i/>
          <w:iCs/>
        </w:rPr>
        <w:t>Canadian Journal of Zoology</w:t>
      </w:r>
      <w:r>
        <w:t xml:space="preserve">, </w:t>
      </w:r>
      <w:r>
        <w:rPr>
          <w:i/>
          <w:iCs/>
        </w:rPr>
        <w:t>81</w:t>
      </w:r>
      <w:r>
        <w:t>(2), 349–353. https://doi.org/10.1139/z02-246</w:t>
      </w:r>
    </w:p>
    <w:p w14:paraId="1715042D" w14:textId="77777777" w:rsidR="00276430" w:rsidRDefault="00276430" w:rsidP="00276430">
      <w:pPr>
        <w:pStyle w:val="Bibliography"/>
      </w:pPr>
      <w:r>
        <w:t xml:space="preserve">Davis, L. G., &amp; Madsen, D. B. (2020). The coastal migration theory: Formulation and testable hypotheses. </w:t>
      </w:r>
      <w:r>
        <w:rPr>
          <w:i/>
          <w:iCs/>
        </w:rPr>
        <w:t>Quaternary Science Reviews</w:t>
      </w:r>
      <w:r>
        <w:t xml:space="preserve">, </w:t>
      </w:r>
      <w:r>
        <w:rPr>
          <w:i/>
          <w:iCs/>
        </w:rPr>
        <w:t>249</w:t>
      </w:r>
      <w:r>
        <w:t>, 106605. https://doi.org/10.1016/j.quascirev.2020.106605</w:t>
      </w:r>
    </w:p>
    <w:p w14:paraId="1C4E0106" w14:textId="77777777" w:rsidR="00276430" w:rsidRDefault="00276430" w:rsidP="00276430">
      <w:pPr>
        <w:pStyle w:val="Bibliography"/>
      </w:pPr>
      <w:r>
        <w:t xml:space="preserve">Delgado-Baquerizo, M. (2019). Obscure soil microbes and where to find them. </w:t>
      </w:r>
      <w:r>
        <w:rPr>
          <w:i/>
          <w:iCs/>
        </w:rPr>
        <w:t>The ISME Journal</w:t>
      </w:r>
      <w:r>
        <w:t xml:space="preserve">, </w:t>
      </w:r>
      <w:r>
        <w:rPr>
          <w:i/>
          <w:iCs/>
        </w:rPr>
        <w:t>13</w:t>
      </w:r>
      <w:r>
        <w:t>(8), 2120–2124. https://doi.org/10.1038/s41396-019-0405-0</w:t>
      </w:r>
    </w:p>
    <w:p w14:paraId="778A1260" w14:textId="77777777" w:rsidR="00276430" w:rsidRDefault="00276430" w:rsidP="00276430">
      <w:pPr>
        <w:pStyle w:val="Bibliography"/>
      </w:pPr>
      <w:r>
        <w:t xml:space="preserve">Delgado-Baquerizo, M., Oliverio, A. M., Brewer, T. E., Benavent-González, A., Eldridge, D. J., Bardgett, R. D., Maestre, F. T., Singh, B. K., &amp; Fierer, N. (2018). A global atlas of the dominant bacteria found in soil. </w:t>
      </w:r>
      <w:r>
        <w:rPr>
          <w:i/>
          <w:iCs/>
        </w:rPr>
        <w:t>Science</w:t>
      </w:r>
      <w:r>
        <w:t xml:space="preserve">, </w:t>
      </w:r>
      <w:r>
        <w:rPr>
          <w:i/>
          <w:iCs/>
        </w:rPr>
        <w:t>359</w:t>
      </w:r>
      <w:r>
        <w:t>(6373), 320–325. https://doi.org/10.1126/science.aap9516</w:t>
      </w:r>
    </w:p>
    <w:p w14:paraId="06EFECDB" w14:textId="77777777" w:rsidR="00276430" w:rsidRDefault="00276430" w:rsidP="00276430">
      <w:pPr>
        <w:pStyle w:val="Bibliography"/>
      </w:pPr>
      <w:r>
        <w:t xml:space="preserve">Delgado‐Baquerizo, M., Reich, P. B., Khachane, A. N., Campbell, C. D., Thomas, N., Freitag, T. E., Al‐Soud, W. A., Sørensen, S., Bardgett, R. D., &amp; Singh, B. K. (2017). It is elemental: Soil nutrient stoichiometry drives bacterial diversity. </w:t>
      </w:r>
      <w:r>
        <w:rPr>
          <w:i/>
          <w:iCs/>
        </w:rPr>
        <w:t>Environmental Microbiology</w:t>
      </w:r>
      <w:r>
        <w:t xml:space="preserve">, </w:t>
      </w:r>
      <w:r>
        <w:rPr>
          <w:i/>
          <w:iCs/>
        </w:rPr>
        <w:t>19</w:t>
      </w:r>
      <w:r>
        <w:t>(3), 1176–1188. https://doi.org/10.1111/1462-2920.13642</w:t>
      </w:r>
    </w:p>
    <w:p w14:paraId="3D5E4A53" w14:textId="77777777" w:rsidR="00276430" w:rsidRDefault="00276430" w:rsidP="00276430">
      <w:pPr>
        <w:pStyle w:val="Bibliography"/>
      </w:pPr>
      <w:r>
        <w:t xml:space="preserve">Dell, C. J., Throssell, C. S., Bischoff, M., &amp; Turco, R. F. (1994). Estimation of Sorption Coefficients for Fungicides in Soil and Turfgrass Thatch. </w:t>
      </w:r>
      <w:r>
        <w:rPr>
          <w:i/>
          <w:iCs/>
        </w:rPr>
        <w:t>Journal of Environmental Quality</w:t>
      </w:r>
      <w:r>
        <w:t xml:space="preserve">, </w:t>
      </w:r>
      <w:r>
        <w:rPr>
          <w:i/>
          <w:iCs/>
        </w:rPr>
        <w:t>23</w:t>
      </w:r>
      <w:r>
        <w:t>(1), 92–96. https://doi.org/10.2134/jeq1994.00472425002300010013x</w:t>
      </w:r>
    </w:p>
    <w:p w14:paraId="655637E7" w14:textId="77777777" w:rsidR="00276430" w:rsidRDefault="00276430" w:rsidP="00276430">
      <w:pPr>
        <w:pStyle w:val="Bibliography"/>
      </w:pPr>
      <w:r>
        <w:t xml:space="preserve">Dhaliwal, S. S., Naresh, R. K., Mandal, A., Singh, R., &amp; Dhaliwal, M. K. (2019). Dynamics and transformations of micronutrients in agricultural soils as influenced by organic matter build-up: A review. </w:t>
      </w:r>
      <w:r>
        <w:rPr>
          <w:i/>
          <w:iCs/>
        </w:rPr>
        <w:t>Environmental and Sustainability Indicators</w:t>
      </w:r>
      <w:r>
        <w:t xml:space="preserve">, </w:t>
      </w:r>
      <w:r>
        <w:rPr>
          <w:i/>
          <w:iCs/>
        </w:rPr>
        <w:t>1–2</w:t>
      </w:r>
      <w:r>
        <w:t>, 100007. https://doi.org/10.1016/j.indic.2019.100007</w:t>
      </w:r>
    </w:p>
    <w:p w14:paraId="37AB8C62" w14:textId="77777777" w:rsidR="00276430" w:rsidRDefault="00276430" w:rsidP="00276430">
      <w:pPr>
        <w:pStyle w:val="Bibliography"/>
      </w:pPr>
      <w:r>
        <w:t xml:space="preserve">Diacono, M., &amp; Montemurro, F. (2011). Long-Term Effects of Organic Amendments on Soil Fertility. In E. Lichtfouse, M. Hamelin, M. Navarrete, &amp; P. Debaeke (Eds.), </w:t>
      </w:r>
      <w:r>
        <w:rPr>
          <w:i/>
          <w:iCs/>
        </w:rPr>
        <w:t>Sustainable Agriculture Volume 2</w:t>
      </w:r>
      <w:r>
        <w:t xml:space="preserve"> (pp. 761–786). Springer Netherlands. https://doi.org/10.1007/978-94-007-0394-0_34</w:t>
      </w:r>
    </w:p>
    <w:p w14:paraId="4B3561EB" w14:textId="77777777" w:rsidR="00276430" w:rsidRDefault="00276430" w:rsidP="00276430">
      <w:pPr>
        <w:pStyle w:val="Bibliography"/>
      </w:pPr>
      <w:r>
        <w:t xml:space="preserve">Diakow, L. J., Mahoney, J. B., Haggart, J. W., Woodsworth, G. J., Gordee, S. M., Snyder, L. D., Poulton, T. P., Friedman, R. M., Villeneuve, M., &amp; Fieldwork, G. (2003). Geology of the eastern Bella Coola map area (93 D), west-central British Columbia. </w:t>
      </w:r>
      <w:r>
        <w:rPr>
          <w:i/>
          <w:iCs/>
        </w:rPr>
        <w:t>BC Ministry of Energy, Mines and Petroleum Resources</w:t>
      </w:r>
      <w:r>
        <w:t>, 2003–1.</w:t>
      </w:r>
    </w:p>
    <w:p w14:paraId="59FA57CD" w14:textId="77777777" w:rsidR="00276430" w:rsidRDefault="00276430" w:rsidP="00276430">
      <w:pPr>
        <w:pStyle w:val="Bibliography"/>
      </w:pPr>
      <w:r>
        <w:t xml:space="preserve">Dick, W. A., &amp; Culman, S. W. (2017). Biological and Biochemical Tests for Assessing Soil Fertility. In </w:t>
      </w:r>
      <w:r>
        <w:rPr>
          <w:i/>
          <w:iCs/>
        </w:rPr>
        <w:t>Soil Fertility Management in Agroecosystems</w:t>
      </w:r>
      <w:r>
        <w:t xml:space="preserve"> (pp. 134–147). John Wiley &amp; Sons, Ltd. https://doi.org/10.2134/soilfertility.2014.0007</w:t>
      </w:r>
    </w:p>
    <w:p w14:paraId="74072EBC" w14:textId="77777777" w:rsidR="00276430" w:rsidRDefault="00276430" w:rsidP="00276430">
      <w:pPr>
        <w:pStyle w:val="Bibliography"/>
      </w:pPr>
      <w:r>
        <w:t xml:space="preserve">Diggon, S., Bones, J., Short, C. J., Smith, J. L., Dickinson, M., Wozniak, K., Topelko, K., &amp; Pawluk, K. A. (2020). The Marine Plan Partnership for the North Pacific Coast – MaPP: A collaborative and co-led marine planning process in British Columbia. </w:t>
      </w:r>
      <w:r>
        <w:rPr>
          <w:i/>
          <w:iCs/>
        </w:rPr>
        <w:t>Marine Policy</w:t>
      </w:r>
      <w:r>
        <w:t>, 104065. https://doi.org/10.1016/j.marpol.2020.104065</w:t>
      </w:r>
    </w:p>
    <w:p w14:paraId="5298C547" w14:textId="77777777" w:rsidR="00276430" w:rsidRDefault="00276430" w:rsidP="00276430">
      <w:pPr>
        <w:pStyle w:val="Bibliography"/>
      </w:pPr>
      <w:r>
        <w:t xml:space="preserve">Dinel, H., Schnitzer, M., &amp; Mehuys, G. R. (1990). Soil Lipids: Origin, Nature, Content, Decomposition, and Effect on Soil Physical Properties. In J.-M. Bollag, </w:t>
      </w:r>
      <w:r>
        <w:rPr>
          <w:i/>
          <w:iCs/>
        </w:rPr>
        <w:t>Soil Biochemistry</w:t>
      </w:r>
      <w:r>
        <w:t xml:space="preserve"> (0 ed., pp. 397–430). Routledge. https://doi.org/10.1201/9780203739389-8</w:t>
      </w:r>
    </w:p>
    <w:p w14:paraId="49D50CAF" w14:textId="77777777" w:rsidR="00276430" w:rsidRDefault="00276430" w:rsidP="00276430">
      <w:pPr>
        <w:pStyle w:val="Bibliography"/>
      </w:pPr>
      <w:r>
        <w:t xml:space="preserve">Djedidi, S., Terasaki, A., Aung, H. P., Kojima, K., Yamaya, H., Ohkama-Ohtsu, N., Bellingrath-Kimura, S. D., Meunchang, P., &amp; Yokoyama, T. (2014). Evaluation of the possibility to use the plant–microbe interaction to stimulate radioactive 137Cs accumulation by plants in a contaminated farm field in Fukushima, Japan. </w:t>
      </w:r>
      <w:r>
        <w:rPr>
          <w:i/>
          <w:iCs/>
        </w:rPr>
        <w:t>Journal of Plant Research</w:t>
      </w:r>
      <w:r>
        <w:t xml:space="preserve">, </w:t>
      </w:r>
      <w:r>
        <w:rPr>
          <w:i/>
          <w:iCs/>
        </w:rPr>
        <w:t>128</w:t>
      </w:r>
      <w:r>
        <w:t>(1), 147–159. https://doi.org/10.1007/s10265-014-0678-3</w:t>
      </w:r>
    </w:p>
    <w:p w14:paraId="0D5471E4" w14:textId="77777777" w:rsidR="00276430" w:rsidRDefault="00276430" w:rsidP="00276430">
      <w:pPr>
        <w:pStyle w:val="Bibliography"/>
      </w:pPr>
      <w:r>
        <w:t xml:space="preserve">Dolloff, C. A. (1993). Predation by river otters (Lutra canadensis) on juvenile coho salmon (Oncorhynchus kisutch) and Dolly Varden (Salvelinus malma) in southeast Alaska. </w:t>
      </w:r>
      <w:r>
        <w:rPr>
          <w:i/>
          <w:iCs/>
        </w:rPr>
        <w:t>Canadian Journal of Fisheries and Aquatic Sciences</w:t>
      </w:r>
      <w:r>
        <w:t xml:space="preserve">, </w:t>
      </w:r>
      <w:r>
        <w:rPr>
          <w:i/>
          <w:iCs/>
        </w:rPr>
        <w:t>50</w:t>
      </w:r>
      <w:r>
        <w:t>(2), 312–315.</w:t>
      </w:r>
    </w:p>
    <w:p w14:paraId="7BA1E2E9" w14:textId="77777777" w:rsidR="00276430" w:rsidRDefault="00276430" w:rsidP="00276430">
      <w:pPr>
        <w:pStyle w:val="Bibliography"/>
      </w:pPr>
      <w:r>
        <w:t xml:space="preserve">Donkersloot, R., Black, J., Carothers, C., Ringer, D., Justin, W., Clay, P., Poe, M., Gavenus, E., Voinot-Baron, W., &amp; Stevens, C. (2020). Assessing the sustainability and equity of Alaska salmon fisheries through a well-being framework. </w:t>
      </w:r>
      <w:r>
        <w:rPr>
          <w:i/>
          <w:iCs/>
        </w:rPr>
        <w:t>Ecology and Society</w:t>
      </w:r>
      <w:r>
        <w:t xml:space="preserve">, </w:t>
      </w:r>
      <w:r>
        <w:rPr>
          <w:i/>
          <w:iCs/>
        </w:rPr>
        <w:t>25</w:t>
      </w:r>
      <w:r>
        <w:t>(2).</w:t>
      </w:r>
    </w:p>
    <w:p w14:paraId="0C8AEF7F" w14:textId="77777777" w:rsidR="00276430" w:rsidRDefault="00276430" w:rsidP="00276430">
      <w:pPr>
        <w:pStyle w:val="Bibliography"/>
      </w:pPr>
      <w:r>
        <w:t xml:space="preserve">Drake, D. C., Naiman, R. J., &amp; Bechtold, J. S. (2006). Fate of nitrogen in riparian forest soils and trees: An 15n tracer study simulating salmon decay. </w:t>
      </w:r>
      <w:r>
        <w:rPr>
          <w:i/>
          <w:iCs/>
        </w:rPr>
        <w:t>Ecology</w:t>
      </w:r>
      <w:r>
        <w:t xml:space="preserve">, </w:t>
      </w:r>
      <w:r>
        <w:rPr>
          <w:i/>
          <w:iCs/>
        </w:rPr>
        <w:t>87</w:t>
      </w:r>
      <w:r>
        <w:t>(5), 1256–1266. https://doi.org/10.1890/0012-9658(2006)87[1256:FONIRF]2.0.CO;2</w:t>
      </w:r>
    </w:p>
    <w:p w14:paraId="49128F83" w14:textId="77777777" w:rsidR="00276430" w:rsidRDefault="00276430" w:rsidP="00276430">
      <w:pPr>
        <w:pStyle w:val="Bibliography"/>
      </w:pPr>
      <w:r>
        <w:t xml:space="preserve">Drake, D. C., Naiman, R. J., &amp; Helfield, J. M. (2002). Reconstructing salmon abundance in rivers: An initial dendrochronological evaluation. </w:t>
      </w:r>
      <w:r>
        <w:rPr>
          <w:i/>
          <w:iCs/>
        </w:rPr>
        <w:t>Ecology</w:t>
      </w:r>
      <w:r>
        <w:t xml:space="preserve">, </w:t>
      </w:r>
      <w:r>
        <w:rPr>
          <w:i/>
          <w:iCs/>
        </w:rPr>
        <w:t>83</w:t>
      </w:r>
      <w:r>
        <w:t>(11), 2971–2977. https://doi.org/10.1890/0012-9658(2002)083[2971:RSAIRA]2.0.CO;2</w:t>
      </w:r>
    </w:p>
    <w:p w14:paraId="68186D27" w14:textId="77777777" w:rsidR="00276430" w:rsidRDefault="00276430" w:rsidP="00276430">
      <w:pPr>
        <w:pStyle w:val="Bibliography"/>
      </w:pPr>
      <w:r>
        <w:t xml:space="preserve">Drake, D. C., Sheppard, P. J., &amp; Naiman, R. J. (2011). Relationships between salmon abundance and tree-ring δ15N: Three objective tests. </w:t>
      </w:r>
      <w:r>
        <w:rPr>
          <w:i/>
          <w:iCs/>
        </w:rPr>
        <w:t>Canadian Journal of Forest Research</w:t>
      </w:r>
      <w:r>
        <w:t xml:space="preserve">, </w:t>
      </w:r>
      <w:r>
        <w:rPr>
          <w:i/>
          <w:iCs/>
        </w:rPr>
        <w:t>41</w:t>
      </w:r>
      <w:r>
        <w:t>(12), 2423–2432. https://doi.org/10.1139/x11-172</w:t>
      </w:r>
    </w:p>
    <w:p w14:paraId="0C2065D6" w14:textId="77777777" w:rsidR="00276430" w:rsidRDefault="00276430" w:rsidP="00276430">
      <w:pPr>
        <w:pStyle w:val="Bibliography"/>
      </w:pPr>
      <w:r>
        <w:t xml:space="preserve">Drake, D. C., Smith, J. V., &amp; Naiman, R. J. (2005). Salmon decay and nutrient contributions to riparian forest soils. </w:t>
      </w:r>
      <w:r>
        <w:rPr>
          <w:i/>
          <w:iCs/>
        </w:rPr>
        <w:t>Northwest Science</w:t>
      </w:r>
      <w:r>
        <w:t xml:space="preserve">, </w:t>
      </w:r>
      <w:r>
        <w:rPr>
          <w:i/>
          <w:iCs/>
        </w:rPr>
        <w:t>79</w:t>
      </w:r>
      <w:r>
        <w:t>(1), 61–71.</w:t>
      </w:r>
    </w:p>
    <w:p w14:paraId="51EF6F19" w14:textId="77777777" w:rsidR="00276430" w:rsidRDefault="00276430" w:rsidP="00276430">
      <w:pPr>
        <w:pStyle w:val="Bibliography"/>
      </w:pPr>
      <w:r>
        <w:t xml:space="preserve">Drake, Deanne. C. (2005). </w:t>
      </w:r>
      <w:r>
        <w:rPr>
          <w:i/>
          <w:iCs/>
        </w:rPr>
        <w:t>The fate and influence of salmon nutrients in riparian soils and trees: Seasonal to multi-century patterns</w:t>
      </w:r>
      <w:r>
        <w:t xml:space="preserve"> [University of Washington]. http://weber.s.uw.edu/research/publications/ms_phd/Drake_D_PhD_W05.pdf</w:t>
      </w:r>
    </w:p>
    <w:p w14:paraId="6986004D" w14:textId="77777777" w:rsidR="00276430" w:rsidRDefault="00276430" w:rsidP="00276430">
      <w:pPr>
        <w:pStyle w:val="Bibliography"/>
      </w:pPr>
      <w:r>
        <w:t xml:space="preserve">Du, Y., Guo, P., Liu, J., Wang, C., Yang, N., &amp; Jiao, Z. (2014). Different types of nitrogen deposition show variable effects on the soil carbon cycle process of temperate forests. </w:t>
      </w:r>
      <w:r>
        <w:rPr>
          <w:i/>
          <w:iCs/>
        </w:rPr>
        <w:t>Global Change Biology</w:t>
      </w:r>
      <w:r>
        <w:t xml:space="preserve">, </w:t>
      </w:r>
      <w:r>
        <w:rPr>
          <w:i/>
          <w:iCs/>
        </w:rPr>
        <w:t>20</w:t>
      </w:r>
      <w:r>
        <w:t>(10), 3222–3228. https://doi.org/10.1111/gcb.12555</w:t>
      </w:r>
    </w:p>
    <w:p w14:paraId="54C66B3B" w14:textId="77777777" w:rsidR="00276430" w:rsidRDefault="00276430" w:rsidP="00276430">
      <w:pPr>
        <w:pStyle w:val="Bibliography"/>
      </w:pPr>
      <w:r>
        <w:t xml:space="preserve">Duffield, S. E. S. (2017). </w:t>
      </w:r>
      <w:r>
        <w:rPr>
          <w:i/>
          <w:iCs/>
        </w:rPr>
        <w:t>Long-term use of fish and shellfish resources revealed through vibracore sampling at EjTa-13, Hecate Island, Central Coast, BC</w:t>
      </w:r>
      <w:r>
        <w:t xml:space="preserve"> [Thesis]. https://dspace.library.uvic.ca//handle/1828/8936</w:t>
      </w:r>
    </w:p>
    <w:p w14:paraId="5B0C876E" w14:textId="77777777" w:rsidR="00276430" w:rsidRDefault="00276430" w:rsidP="00276430">
      <w:pPr>
        <w:pStyle w:val="Bibliography"/>
      </w:pPr>
      <w:r>
        <w:t xml:space="preserve">Eamer, J. B. (2017). </w:t>
      </w:r>
      <w:r>
        <w:rPr>
          <w:i/>
          <w:iCs/>
        </w:rPr>
        <w:t>Reconstruction of the Late Pleistocene and Holocene geomorphology of northwest Calvert Island, British Columbia</w:t>
      </w:r>
      <w:r>
        <w:t xml:space="preserve"> [Thesis]. https://doi.org/Eamer JBR, Shugar DH, Walker IJ, Lian OB, Neudorf C. 2017. Distinguishing depositional setting for sandy deposits in coastal landscapes using grain shape. Journal of Sedimentary Research, 87(1): 1-11. http://dx.doi.org/10.2110/jsr.2016.92</w:t>
      </w:r>
    </w:p>
    <w:p w14:paraId="0AB46E5E" w14:textId="77777777" w:rsidR="00276430" w:rsidRDefault="00276430" w:rsidP="00276430">
      <w:pPr>
        <w:pStyle w:val="Bibliography"/>
      </w:pPr>
      <w:r>
        <w:t xml:space="preserve">Eamer, J. B., Shugar, D. H., Walker, I. J., Lian, O. B., Neudorf, C. M., &amp; Telka, A. M. (2017). A glacial readvance during retreat of the Cordilleran Ice Sheet, British Columbia central coast. </w:t>
      </w:r>
      <w:r>
        <w:rPr>
          <w:i/>
          <w:iCs/>
        </w:rPr>
        <w:t>Quaternary Research</w:t>
      </w:r>
      <w:r>
        <w:t xml:space="preserve">, </w:t>
      </w:r>
      <w:r>
        <w:rPr>
          <w:i/>
          <w:iCs/>
        </w:rPr>
        <w:t>87</w:t>
      </w:r>
      <w:r>
        <w:t>(3), 468–481.</w:t>
      </w:r>
    </w:p>
    <w:p w14:paraId="46FAB2BD" w14:textId="77777777" w:rsidR="00276430" w:rsidRDefault="00276430" w:rsidP="00276430">
      <w:pPr>
        <w:pStyle w:val="Bibliography"/>
      </w:pPr>
      <w:r>
        <w:t xml:space="preserve">Edmonds, R. L., Binkley, D., Feller, M. C., Sollins, P., Abee, A., &amp; Myrold, D. D. (1989). Nutrient cycling: Effects on productivity of northwest forests. </w:t>
      </w:r>
      <w:r>
        <w:rPr>
          <w:i/>
          <w:iCs/>
        </w:rPr>
        <w:t>Maintaining the Long-Term Productivity of Pacific Northwest Forest Ecosystems. Edited by D. Perry, R. Meurisse, B. Thomas, R. Miller, J. Boyle, C. Perry, and R. Powers. Timber Press, Portland, Ore</w:t>
      </w:r>
      <w:r>
        <w:t>, 17–35.</w:t>
      </w:r>
    </w:p>
    <w:p w14:paraId="1AA7C50B" w14:textId="77777777" w:rsidR="00276430" w:rsidRDefault="00276430" w:rsidP="00276430">
      <w:pPr>
        <w:pStyle w:val="Bibliography"/>
      </w:pPr>
      <w:r>
        <w:t xml:space="preserve">Evans, R. D. (2001). Physiological mechanisms influencing plant nitrogen isotope composition. </w:t>
      </w:r>
      <w:r>
        <w:rPr>
          <w:i/>
          <w:iCs/>
        </w:rPr>
        <w:t>Trends in Plant Science</w:t>
      </w:r>
      <w:r>
        <w:t xml:space="preserve">, </w:t>
      </w:r>
      <w:r>
        <w:rPr>
          <w:i/>
          <w:iCs/>
        </w:rPr>
        <w:t>6</w:t>
      </w:r>
      <w:r>
        <w:t>(3), 121–126. https://doi.org/10.1016/S1360-1385(01)01889-1</w:t>
      </w:r>
    </w:p>
    <w:p w14:paraId="313EFC4E" w14:textId="77777777" w:rsidR="00276430" w:rsidRDefault="00276430" w:rsidP="00276430">
      <w:pPr>
        <w:pStyle w:val="Bibliography"/>
      </w:pPr>
      <w:r>
        <w:t xml:space="preserve">Evershed, R. P. (1993). Biomolecular archaeology and lipids. </w:t>
      </w:r>
      <w:r>
        <w:rPr>
          <w:i/>
          <w:iCs/>
        </w:rPr>
        <w:t>World Archaeology</w:t>
      </w:r>
      <w:r>
        <w:t xml:space="preserve">, </w:t>
      </w:r>
      <w:r>
        <w:rPr>
          <w:i/>
          <w:iCs/>
        </w:rPr>
        <w:t>25</w:t>
      </w:r>
      <w:r>
        <w:t>(1), 74–93.</w:t>
      </w:r>
    </w:p>
    <w:p w14:paraId="586216D9" w14:textId="77777777" w:rsidR="00276430" w:rsidRDefault="00276430" w:rsidP="00276430">
      <w:pPr>
        <w:pStyle w:val="Bibliography"/>
      </w:pPr>
      <w:r>
        <w:t xml:space="preserve">Evershed, R. P., Dudd, S. N., Copley, M. S., Berstan, R., Stott, A. W., Mottram, H., Buckley, S. A., &amp; Crossman, Z. (2002). Chemistry of Archaeological Animal Fats. </w:t>
      </w:r>
      <w:r>
        <w:rPr>
          <w:i/>
          <w:iCs/>
        </w:rPr>
        <w:t>Accounts of Chemical Research</w:t>
      </w:r>
      <w:r>
        <w:t xml:space="preserve">, </w:t>
      </w:r>
      <w:r>
        <w:rPr>
          <w:i/>
          <w:iCs/>
        </w:rPr>
        <w:t>35</w:t>
      </w:r>
      <w:r>
        <w:t>(8), 660–668. https://doi.org/10.1021/ar000200f</w:t>
      </w:r>
    </w:p>
    <w:p w14:paraId="46136CDB" w14:textId="77777777" w:rsidR="00276430" w:rsidRDefault="00276430" w:rsidP="00276430">
      <w:pPr>
        <w:pStyle w:val="Bibliography"/>
      </w:pPr>
      <w:r>
        <w:t xml:space="preserve">Ewald, G., Larsson, P., Linge, H., Okla, L., &amp; Szarzi, N. (1998). Biotransport of Organic Pollutants to an Inland Alaska Lake by Migrating Sockeye Salmon ( Oncorhynchus nerka ). </w:t>
      </w:r>
      <w:r>
        <w:rPr>
          <w:i/>
          <w:iCs/>
        </w:rPr>
        <w:t>ARCTIC</w:t>
      </w:r>
      <w:r>
        <w:t xml:space="preserve">, </w:t>
      </w:r>
      <w:r>
        <w:rPr>
          <w:i/>
          <w:iCs/>
        </w:rPr>
        <w:t>51</w:t>
      </w:r>
      <w:r>
        <w:t>(1), 40–47. https://doi.org/10.14430/arctic1043</w:t>
      </w:r>
    </w:p>
    <w:p w14:paraId="7243E838" w14:textId="77777777" w:rsidR="00276430" w:rsidRDefault="00276430" w:rsidP="00276430">
      <w:pPr>
        <w:pStyle w:val="Bibliography"/>
      </w:pPr>
      <w:r>
        <w:t xml:space="preserve">Feddern, M. L., Holtgrieve, G. W., Perakis, S. S., Hart, J., Ro, H., &amp; Quinn, T. P. (2019). Riparian soil nitrogen cycling and isotopic enrichment in response to a long-term salmon carcass manipulation experiment. </w:t>
      </w:r>
      <w:r>
        <w:rPr>
          <w:i/>
          <w:iCs/>
        </w:rPr>
        <w:t>Ecosphere</w:t>
      </w:r>
      <w:r>
        <w:t xml:space="preserve">, </w:t>
      </w:r>
      <w:r>
        <w:rPr>
          <w:i/>
          <w:iCs/>
        </w:rPr>
        <w:t>10</w:t>
      </w:r>
      <w:r>
        <w:t>(11), e02958. https://doi.org/10.1002/ecs2.2958</w:t>
      </w:r>
    </w:p>
    <w:p w14:paraId="3230A44E" w14:textId="77777777" w:rsidR="00276430" w:rsidRDefault="00276430" w:rsidP="00276430">
      <w:pPr>
        <w:pStyle w:val="Bibliography"/>
      </w:pPr>
      <w:r>
        <w:t xml:space="preserve">Fenn, M. E., Huntington, T. G., McLaughlin, S. B., Eagar, C., Gomez, A., &amp; Cook, R. B. ; (2006). Status of soil acidification in North America. </w:t>
      </w:r>
      <w:r>
        <w:rPr>
          <w:i/>
          <w:iCs/>
        </w:rPr>
        <w:t>Journal of Forest Science</w:t>
      </w:r>
      <w:r>
        <w:t xml:space="preserve">, </w:t>
      </w:r>
      <w:r>
        <w:rPr>
          <w:i/>
          <w:iCs/>
        </w:rPr>
        <w:t>52</w:t>
      </w:r>
      <w:r>
        <w:t>, 3–13.</w:t>
      </w:r>
    </w:p>
    <w:p w14:paraId="0F1C16D6" w14:textId="77777777" w:rsidR="00276430" w:rsidRDefault="00276430" w:rsidP="00276430">
      <w:pPr>
        <w:pStyle w:val="Bibliography"/>
      </w:pPr>
      <w:r>
        <w:t xml:space="preserve">Field, R. D., &amp; Reynolds, J. D. (2011). Sea to sky: Impacts of residual salmon-derived nutrients on estuarine breeding bird communities. </w:t>
      </w:r>
      <w:r>
        <w:rPr>
          <w:i/>
          <w:iCs/>
        </w:rPr>
        <w:t>Proceedings of the Royal Society of London B: Biological Sciences</w:t>
      </w:r>
      <w:r>
        <w:t xml:space="preserve">, </w:t>
      </w:r>
      <w:r>
        <w:rPr>
          <w:i/>
          <w:iCs/>
        </w:rPr>
        <w:t>278</w:t>
      </w:r>
      <w:r>
        <w:t>(1721), 3081–3088. https://doi.org/10.1098/rspb.2010.2731</w:t>
      </w:r>
    </w:p>
    <w:p w14:paraId="43A4C2B2" w14:textId="77777777" w:rsidR="00276430" w:rsidRDefault="00276430" w:rsidP="00276430">
      <w:pPr>
        <w:pStyle w:val="Bibliography"/>
      </w:pPr>
      <w:r>
        <w:t xml:space="preserve">Fierer, N. (2017). Embracing the unknown: Disentangling the complexities of the soil microbiome. </w:t>
      </w:r>
      <w:r>
        <w:rPr>
          <w:i/>
          <w:iCs/>
        </w:rPr>
        <w:t>Nature Reviews Microbiology</w:t>
      </w:r>
      <w:r>
        <w:t xml:space="preserve">, </w:t>
      </w:r>
      <w:r>
        <w:rPr>
          <w:i/>
          <w:iCs/>
        </w:rPr>
        <w:t>15</w:t>
      </w:r>
      <w:r>
        <w:t>(10), 579–590. https://doi.org/10.1038/nrmicro.2017.87</w:t>
      </w:r>
    </w:p>
    <w:p w14:paraId="22CDEDEC" w14:textId="77777777" w:rsidR="00276430" w:rsidRDefault="00276430" w:rsidP="00276430">
      <w:pPr>
        <w:pStyle w:val="Bibliography"/>
      </w:pPr>
      <w:r>
        <w:t xml:space="preserve">Finlay, R. D. (2008). Ecological aspects of mycorrhizal symbiosis: With special emphasis on the functional diversity of interactions involving the extraradical mycelium. </w:t>
      </w:r>
      <w:r>
        <w:rPr>
          <w:i/>
          <w:iCs/>
        </w:rPr>
        <w:t>Journal of Experimental Botany</w:t>
      </w:r>
      <w:r>
        <w:t xml:space="preserve">, </w:t>
      </w:r>
      <w:r>
        <w:rPr>
          <w:i/>
          <w:iCs/>
        </w:rPr>
        <w:t>59</w:t>
      </w:r>
      <w:r>
        <w:t>(5), 1115–1126. https://doi.org/10.1093/jxb/ern059</w:t>
      </w:r>
    </w:p>
    <w:p w14:paraId="512D469B" w14:textId="77777777" w:rsidR="00276430" w:rsidRDefault="00276430" w:rsidP="00276430">
      <w:pPr>
        <w:pStyle w:val="Bibliography"/>
      </w:pPr>
      <w:r>
        <w:t xml:space="preserve">Finlay, R. D., &amp; Read, D. J. (1986). The Structure and Function of the Vegetative Mycelium of Ectomycorrhizal Plants. </w:t>
      </w:r>
      <w:r>
        <w:rPr>
          <w:i/>
          <w:iCs/>
        </w:rPr>
        <w:t>New Phytologist</w:t>
      </w:r>
      <w:r>
        <w:t xml:space="preserve">, </w:t>
      </w:r>
      <w:r>
        <w:rPr>
          <w:i/>
          <w:iCs/>
        </w:rPr>
        <w:t>103</w:t>
      </w:r>
      <w:r>
        <w:t>(1), 143–156. https://doi.org/10.1111/j.1469-8137.1986.tb00603.x</w:t>
      </w:r>
    </w:p>
    <w:p w14:paraId="50FA9A46" w14:textId="77777777" w:rsidR="00276430" w:rsidRDefault="00276430" w:rsidP="00276430">
      <w:pPr>
        <w:pStyle w:val="Bibliography"/>
      </w:pPr>
      <w:r>
        <w:t xml:space="preserve">Fisher, J. B., Badgley, G., &amp; Blyth, E. (2012). Global nutrient limitation in terrestrial vegetation. </w:t>
      </w:r>
      <w:r>
        <w:rPr>
          <w:i/>
          <w:iCs/>
        </w:rPr>
        <w:t>Global Biogeochemical Cycles</w:t>
      </w:r>
      <w:r>
        <w:t xml:space="preserve">, </w:t>
      </w:r>
      <w:r>
        <w:rPr>
          <w:i/>
          <w:iCs/>
        </w:rPr>
        <w:t>26</w:t>
      </w:r>
      <w:r>
        <w:t>(3). https://doi.org/10.1029/2011GB004252</w:t>
      </w:r>
    </w:p>
    <w:p w14:paraId="38FD53D6" w14:textId="77777777" w:rsidR="00276430" w:rsidRDefault="00276430" w:rsidP="00276430">
      <w:pPr>
        <w:pStyle w:val="Bibliography"/>
      </w:pPr>
      <w:r>
        <w:t xml:space="preserve">Fisheries and Oceans Canada. (2005). </w:t>
      </w:r>
      <w:r>
        <w:rPr>
          <w:i/>
          <w:iCs/>
        </w:rPr>
        <w:t>Canada’s Policy for the Conservation of Wild Pacific Salmon</w:t>
      </w:r>
      <w:r>
        <w:t>. Fisheries and Oceans Canada.</w:t>
      </w:r>
    </w:p>
    <w:p w14:paraId="6985FB80" w14:textId="77777777" w:rsidR="00276430" w:rsidRDefault="00276430" w:rsidP="00276430">
      <w:pPr>
        <w:pStyle w:val="Bibliography"/>
      </w:pPr>
      <w:r>
        <w:t xml:space="preserve">Ford, J. S., &amp; Myers, R. A. (2008). A Global Assessment of Salmon Aquaculture Impacts on Wild Salmonids. </w:t>
      </w:r>
      <w:r>
        <w:rPr>
          <w:i/>
          <w:iCs/>
        </w:rPr>
        <w:t>PLOS Biology</w:t>
      </w:r>
      <w:r>
        <w:t xml:space="preserve">, </w:t>
      </w:r>
      <w:r>
        <w:rPr>
          <w:i/>
          <w:iCs/>
        </w:rPr>
        <w:t>6</w:t>
      </w:r>
      <w:r>
        <w:t>(2), e33. https://doi.org/10.1371/journal.pbio.0060033</w:t>
      </w:r>
    </w:p>
    <w:p w14:paraId="540E57A2" w14:textId="77777777" w:rsidR="00276430" w:rsidRDefault="00276430" w:rsidP="00276430">
      <w:pPr>
        <w:pStyle w:val="Bibliography"/>
      </w:pPr>
      <w:r>
        <w:t xml:space="preserve">Foster, M. S., Bills, G. F., &amp; Mueller, G. M. (Eds.). (2004). </w:t>
      </w:r>
      <w:r>
        <w:rPr>
          <w:i/>
          <w:iCs/>
        </w:rPr>
        <w:t>Biodiversity of Fungi: Inventory and Monitoring Methods</w:t>
      </w:r>
      <w:r>
        <w:t xml:space="preserve"> (1st edition). Academic Press.</w:t>
      </w:r>
    </w:p>
    <w:p w14:paraId="4544BE8A" w14:textId="77777777" w:rsidR="00276430" w:rsidRDefault="00276430" w:rsidP="00276430">
      <w:pPr>
        <w:pStyle w:val="Bibliography"/>
      </w:pPr>
      <w:r>
        <w:t xml:space="preserve">Foster, Z. S., Chamberlain, S., &amp; Grünwald, N. J. (2018). Taxa: An R package implementing data standards and methods for taxonomic data. </w:t>
      </w:r>
      <w:r>
        <w:rPr>
          <w:i/>
          <w:iCs/>
        </w:rPr>
        <w:t>F1000Research</w:t>
      </w:r>
      <w:r>
        <w:t xml:space="preserve">, </w:t>
      </w:r>
      <w:r>
        <w:rPr>
          <w:i/>
          <w:iCs/>
        </w:rPr>
        <w:t>7</w:t>
      </w:r>
      <w:r>
        <w:t>.</w:t>
      </w:r>
    </w:p>
    <w:p w14:paraId="794E820E" w14:textId="77777777" w:rsidR="00276430" w:rsidRDefault="00276430" w:rsidP="00276430">
      <w:pPr>
        <w:pStyle w:val="Bibliography"/>
      </w:pPr>
      <w:r>
        <w:t xml:space="preserve">Foster, Z. S., Sharpton, T. J., &amp; Grünwald, N. J. (2017). Metacoder: An R package for visualization and manipulation of community taxonomic diversity data. </w:t>
      </w:r>
      <w:r>
        <w:rPr>
          <w:i/>
          <w:iCs/>
        </w:rPr>
        <w:t>PLoS Computational Biology</w:t>
      </w:r>
      <w:r>
        <w:t xml:space="preserve">, </w:t>
      </w:r>
      <w:r>
        <w:rPr>
          <w:i/>
          <w:iCs/>
        </w:rPr>
        <w:t>13</w:t>
      </w:r>
      <w:r>
        <w:t>(2), e1005404.</w:t>
      </w:r>
    </w:p>
    <w:p w14:paraId="53E04FB1" w14:textId="77777777" w:rsidR="00276430" w:rsidRDefault="00276430" w:rsidP="00276430">
      <w:pPr>
        <w:pStyle w:val="Bibliography"/>
      </w:pPr>
      <w:r>
        <w:t xml:space="preserve">Foundation, S. C. of B., Street, 301-2994 Douglas, &amp; Victoria. (n.d.). </w:t>
      </w:r>
      <w:r>
        <w:rPr>
          <w:i/>
          <w:iCs/>
        </w:rPr>
        <w:t>First Nations Communities</w:t>
      </w:r>
      <w:r>
        <w:t>. Sierra Club BC. Retrieved June 25, 2015, from http://www.sierraclub.bc.ca/our-work/gbr/first-nations-communities</w:t>
      </w:r>
    </w:p>
    <w:p w14:paraId="5F5E15D6" w14:textId="77777777" w:rsidR="00276430" w:rsidRDefault="00276430" w:rsidP="00276430">
      <w:pPr>
        <w:pStyle w:val="Bibliography"/>
      </w:pPr>
      <w:r>
        <w:t xml:space="preserve">Fox, C. A., Preston, C. M., &amp; Fyfe, C. A. (1994). Micromorphological and 13C NMR characterization of a humic, lignic, and histic folisol from British Columbia. </w:t>
      </w:r>
      <w:r>
        <w:rPr>
          <w:i/>
          <w:iCs/>
        </w:rPr>
        <w:t>Canadian Journal of Soil Science</w:t>
      </w:r>
      <w:r>
        <w:t xml:space="preserve">, </w:t>
      </w:r>
      <w:r>
        <w:rPr>
          <w:i/>
          <w:iCs/>
        </w:rPr>
        <w:t>74</w:t>
      </w:r>
      <w:r>
        <w:t>(1), 1–15.</w:t>
      </w:r>
    </w:p>
    <w:p w14:paraId="37789918" w14:textId="77777777" w:rsidR="00276430" w:rsidRDefault="00276430" w:rsidP="00276430">
      <w:pPr>
        <w:pStyle w:val="Bibliography"/>
      </w:pPr>
      <w:r>
        <w:t xml:space="preserve">Fox, C. A., &amp; Tarnocai, C. (2011). Organic soils of Canada: Part 2. Upland Organic soils. </w:t>
      </w:r>
      <w:r>
        <w:rPr>
          <w:i/>
          <w:iCs/>
        </w:rPr>
        <w:t>Canadian Journal of Soil Science</w:t>
      </w:r>
      <w:r>
        <w:t xml:space="preserve">, </w:t>
      </w:r>
      <w:r>
        <w:rPr>
          <w:i/>
          <w:iCs/>
        </w:rPr>
        <w:t>91</w:t>
      </w:r>
      <w:r>
        <w:t>(5), 823–842. https://doi.org/10.4141/cjss10032</w:t>
      </w:r>
    </w:p>
    <w:p w14:paraId="28960C35" w14:textId="77777777" w:rsidR="00276430" w:rsidRDefault="00276430" w:rsidP="00276430">
      <w:pPr>
        <w:pStyle w:val="Bibliography"/>
      </w:pPr>
      <w:r>
        <w:t xml:space="preserve">Fox, C. A., TARNOCAI, C., &amp; TROWBRIDGE, R. (1987). Classification, macromorphology and chemical characteristics of Folisols from British Columbia. </w:t>
      </w:r>
      <w:r>
        <w:rPr>
          <w:i/>
          <w:iCs/>
        </w:rPr>
        <w:t>Canadian Journal of Soil Science</w:t>
      </w:r>
      <w:r>
        <w:t xml:space="preserve">, </w:t>
      </w:r>
      <w:r>
        <w:rPr>
          <w:i/>
          <w:iCs/>
        </w:rPr>
        <w:t>67</w:t>
      </w:r>
      <w:r>
        <w:t>(4), 765–778.</w:t>
      </w:r>
    </w:p>
    <w:p w14:paraId="1F5F029B" w14:textId="77777777" w:rsidR="00276430" w:rsidRDefault="00276430" w:rsidP="00276430">
      <w:pPr>
        <w:pStyle w:val="Bibliography"/>
      </w:pPr>
      <w:r>
        <w:t xml:space="preserve">Fox, J., &amp; Weisberg, S. (2019). </w:t>
      </w:r>
      <w:r>
        <w:rPr>
          <w:i/>
          <w:iCs/>
        </w:rPr>
        <w:t>An R Companion to Applied Regression</w:t>
      </w:r>
      <w:r>
        <w:t xml:space="preserve"> (Third). Sage. https://socialsciences.mcmaster.ca/jfox/Books/Companion/</w:t>
      </w:r>
    </w:p>
    <w:p w14:paraId="1AF3B460" w14:textId="77777777" w:rsidR="00276430" w:rsidRDefault="00276430" w:rsidP="00276430">
      <w:pPr>
        <w:pStyle w:val="Bibliography"/>
      </w:pPr>
      <w:r>
        <w:t xml:space="preserve">Francis, R., &amp; Read, D. J. (1984). Direct transfer of carbon between plants connected by vesicular–arbuscular mycorrhizal mycelium. </w:t>
      </w:r>
      <w:r>
        <w:rPr>
          <w:i/>
          <w:iCs/>
        </w:rPr>
        <w:t>Nature</w:t>
      </w:r>
      <w:r>
        <w:t xml:space="preserve">, </w:t>
      </w:r>
      <w:r>
        <w:rPr>
          <w:i/>
          <w:iCs/>
        </w:rPr>
        <w:t>307</w:t>
      </w:r>
      <w:r>
        <w:t>(5946), 53–56. https://doi.org/10.1038/307053a0</w:t>
      </w:r>
    </w:p>
    <w:p w14:paraId="125B85F8" w14:textId="77777777" w:rsidR="00276430" w:rsidRDefault="00276430" w:rsidP="00276430">
      <w:pPr>
        <w:pStyle w:val="Bibliography"/>
      </w:pPr>
      <w:r>
        <w:t xml:space="preserve">Francis, T. B., Schindler, D. E., &amp; Moore, J. W. (2006). Aquatic insects play a minor role in dispersing salmon-derived nutrients into riparian forests in southwestern Alaska. </w:t>
      </w:r>
      <w:r>
        <w:rPr>
          <w:i/>
          <w:iCs/>
        </w:rPr>
        <w:t>Canadian Journal of Fisheries and Aquatic Sciences</w:t>
      </w:r>
      <w:r>
        <w:t xml:space="preserve">, </w:t>
      </w:r>
      <w:r>
        <w:rPr>
          <w:i/>
          <w:iCs/>
        </w:rPr>
        <w:t>63</w:t>
      </w:r>
      <w:r>
        <w:t>(11), 2543–2552. https://doi.org/10.1139/f06-144</w:t>
      </w:r>
    </w:p>
    <w:p w14:paraId="5C2F2C52" w14:textId="77777777" w:rsidR="00276430" w:rsidRDefault="00276430" w:rsidP="00276430">
      <w:pPr>
        <w:pStyle w:val="Bibliography"/>
      </w:pPr>
      <w:r>
        <w:t xml:space="preserve">Frey, S. D. (2019). Mycorrhizal Fungi as Mediators of Soil Organic Matter Dynamics. </w:t>
      </w:r>
      <w:r>
        <w:rPr>
          <w:i/>
          <w:iCs/>
        </w:rPr>
        <w:t>Annual Review of Ecology, Evolution, and Systematics</w:t>
      </w:r>
      <w:r>
        <w:t xml:space="preserve">, </w:t>
      </w:r>
      <w:r>
        <w:rPr>
          <w:i/>
          <w:iCs/>
        </w:rPr>
        <w:t>50</w:t>
      </w:r>
      <w:r>
        <w:t>(1), 237–259. https://doi.org/10.1146/annurev-ecolsys-110617-062331</w:t>
      </w:r>
    </w:p>
    <w:p w14:paraId="18C42C98" w14:textId="77777777" w:rsidR="00276430" w:rsidRDefault="00276430" w:rsidP="00276430">
      <w:pPr>
        <w:pStyle w:val="Bibliography"/>
      </w:pPr>
      <w:r>
        <w:t xml:space="preserve">Fry, B. (2007). </w:t>
      </w:r>
      <w:r>
        <w:rPr>
          <w:i/>
          <w:iCs/>
        </w:rPr>
        <w:t>Stable Isotope Ecology</w:t>
      </w:r>
      <w:r>
        <w:t xml:space="preserve"> (1st ed. 2006. 3rd. Corr. printing 2007 edition). Springer.</w:t>
      </w:r>
    </w:p>
    <w:p w14:paraId="38EF7ECA" w14:textId="77777777" w:rsidR="00276430" w:rsidRDefault="00276430" w:rsidP="00276430">
      <w:pPr>
        <w:pStyle w:val="Bibliography"/>
      </w:pPr>
      <w:r>
        <w:t xml:space="preserve">Galipaud, M., Gillingham, M. A. F., David, M., &amp; Dechaume‐Moncharmont, F.-X. (2014). Ecologists overestimate the importance of predictor variables in model averaging: A plea for cautious interpretations. </w:t>
      </w:r>
      <w:r>
        <w:rPr>
          <w:i/>
          <w:iCs/>
        </w:rPr>
        <w:t>Methods in Ecology and Evolution</w:t>
      </w:r>
      <w:r>
        <w:t xml:space="preserve">, </w:t>
      </w:r>
      <w:r>
        <w:rPr>
          <w:i/>
          <w:iCs/>
        </w:rPr>
        <w:t>5</w:t>
      </w:r>
      <w:r>
        <w:t>(10), 983–991. https://doi.org/10.1111/2041-210X.12251</w:t>
      </w:r>
    </w:p>
    <w:p w14:paraId="56DFCE5E" w14:textId="77777777" w:rsidR="00276430" w:rsidRDefault="00276430" w:rsidP="00276430">
      <w:pPr>
        <w:pStyle w:val="Bibliography"/>
      </w:pPr>
      <w:r>
        <w:t xml:space="preserve">Gao, F., Cui, X., Sang, Y., &amp; Song, J. (2020). Changes in soil organic carbon and total nitrogen as affected by primary forest conversion. </w:t>
      </w:r>
      <w:r>
        <w:rPr>
          <w:i/>
          <w:iCs/>
        </w:rPr>
        <w:t>Forest Ecology and Management</w:t>
      </w:r>
      <w:r>
        <w:t xml:space="preserve">, </w:t>
      </w:r>
      <w:r>
        <w:rPr>
          <w:i/>
          <w:iCs/>
        </w:rPr>
        <w:t>463</w:t>
      </w:r>
      <w:r>
        <w:t>, 118013. https://doi.org/10.1016/j.foreco.2020.118013</w:t>
      </w:r>
    </w:p>
    <w:p w14:paraId="62FCD4D2" w14:textId="77777777" w:rsidR="00276430" w:rsidRDefault="00276430" w:rsidP="00276430">
      <w:pPr>
        <w:pStyle w:val="Bibliography"/>
      </w:pPr>
      <w:r>
        <w:t xml:space="preserve">Gao, Q., Hasselquist, N. J., Palmroth, S., Zheng, Z., &amp; You, W. (2014). Short-term response of soil respiration to nitrogen fertilization in a subtropical evergreen forest. </w:t>
      </w:r>
      <w:r>
        <w:rPr>
          <w:i/>
          <w:iCs/>
        </w:rPr>
        <w:t>Soil Biology and Biochemistry</w:t>
      </w:r>
      <w:r>
        <w:t xml:space="preserve">, </w:t>
      </w:r>
      <w:r>
        <w:rPr>
          <w:i/>
          <w:iCs/>
        </w:rPr>
        <w:t>76</w:t>
      </w:r>
      <w:r>
        <w:t>, 297–300. https://doi.org/10.1016/j.soilbio.2014.04.020</w:t>
      </w:r>
    </w:p>
    <w:p w14:paraId="187D72FA" w14:textId="77777777" w:rsidR="00276430" w:rsidRDefault="00276430" w:rsidP="00276430">
      <w:pPr>
        <w:pStyle w:val="Bibliography"/>
      </w:pPr>
      <w:r>
        <w:t xml:space="preserve">Gao, W., Yang, H., Kou, L., &amp; Li, S. (2015). Effects of nitrogen deposition and fertilization on N transformations in forest soils: A review. </w:t>
      </w:r>
      <w:r>
        <w:rPr>
          <w:i/>
          <w:iCs/>
        </w:rPr>
        <w:t>Journal of Soils and Sediments</w:t>
      </w:r>
      <w:r>
        <w:t xml:space="preserve">, </w:t>
      </w:r>
      <w:r>
        <w:rPr>
          <w:i/>
          <w:iCs/>
        </w:rPr>
        <w:t>15</w:t>
      </w:r>
      <w:r>
        <w:t>(4), 863–879.</w:t>
      </w:r>
    </w:p>
    <w:p w14:paraId="1FB0AFDF" w14:textId="77777777" w:rsidR="00276430" w:rsidRDefault="00276430" w:rsidP="00276430">
      <w:pPr>
        <w:pStyle w:val="Bibliography"/>
      </w:pPr>
      <w:r>
        <w:t xml:space="preserve">Geml, J., Laursen, G. A., Herriott, I. C., McFarland, J. M., Booth, M. G., Lennon, N., Nusbaum, H. C., &amp; Taylor, D. L. (2010). Phylogenetic and ecological analyses of soil and sporocarp DNA sequences reveal high diversity and strong habitat partitioning in the boreal ectomycorrhizal genus Russula (Russulales; Basidiomycota). </w:t>
      </w:r>
      <w:r>
        <w:rPr>
          <w:i/>
          <w:iCs/>
        </w:rPr>
        <w:t>New Phytologist</w:t>
      </w:r>
      <w:r>
        <w:t xml:space="preserve">, </w:t>
      </w:r>
      <w:r>
        <w:rPr>
          <w:i/>
          <w:iCs/>
        </w:rPr>
        <w:t>187</w:t>
      </w:r>
      <w:r>
        <w:t>(2), 494–507. https://doi.org/10.1111/j.1469-8137.2010.03283.x</w:t>
      </w:r>
    </w:p>
    <w:p w14:paraId="5857C9B0" w14:textId="77777777" w:rsidR="00276430" w:rsidRDefault="00276430" w:rsidP="00276430">
      <w:pPr>
        <w:pStyle w:val="Bibliography"/>
      </w:pPr>
      <w:r>
        <w:t xml:space="preserve">Gende, S. M., Edwards, R. T., Willson, M. F., &amp; Wipfli, M. S. (2002). Pacific Salmon in Aquatic and Terrestrial Ecosystems. </w:t>
      </w:r>
      <w:r>
        <w:rPr>
          <w:i/>
          <w:iCs/>
        </w:rPr>
        <w:t>BioScience</w:t>
      </w:r>
      <w:r>
        <w:t xml:space="preserve">, </w:t>
      </w:r>
      <w:r>
        <w:rPr>
          <w:i/>
          <w:iCs/>
        </w:rPr>
        <w:t>52</w:t>
      </w:r>
      <w:r>
        <w:t>(10), 917–928. https://doi.org/10.1641/0006-3568(2002)052[0917:PSIAAT]2.0.CO;2</w:t>
      </w:r>
    </w:p>
    <w:p w14:paraId="3AE1504F" w14:textId="77777777" w:rsidR="00276430" w:rsidRDefault="00276430" w:rsidP="00276430">
      <w:pPr>
        <w:pStyle w:val="Bibliography"/>
      </w:pPr>
      <w:r>
        <w:t xml:space="preserve">Gende, S. M., Miller, A. E., &amp; Hood, E. (2007). The effects of salmon carcasses on soil nitrogen pools in a riparian forest of southeastern Alaska. </w:t>
      </w:r>
      <w:r>
        <w:rPr>
          <w:i/>
          <w:iCs/>
        </w:rPr>
        <w:t>Canadian Journal of Forest Research</w:t>
      </w:r>
      <w:r>
        <w:t xml:space="preserve">, </w:t>
      </w:r>
      <w:r>
        <w:rPr>
          <w:i/>
          <w:iCs/>
        </w:rPr>
        <w:t>37</w:t>
      </w:r>
      <w:r>
        <w:t>(7), 1194–1202. https://doi.org/10.1139/X06-318</w:t>
      </w:r>
    </w:p>
    <w:p w14:paraId="70D2CBB3" w14:textId="77777777" w:rsidR="00276430" w:rsidRDefault="00276430" w:rsidP="00276430">
      <w:pPr>
        <w:pStyle w:val="Bibliography"/>
      </w:pPr>
      <w:r>
        <w:t xml:space="preserve">Gende, S. M., Quinn, T. P., Willson, M. F., Heintz, R., &amp; Scott, T. M. (2004). Magnitude and Fate of Salmon-Derived Nutrients and Energy in a Coastal Stream Ecosystem. </w:t>
      </w:r>
      <w:r>
        <w:rPr>
          <w:i/>
          <w:iCs/>
        </w:rPr>
        <w:t>Journal of Freshwater Ecology</w:t>
      </w:r>
      <w:r>
        <w:t xml:space="preserve">, </w:t>
      </w:r>
      <w:r>
        <w:rPr>
          <w:i/>
          <w:iCs/>
        </w:rPr>
        <w:t>19</w:t>
      </w:r>
      <w:r>
        <w:t>(1), 149–160. https://doi.org/10.1080/02705060.2004.9664522</w:t>
      </w:r>
    </w:p>
    <w:p w14:paraId="61DD8C89" w14:textId="77777777" w:rsidR="00276430" w:rsidRDefault="00276430" w:rsidP="00276430">
      <w:pPr>
        <w:pStyle w:val="Bibliography"/>
      </w:pPr>
      <w:r>
        <w:t xml:space="preserve">Gende, S. M., Quinn, T. P., &amp; Wilson, M. F. (2001). Consumption choice by bears feeding on salmon. </w:t>
      </w:r>
      <w:r>
        <w:rPr>
          <w:i/>
          <w:iCs/>
        </w:rPr>
        <w:t>Oecologia</w:t>
      </w:r>
      <w:r>
        <w:t xml:space="preserve">, </w:t>
      </w:r>
      <w:r>
        <w:rPr>
          <w:i/>
          <w:iCs/>
        </w:rPr>
        <w:t>127</w:t>
      </w:r>
      <w:r>
        <w:t>(3), 372–382. https://doi.org/10.1007/s004420000590</w:t>
      </w:r>
    </w:p>
    <w:p w14:paraId="0B653D03" w14:textId="77777777" w:rsidR="00276430" w:rsidRDefault="00276430" w:rsidP="00276430">
      <w:pPr>
        <w:pStyle w:val="Bibliography"/>
      </w:pPr>
      <w:r>
        <w:t xml:space="preserve">Gerwing, T. G., &amp; Plate, E. (2019). Effectiveness of nutrient enhancement as a remediation or compensation strategy of salmonid fisheries in culturally oligotrophic lakes and streams in temperate climates. </w:t>
      </w:r>
      <w:r>
        <w:rPr>
          <w:i/>
          <w:iCs/>
        </w:rPr>
        <w:t>Restoration Ecology</w:t>
      </w:r>
      <w:r>
        <w:t xml:space="preserve">, </w:t>
      </w:r>
      <w:r>
        <w:rPr>
          <w:i/>
          <w:iCs/>
        </w:rPr>
        <w:t>27</w:t>
      </w:r>
      <w:r>
        <w:t>(2), 279–288. https://doi.org/10.1111/rec.12909</w:t>
      </w:r>
    </w:p>
    <w:p w14:paraId="45E25C61" w14:textId="77777777" w:rsidR="00276430" w:rsidRDefault="00276430" w:rsidP="00276430">
      <w:pPr>
        <w:pStyle w:val="Bibliography"/>
      </w:pPr>
      <w:r>
        <w:t xml:space="preserve">Golan, J. J., &amp; Pringle, A. (2017). Long-Distance Dispersal of Fungi. In </w:t>
      </w:r>
      <w:r>
        <w:rPr>
          <w:i/>
          <w:iCs/>
        </w:rPr>
        <w:t>The Fungal Kingdom</w:t>
      </w:r>
      <w:r>
        <w:t xml:space="preserve"> (pp. 309–333). John Wiley &amp; Sons, Ltd. https://doi.org/10.1128/9781555819583.ch14</w:t>
      </w:r>
    </w:p>
    <w:p w14:paraId="17FEC93C" w14:textId="77777777" w:rsidR="00276430" w:rsidRDefault="00276430" w:rsidP="00276430">
      <w:pPr>
        <w:pStyle w:val="Bibliography"/>
      </w:pPr>
      <w:r>
        <w:t xml:space="preserve">Gorzelak, M. A., Asay, A. K., Pickles, B. J., &amp; Simard, S. W. (2015). Inter-plant communication through mycorrhizal networks mediates complex adaptive behaviour in plant communities. </w:t>
      </w:r>
      <w:r>
        <w:rPr>
          <w:i/>
          <w:iCs/>
        </w:rPr>
        <w:t>AoB Plants</w:t>
      </w:r>
      <w:r>
        <w:t>, plv050. https://doi.org/10.1093/aobpla/plv050</w:t>
      </w:r>
    </w:p>
    <w:p w14:paraId="247ACE07" w14:textId="77777777" w:rsidR="00276430" w:rsidRDefault="00276430" w:rsidP="00276430">
      <w:pPr>
        <w:pStyle w:val="Bibliography"/>
      </w:pPr>
      <w:r>
        <w:t xml:space="preserve">Greene, N. A., McGee, D. C., &amp; Heitzmann, R. J. (2015). </w:t>
      </w:r>
      <w:r>
        <w:rPr>
          <w:i/>
          <w:iCs/>
        </w:rPr>
        <w:t>The Comox Harbour Fish Trap Complex: A Large-Scale, Technologically Sophisticated Intertidal Fishery from British Columbia</w:t>
      </w:r>
      <w:r>
        <w:t>. 52.</w:t>
      </w:r>
    </w:p>
    <w:p w14:paraId="163EA41C" w14:textId="77777777" w:rsidR="00276430" w:rsidRDefault="00276430" w:rsidP="00276430">
      <w:pPr>
        <w:pStyle w:val="Bibliography"/>
      </w:pPr>
      <w:r>
        <w:t xml:space="preserve">Gresh, T., Lichatowich, J., &amp; Schoonmaker, P. (2000). An Estimation of Historic and Current Levels of Salmon Production in the Northeast Pacific Ecosystem: Evidence of a Nutrient Deficit in the Freshwater Systems of the Pacific Northwest. </w:t>
      </w:r>
      <w:r>
        <w:rPr>
          <w:i/>
          <w:iCs/>
        </w:rPr>
        <w:t>Fisheries</w:t>
      </w:r>
      <w:r>
        <w:t xml:space="preserve">, </w:t>
      </w:r>
      <w:r>
        <w:rPr>
          <w:i/>
          <w:iCs/>
        </w:rPr>
        <w:t>25</w:t>
      </w:r>
      <w:r>
        <w:t>(1), 15–21. https://doi.org/10.1577/1548-8446(2000)025&lt;0015:AEOHAC&gt;2.0.CO;2</w:t>
      </w:r>
    </w:p>
    <w:p w14:paraId="7C2A772C" w14:textId="77777777" w:rsidR="00276430" w:rsidRDefault="00276430" w:rsidP="00276430">
      <w:pPr>
        <w:pStyle w:val="Bibliography"/>
      </w:pPr>
      <w:r>
        <w:t xml:space="preserve">Groot, C., &amp; Margolis, L. (Eds.). (1991). </w:t>
      </w:r>
      <w:r>
        <w:rPr>
          <w:i/>
          <w:iCs/>
        </w:rPr>
        <w:t>Pacific Salmon Life Histories</w:t>
      </w:r>
      <w:r>
        <w:t xml:space="preserve"> (First Edition edition). UBC Press.</w:t>
      </w:r>
    </w:p>
    <w:p w14:paraId="042ACB40" w14:textId="77777777" w:rsidR="00276430" w:rsidRDefault="00276430" w:rsidP="00276430">
      <w:pPr>
        <w:pStyle w:val="Bibliography"/>
      </w:pPr>
      <w:r>
        <w:t xml:space="preserve">Guichon, S. H. A. (2015). </w:t>
      </w:r>
      <w:r>
        <w:rPr>
          <w:i/>
          <w:iCs/>
        </w:rPr>
        <w:t>Mycorrhizal fungi: Unlocking their ecology and role in the establishment and growth performance of different conifer species in nutrient-poor coastal forests</w:t>
      </w:r>
      <w:r>
        <w:t xml:space="preserve"> [University of British Columbia]. https://open.library.ubc.ca/cIRcle/collections/ubctheses/24/items/1.0221252</w:t>
      </w:r>
    </w:p>
    <w:p w14:paraId="78C3F7E4" w14:textId="77777777" w:rsidR="00276430" w:rsidRDefault="00276430" w:rsidP="00276430">
      <w:pPr>
        <w:pStyle w:val="Bibliography"/>
      </w:pPr>
      <w:r>
        <w:t xml:space="preserve">Guo, H., Nasir, M., Lv, J., Dai, Y., &amp; Gao, J. (2017). Understanding the variation of microbial community in heavy metals contaminated soil using high throughput sequencing. </w:t>
      </w:r>
      <w:r>
        <w:rPr>
          <w:i/>
          <w:iCs/>
        </w:rPr>
        <w:t>Ecotoxicology and Environmental Safety</w:t>
      </w:r>
      <w:r>
        <w:t xml:space="preserve">, </w:t>
      </w:r>
      <w:r>
        <w:rPr>
          <w:i/>
          <w:iCs/>
        </w:rPr>
        <w:t>144</w:t>
      </w:r>
      <w:r>
        <w:t>, 300–306. https://doi.org/10.1016/j.ecoenv.2017.06.048</w:t>
      </w:r>
    </w:p>
    <w:p w14:paraId="1109D506" w14:textId="77777777" w:rsidR="00276430" w:rsidRDefault="00276430" w:rsidP="00276430">
      <w:pPr>
        <w:pStyle w:val="Bibliography"/>
      </w:pPr>
      <w:r>
        <w:t xml:space="preserve">Gustafson, R. G., Waples, R. S., Myers, J. M., Weitkamp, L. A., Bryant, G. J., Johnson, O. W., &amp; Hard, J. J. (2007). Pacific Salmon Extinctions: Quantifying Lost and Remaining Diversity. </w:t>
      </w:r>
      <w:r>
        <w:rPr>
          <w:i/>
          <w:iCs/>
        </w:rPr>
        <w:t>Conservation Biology</w:t>
      </w:r>
      <w:r>
        <w:t xml:space="preserve">, </w:t>
      </w:r>
      <w:r>
        <w:rPr>
          <w:i/>
          <w:iCs/>
        </w:rPr>
        <w:t>21</w:t>
      </w:r>
      <w:r>
        <w:t>(4), 1009–1020. https://doi.org/10.1111/j.1523-1739.2007.00693.x</w:t>
      </w:r>
    </w:p>
    <w:p w14:paraId="413E0FEF" w14:textId="77777777" w:rsidR="00276430" w:rsidRDefault="00276430" w:rsidP="00276430">
      <w:pPr>
        <w:pStyle w:val="Bibliography"/>
      </w:pPr>
      <w:r>
        <w:t xml:space="preserve">Haas, A. R., Edwards, D. N., &amp; Sumaila, U. R. (2016). Corporate concentration and processor control: Insights from the salmon and herring fisheries in British Columbia. </w:t>
      </w:r>
      <w:r>
        <w:rPr>
          <w:i/>
          <w:iCs/>
        </w:rPr>
        <w:t>Marine Policy</w:t>
      </w:r>
      <w:r>
        <w:t xml:space="preserve">, </w:t>
      </w:r>
      <w:r>
        <w:rPr>
          <w:i/>
          <w:iCs/>
        </w:rPr>
        <w:t>68</w:t>
      </w:r>
      <w:r>
        <w:t>, 83–90. https://doi.org/10.1016/j.marpol.2016.02.019</w:t>
      </w:r>
    </w:p>
    <w:p w14:paraId="04F62BFA" w14:textId="77777777" w:rsidR="00276430" w:rsidRDefault="00276430" w:rsidP="00276430">
      <w:pPr>
        <w:pStyle w:val="Bibliography"/>
      </w:pPr>
      <w:r>
        <w:t xml:space="preserve">Habte, M., Aziz, T., &amp; Yuen, J. E. (1992). Residual toxicity of soil-applied chlorothalonil on mycorrhizal symbiosis in Leucaena leucocephala. </w:t>
      </w:r>
      <w:r>
        <w:rPr>
          <w:i/>
          <w:iCs/>
        </w:rPr>
        <w:t>Plant and Soil</w:t>
      </w:r>
      <w:r>
        <w:t xml:space="preserve">, </w:t>
      </w:r>
      <w:r>
        <w:rPr>
          <w:i/>
          <w:iCs/>
        </w:rPr>
        <w:t>140</w:t>
      </w:r>
      <w:r>
        <w:t>(2), 263–268. https://doi.org/10.1007/BF00010603</w:t>
      </w:r>
    </w:p>
    <w:p w14:paraId="7301DBBA" w14:textId="77777777" w:rsidR="00276430" w:rsidRDefault="00276430" w:rsidP="00276430">
      <w:pPr>
        <w:pStyle w:val="Bibliography"/>
      </w:pPr>
      <w:r>
        <w:t xml:space="preserve">Haddix, M. L., Paul, E. A., &amp; Cotrufo, M. F. (2016). Dual, differential isotope labeling shows the preferential movement of labile plant constituents into mineral-bonded soil organic matter. </w:t>
      </w:r>
      <w:r>
        <w:rPr>
          <w:i/>
          <w:iCs/>
        </w:rPr>
        <w:t>Global Change Biology</w:t>
      </w:r>
      <w:r>
        <w:t xml:space="preserve">, </w:t>
      </w:r>
      <w:r>
        <w:rPr>
          <w:i/>
          <w:iCs/>
        </w:rPr>
        <w:t>22</w:t>
      </w:r>
      <w:r>
        <w:t>(6), 2301–2312. https://doi.org/10.1111/gcb.13237</w:t>
      </w:r>
    </w:p>
    <w:p w14:paraId="29575A78" w14:textId="77777777" w:rsidR="00276430" w:rsidRDefault="00276430" w:rsidP="00276430">
      <w:pPr>
        <w:pStyle w:val="Bibliography"/>
      </w:pPr>
      <w:r>
        <w:t xml:space="preserve">Handley, L. L., Austin, A. T., Stewart, G. R., Robinson, D., Scrimgeour, C. M., Raven, J. A., Heaton, T. H. E., &amp; Schmidt, S. (1999). The 15N natural abundance (δ15N) of ecosystem samples reflects measures of water availability. </w:t>
      </w:r>
      <w:r>
        <w:rPr>
          <w:i/>
          <w:iCs/>
        </w:rPr>
        <w:t>Functional Plant Biology</w:t>
      </w:r>
      <w:r>
        <w:t xml:space="preserve">, </w:t>
      </w:r>
      <w:r>
        <w:rPr>
          <w:i/>
          <w:iCs/>
        </w:rPr>
        <w:t>26</w:t>
      </w:r>
      <w:r>
        <w:t>(2), 185–199.</w:t>
      </w:r>
    </w:p>
    <w:p w14:paraId="173676A7" w14:textId="77777777" w:rsidR="00276430" w:rsidRDefault="00276430" w:rsidP="00276430">
      <w:pPr>
        <w:pStyle w:val="Bibliography"/>
      </w:pPr>
      <w:r>
        <w:t xml:space="preserve">Harding, J. M. S., Harding, J. N., Field, R. D., Pendray, J. E., Swain, N. R., Wagner, M. A., &amp; Reynolds, J. D. (2019). Landscape Structure and Species Interactions Drive the Distribution of Salmon Carcasses in Coastal Watersheds. </w:t>
      </w:r>
      <w:r>
        <w:rPr>
          <w:i/>
          <w:iCs/>
        </w:rPr>
        <w:t>Frontiers in Ecology and Evolution</w:t>
      </w:r>
      <w:r>
        <w:t xml:space="preserve">, </w:t>
      </w:r>
      <w:r>
        <w:rPr>
          <w:i/>
          <w:iCs/>
        </w:rPr>
        <w:t>7</w:t>
      </w:r>
      <w:r>
        <w:t>. https://doi.org/10.3389/fevo.2019.00192</w:t>
      </w:r>
    </w:p>
    <w:p w14:paraId="1F729BF8" w14:textId="77777777" w:rsidR="00276430" w:rsidRDefault="00276430" w:rsidP="00276430">
      <w:pPr>
        <w:pStyle w:val="Bibliography"/>
      </w:pPr>
      <w:r>
        <w:t xml:space="preserve">Harding, J. N., Harding, J. M. S., &amp; Reynolds, J. D. (2014). Movers and shakers: Nutrient subsidies and benthic disturbance predict biofilm biomass and stable isotope signatures in coastal streams. </w:t>
      </w:r>
      <w:r>
        <w:rPr>
          <w:i/>
          <w:iCs/>
        </w:rPr>
        <w:t>Freshwater Biology</w:t>
      </w:r>
      <w:r>
        <w:t xml:space="preserve">, </w:t>
      </w:r>
      <w:r>
        <w:rPr>
          <w:i/>
          <w:iCs/>
        </w:rPr>
        <w:t>59</w:t>
      </w:r>
      <w:r>
        <w:t>(7), 1361–1377. https://doi.org/10.1111/fwb.12351</w:t>
      </w:r>
    </w:p>
    <w:p w14:paraId="0AD62E85" w14:textId="77777777" w:rsidR="00276430" w:rsidRDefault="00276430" w:rsidP="00276430">
      <w:pPr>
        <w:pStyle w:val="Bibliography"/>
      </w:pPr>
      <w:r>
        <w:t xml:space="preserve">Harding, J. N., &amp; Reynolds, J. D. (2014). Opposing forces: Evaluating multiple ecological roles of Pacific salmon in coastal stream ecosystems. </w:t>
      </w:r>
      <w:r>
        <w:rPr>
          <w:i/>
          <w:iCs/>
        </w:rPr>
        <w:t>Ecosphere</w:t>
      </w:r>
      <w:r>
        <w:t xml:space="preserve">, </w:t>
      </w:r>
      <w:r>
        <w:rPr>
          <w:i/>
          <w:iCs/>
        </w:rPr>
        <w:t>5</w:t>
      </w:r>
      <w:r>
        <w:t>(12), art157. https://doi.org/10.1890/ES14-00207.1</w:t>
      </w:r>
    </w:p>
    <w:p w14:paraId="55C36B59" w14:textId="77777777" w:rsidR="00276430" w:rsidRDefault="00276430" w:rsidP="00276430">
      <w:pPr>
        <w:pStyle w:val="Bibliography"/>
      </w:pPr>
      <w:r>
        <w:t xml:space="preserve">Harpole, W. S., Sullivan, L. L., Lind, E. M., Firn, J., Adler, P. B., Borer, E. T., Chase, J., Fay, P. A., Hautier, Y., Hillebrand, H., MacDougall, A. S., Seabloom, E. W., Williams, R., Bakker, J. D., Cadotte, M. W., Chaneton, E. J., Chu, C., Cleland, E. E., D’Antonio, C., … Wragg, P. D. (2016). Addition of multiple limiting resources reduces grassland diversity. </w:t>
      </w:r>
      <w:r>
        <w:rPr>
          <w:i/>
          <w:iCs/>
        </w:rPr>
        <w:t>Nature</w:t>
      </w:r>
      <w:r>
        <w:t xml:space="preserve">, </w:t>
      </w:r>
      <w:r>
        <w:rPr>
          <w:i/>
          <w:iCs/>
        </w:rPr>
        <w:t>537</w:t>
      </w:r>
      <w:r>
        <w:t>(7618), 93–96. https://doi.org/10.1038/nature19324</w:t>
      </w:r>
    </w:p>
    <w:p w14:paraId="44FA16AA" w14:textId="77777777" w:rsidR="00276430" w:rsidRDefault="00276430" w:rsidP="00276430">
      <w:pPr>
        <w:pStyle w:val="Bibliography"/>
      </w:pPr>
      <w:r>
        <w:t xml:space="preserve">Harris, C. (2001). </w:t>
      </w:r>
      <w:r>
        <w:rPr>
          <w:i/>
          <w:iCs/>
        </w:rPr>
        <w:t>Fish, Law, and Colonialism: The Legal Capture of Salmon in British Columbia</w:t>
      </w:r>
      <w:r>
        <w:t>. University of Toronto Press.</w:t>
      </w:r>
    </w:p>
    <w:p w14:paraId="49444FB9" w14:textId="77777777" w:rsidR="00276430" w:rsidRDefault="00276430" w:rsidP="00276430">
      <w:pPr>
        <w:pStyle w:val="Bibliography"/>
      </w:pPr>
      <w:r>
        <w:t xml:space="preserve">Harris, C. (2004). How Did Colonialism Dispossess? Comments from an Edge of Empire. </w:t>
      </w:r>
      <w:r>
        <w:rPr>
          <w:i/>
          <w:iCs/>
        </w:rPr>
        <w:t>Annals of the Association of American Geographers</w:t>
      </w:r>
      <w:r>
        <w:t xml:space="preserve">, </w:t>
      </w:r>
      <w:r>
        <w:rPr>
          <w:i/>
          <w:iCs/>
        </w:rPr>
        <w:t>94</w:t>
      </w:r>
      <w:r>
        <w:t>(1), 165–182. https://doi.org/10.1111/j.1467-8306.2004.09401009.x</w:t>
      </w:r>
    </w:p>
    <w:p w14:paraId="5CB34F7C" w14:textId="77777777" w:rsidR="00276430" w:rsidRDefault="00276430" w:rsidP="00276430">
      <w:pPr>
        <w:pStyle w:val="Bibliography"/>
      </w:pPr>
      <w:r>
        <w:t xml:space="preserve">Harris, J. (2009). Soil Microbial Communities and Restoration Ecology: Facilitators or Followers? </w:t>
      </w:r>
      <w:r>
        <w:rPr>
          <w:i/>
          <w:iCs/>
        </w:rPr>
        <w:t>Science</w:t>
      </w:r>
      <w:r>
        <w:t xml:space="preserve">, </w:t>
      </w:r>
      <w:r>
        <w:rPr>
          <w:i/>
          <w:iCs/>
        </w:rPr>
        <w:t>325</w:t>
      </w:r>
      <w:r>
        <w:t>(5940), 573–574. https://doi.org/10.1126/science.1172975</w:t>
      </w:r>
    </w:p>
    <w:p w14:paraId="65FD3BBC" w14:textId="77777777" w:rsidR="00276430" w:rsidRDefault="00276430" w:rsidP="00276430">
      <w:pPr>
        <w:pStyle w:val="Bibliography"/>
      </w:pPr>
      <w:r>
        <w:t xml:space="preserve">Harrison, L. R., Bray, E., Overstreet, B., Legleiter, C. J., Brown, R. A., Merz, J. E., Bond, R. M., Nicol, C. L., &amp; Dunne, T. (2019). Physical Controls on Salmon Redd Site Selection in Restored Reaches of a Regulated, Gravel-Bed River. </w:t>
      </w:r>
      <w:r>
        <w:rPr>
          <w:i/>
          <w:iCs/>
        </w:rPr>
        <w:t>Water Resources Research</w:t>
      </w:r>
      <w:r>
        <w:t xml:space="preserve">, </w:t>
      </w:r>
      <w:r>
        <w:rPr>
          <w:i/>
          <w:iCs/>
        </w:rPr>
        <w:t>55</w:t>
      </w:r>
      <w:r>
        <w:t>(11), 8942–8966. https://doi.org/10.1029/2018WR024428</w:t>
      </w:r>
    </w:p>
    <w:p w14:paraId="3EE98685" w14:textId="77777777" w:rsidR="00276430" w:rsidRDefault="00276430" w:rsidP="00276430">
      <w:pPr>
        <w:pStyle w:val="Bibliography"/>
      </w:pPr>
      <w:r>
        <w:t xml:space="preserve">Hartig, F. (2020). </w:t>
      </w:r>
      <w:r>
        <w:rPr>
          <w:i/>
          <w:iCs/>
        </w:rPr>
        <w:t>DHARMa: Residual Diagnostics for Hierarchical (Multi-Level / Mixed) Regression Models</w:t>
      </w:r>
      <w:r>
        <w:t>. https://CRAN.R-project.org/package=DHARMa</w:t>
      </w:r>
    </w:p>
    <w:p w14:paraId="1FDA7363" w14:textId="77777777" w:rsidR="00276430" w:rsidRDefault="00276430" w:rsidP="00276430">
      <w:pPr>
        <w:pStyle w:val="Bibliography"/>
      </w:pPr>
      <w:r>
        <w:t xml:space="preserve">Hayward, B. (1981). </w:t>
      </w:r>
      <w:r>
        <w:rPr>
          <w:i/>
          <w:iCs/>
        </w:rPr>
        <w:t>The Development of Relations of Production in the British Columbia Salmon Fishery</w:t>
      </w:r>
      <w:r>
        <w:t xml:space="preserve"> [University of British Columbia]. https://doi.org/10.14288/1.0094868</w:t>
      </w:r>
    </w:p>
    <w:p w14:paraId="1A8952FE" w14:textId="77777777" w:rsidR="00276430" w:rsidRDefault="00276430" w:rsidP="00276430">
      <w:pPr>
        <w:pStyle w:val="Bibliography"/>
      </w:pPr>
      <w:r>
        <w:t xml:space="preserve">Heinonsalo, J., Sun, H., Santalahti, M., Bäcklund, K., Hari, P., &amp; Pumpanen, J. (2015). Evidences on the ability of mycorrhizal genus Piloderma to use organic nitrogen and deliver it to Scots pine. </w:t>
      </w:r>
      <w:r>
        <w:rPr>
          <w:i/>
          <w:iCs/>
        </w:rPr>
        <w:t>PloS One</w:t>
      </w:r>
      <w:r>
        <w:t xml:space="preserve">, </w:t>
      </w:r>
      <w:r>
        <w:rPr>
          <w:i/>
          <w:iCs/>
        </w:rPr>
        <w:t>10</w:t>
      </w:r>
      <w:r>
        <w:t>(7), e0131561.</w:t>
      </w:r>
    </w:p>
    <w:p w14:paraId="21418C54" w14:textId="77777777" w:rsidR="00276430" w:rsidRDefault="00276430" w:rsidP="00276430">
      <w:pPr>
        <w:pStyle w:val="Bibliography"/>
      </w:pPr>
      <w:r>
        <w:t xml:space="preserve">Helfield, J. M. (2001). </w:t>
      </w:r>
      <w:r>
        <w:rPr>
          <w:i/>
          <w:iCs/>
        </w:rPr>
        <w:t>Interactions of salmon, bear and riparian vegetation in Alaska</w:t>
      </w:r>
      <w:r>
        <w:t xml:space="preserve"> [PhD Thesis]. University of Washington.</w:t>
      </w:r>
    </w:p>
    <w:p w14:paraId="6AB132E0" w14:textId="77777777" w:rsidR="00276430" w:rsidRDefault="00276430" w:rsidP="00276430">
      <w:pPr>
        <w:pStyle w:val="Bibliography"/>
      </w:pPr>
      <w:r>
        <w:t xml:space="preserve">Helfield, J. M., &amp; Naiman, R. J. (2001). Effects of salmon-derived nitrogen on riparian forest growth and implications for stream productivity. </w:t>
      </w:r>
      <w:r>
        <w:rPr>
          <w:i/>
          <w:iCs/>
        </w:rPr>
        <w:t>Ecology</w:t>
      </w:r>
      <w:r>
        <w:t xml:space="preserve">, </w:t>
      </w:r>
      <w:r>
        <w:rPr>
          <w:i/>
          <w:iCs/>
        </w:rPr>
        <w:t>82</w:t>
      </w:r>
      <w:r>
        <w:t>(9), 2403–2409. https://doi.org/10.1890/0012-9658(2001)082[2403:EOSDNO]2.0.CO;2</w:t>
      </w:r>
    </w:p>
    <w:p w14:paraId="2AF9BCB4" w14:textId="77777777" w:rsidR="00276430" w:rsidRDefault="00276430" w:rsidP="00276430">
      <w:pPr>
        <w:pStyle w:val="Bibliography"/>
      </w:pPr>
      <w:r>
        <w:t xml:space="preserve">Helfield, J. M., &amp; Naiman, R. J. (2002). Salmon and alder as nitrogen sources to riparian forests in a boreal Alaskan watershed. </w:t>
      </w:r>
      <w:r>
        <w:rPr>
          <w:i/>
          <w:iCs/>
        </w:rPr>
        <w:t>Oecologia</w:t>
      </w:r>
      <w:r>
        <w:t xml:space="preserve">, </w:t>
      </w:r>
      <w:r>
        <w:rPr>
          <w:i/>
          <w:iCs/>
        </w:rPr>
        <w:t>133</w:t>
      </w:r>
      <w:r>
        <w:t>(4), 573–582. https://doi.org/10.1007/s00442-002-1070-x</w:t>
      </w:r>
    </w:p>
    <w:p w14:paraId="49C90C7F" w14:textId="77777777" w:rsidR="00276430" w:rsidRDefault="00276430" w:rsidP="00276430">
      <w:pPr>
        <w:pStyle w:val="Bibliography"/>
      </w:pPr>
      <w:r>
        <w:t xml:space="preserve">Helfield, J. M., &amp; Naiman, R. J. (2006). Keystone Interactions: Salmon and Bear in Riparian Forests of Alaska. </w:t>
      </w:r>
      <w:r>
        <w:rPr>
          <w:i/>
          <w:iCs/>
        </w:rPr>
        <w:t>Ecosystems</w:t>
      </w:r>
      <w:r>
        <w:t xml:space="preserve">, </w:t>
      </w:r>
      <w:r>
        <w:rPr>
          <w:i/>
          <w:iCs/>
        </w:rPr>
        <w:t>9</w:t>
      </w:r>
      <w:r>
        <w:t>(2), 167–180. https://doi.org/10.1007/s10021-004-0063-5</w:t>
      </w:r>
    </w:p>
    <w:p w14:paraId="40F14C70" w14:textId="77777777" w:rsidR="00276430" w:rsidRDefault="00276430" w:rsidP="00276430">
      <w:pPr>
        <w:pStyle w:val="Bibliography"/>
      </w:pPr>
      <w:r>
        <w:t xml:space="preserve">Hendershot, W. H., &amp; Duquette, M. (1986). A Simple Barium Chloride Method for Determining Cation Exchange Capacity and Exchangeable Cations 1. </w:t>
      </w:r>
      <w:r>
        <w:rPr>
          <w:i/>
          <w:iCs/>
        </w:rPr>
        <w:t>Soil Science Society of America Journal</w:t>
      </w:r>
      <w:r>
        <w:t xml:space="preserve">, </w:t>
      </w:r>
      <w:r>
        <w:rPr>
          <w:i/>
          <w:iCs/>
        </w:rPr>
        <w:t>50</w:t>
      </w:r>
      <w:r>
        <w:t>(3), 605–608. https://doi.org/10.2136/sssaj1986.03615995005000030013x</w:t>
      </w:r>
    </w:p>
    <w:p w14:paraId="040E3889" w14:textId="77777777" w:rsidR="00276430" w:rsidRDefault="00276430" w:rsidP="00276430">
      <w:pPr>
        <w:pStyle w:val="Bibliography"/>
      </w:pPr>
      <w:r>
        <w:t xml:space="preserve">Herlemann, D. P., Labrenz, M., Jürgens, K., Bertilsson, S., Waniek, J. J., &amp; Andersson, A. F. (2011). Transitions in bacterial communities along the 2000 km salinity gradient of the Baltic Sea. </w:t>
      </w:r>
      <w:r>
        <w:rPr>
          <w:i/>
          <w:iCs/>
        </w:rPr>
        <w:t>The ISME Journal</w:t>
      </w:r>
      <w:r>
        <w:t xml:space="preserve">, </w:t>
      </w:r>
      <w:r>
        <w:rPr>
          <w:i/>
          <w:iCs/>
        </w:rPr>
        <w:t>5</w:t>
      </w:r>
      <w:r>
        <w:t>(10), 1571–1579. https://doi.org/10.1038/ismej.2011.41</w:t>
      </w:r>
    </w:p>
    <w:p w14:paraId="309B9D10" w14:textId="77777777" w:rsidR="00276430" w:rsidRDefault="00276430" w:rsidP="00276430">
      <w:pPr>
        <w:pStyle w:val="Bibliography"/>
      </w:pPr>
      <w:r>
        <w:t xml:space="preserve">Hicks, B. J., Wipfli, M. S., Lang, D. W., &amp; Lang, M. E. (2005). Marine-derived nitrogen and carbon in freshwater-riparian food webs of the Copper River Delta, southcentral Alaska. </w:t>
      </w:r>
      <w:r>
        <w:rPr>
          <w:i/>
          <w:iCs/>
        </w:rPr>
        <w:t>Oecologia</w:t>
      </w:r>
      <w:r>
        <w:t xml:space="preserve">, </w:t>
      </w:r>
      <w:r>
        <w:rPr>
          <w:i/>
          <w:iCs/>
        </w:rPr>
        <w:t>144</w:t>
      </w:r>
      <w:r>
        <w:t>(4), 558–569.</w:t>
      </w:r>
    </w:p>
    <w:p w14:paraId="5CE5389E" w14:textId="77777777" w:rsidR="00276430" w:rsidRDefault="00276430" w:rsidP="00276430">
      <w:pPr>
        <w:pStyle w:val="Bibliography"/>
      </w:pPr>
      <w:r>
        <w:t xml:space="preserve">Hilborn, R., &amp; Winton, J. (1993). Learning to enhance salmon production: Lessons from the salmonid enhancement program. </w:t>
      </w:r>
      <w:r>
        <w:rPr>
          <w:i/>
          <w:iCs/>
        </w:rPr>
        <w:t>Canadian Journal of Fisheries and Aquatic Sciences</w:t>
      </w:r>
      <w:r>
        <w:t xml:space="preserve">, </w:t>
      </w:r>
      <w:r>
        <w:rPr>
          <w:i/>
          <w:iCs/>
        </w:rPr>
        <w:t>50</w:t>
      </w:r>
      <w:r>
        <w:t>(9), 2043–2056.</w:t>
      </w:r>
    </w:p>
    <w:p w14:paraId="60B9DC04" w14:textId="77777777" w:rsidR="00276430" w:rsidRDefault="00276430" w:rsidP="00276430">
      <w:pPr>
        <w:pStyle w:val="Bibliography"/>
      </w:pPr>
      <w:r>
        <w:t xml:space="preserve">Hilderbrand, G. V., Farley, S. D., Robbins, C. T., Hanley, T. A., Titus, K., &amp; Servheen, C. (1996). Use of stable isotopes to determine diets of living and extinct bears. </w:t>
      </w:r>
      <w:r>
        <w:rPr>
          <w:i/>
          <w:iCs/>
        </w:rPr>
        <w:t>Canadian Journal of Zoology</w:t>
      </w:r>
      <w:r>
        <w:t xml:space="preserve">, </w:t>
      </w:r>
      <w:r>
        <w:rPr>
          <w:i/>
          <w:iCs/>
        </w:rPr>
        <w:t>74</w:t>
      </w:r>
      <w:r>
        <w:t>(11), 2080–2088. https://doi.org/10.1139/z96-236</w:t>
      </w:r>
    </w:p>
    <w:p w14:paraId="553A5E64" w14:textId="77777777" w:rsidR="00276430" w:rsidRDefault="00276430" w:rsidP="00276430">
      <w:pPr>
        <w:pStyle w:val="Bibliography"/>
      </w:pPr>
      <w:r>
        <w:t xml:space="preserve">Hilderbrand, G. V., Hanley, T. A., Robbins, C. T., &amp; Schwartz, C. C. (1999). Role of brown bears (Ursus arctos) in the flow of marine nitrogen into a terrestrial ecosystem. </w:t>
      </w:r>
      <w:r>
        <w:rPr>
          <w:i/>
          <w:iCs/>
        </w:rPr>
        <w:t>Oecologia</w:t>
      </w:r>
      <w:r>
        <w:t xml:space="preserve">, </w:t>
      </w:r>
      <w:r>
        <w:rPr>
          <w:i/>
          <w:iCs/>
        </w:rPr>
        <w:t>121</w:t>
      </w:r>
      <w:r>
        <w:t>(4), 546–550. https://doi.org/10.1007/s004420050961</w:t>
      </w:r>
    </w:p>
    <w:p w14:paraId="3B441378" w14:textId="77777777" w:rsidR="00276430" w:rsidRDefault="00276430" w:rsidP="00276430">
      <w:pPr>
        <w:pStyle w:val="Bibliography"/>
      </w:pPr>
      <w:r>
        <w:t xml:space="preserve">Hobbie, E. A., &amp; Agerer, R. (2009). Nitrogen isotopes in ectomycorrhizal sporocarps correspond to belowground exploration types. </w:t>
      </w:r>
      <w:r>
        <w:rPr>
          <w:i/>
          <w:iCs/>
        </w:rPr>
        <w:t>Plant and Soil</w:t>
      </w:r>
      <w:r>
        <w:t xml:space="preserve">, </w:t>
      </w:r>
      <w:r>
        <w:rPr>
          <w:i/>
          <w:iCs/>
        </w:rPr>
        <w:t>327</w:t>
      </w:r>
      <w:r>
        <w:t>(1–2), 71–83. https://doi.org/10.1007/s11104-009-0032-z</w:t>
      </w:r>
    </w:p>
    <w:p w14:paraId="3DABC713" w14:textId="77777777" w:rsidR="00276430" w:rsidRDefault="00276430" w:rsidP="00276430">
      <w:pPr>
        <w:pStyle w:val="Bibliography"/>
      </w:pPr>
      <w:r>
        <w:t xml:space="preserve">Hobbie, E. A., Chen, J., &amp; Hasselquist, N. J. (2019). Fertilization alters nitrogen isotopes and concentrations in ectomycorrhizal fungi and soil in pine forests. </w:t>
      </w:r>
      <w:r>
        <w:rPr>
          <w:i/>
          <w:iCs/>
        </w:rPr>
        <w:t>Fungal Ecology</w:t>
      </w:r>
      <w:r>
        <w:t xml:space="preserve">, </w:t>
      </w:r>
      <w:r>
        <w:rPr>
          <w:i/>
          <w:iCs/>
        </w:rPr>
        <w:t>39</w:t>
      </w:r>
      <w:r>
        <w:t>, 267–275. https://doi.org/10.1016/j.funeco.2018.12.013</w:t>
      </w:r>
    </w:p>
    <w:p w14:paraId="0200EDA3" w14:textId="77777777" w:rsidR="00276430" w:rsidRDefault="00276430" w:rsidP="00276430">
      <w:pPr>
        <w:pStyle w:val="Bibliography"/>
      </w:pPr>
      <w:r>
        <w:t xml:space="preserve">Hobbie, E. A., &amp; Colpaert, J. V. (2003). Nitrogen availability and colonization by mycorrhizal fungi correlate with nitrogen isotope patterns in plants. </w:t>
      </w:r>
      <w:r>
        <w:rPr>
          <w:i/>
          <w:iCs/>
        </w:rPr>
        <w:t>New Phytologist</w:t>
      </w:r>
      <w:r>
        <w:t xml:space="preserve">, </w:t>
      </w:r>
      <w:r>
        <w:rPr>
          <w:i/>
          <w:iCs/>
        </w:rPr>
        <w:t>157</w:t>
      </w:r>
      <w:r>
        <w:t>(1), 115–126.</w:t>
      </w:r>
    </w:p>
    <w:p w14:paraId="78A92F7F" w14:textId="77777777" w:rsidR="00276430" w:rsidRDefault="00276430" w:rsidP="00276430">
      <w:pPr>
        <w:pStyle w:val="Bibliography"/>
      </w:pPr>
      <w:r>
        <w:t xml:space="preserve">Hobbie, E. A., &amp; Högberg, P. (2012). Nitrogen isotopes link mycorrhizal fungi and plants to nitrogen dynamics. </w:t>
      </w:r>
      <w:r>
        <w:rPr>
          <w:i/>
          <w:iCs/>
        </w:rPr>
        <w:t>New Phytologist</w:t>
      </w:r>
      <w:r>
        <w:t xml:space="preserve">, </w:t>
      </w:r>
      <w:r>
        <w:rPr>
          <w:i/>
          <w:iCs/>
        </w:rPr>
        <w:t>196</w:t>
      </w:r>
      <w:r>
        <w:t>(2), 367–382. https://doi.org/10.1111/j.1469-8137.2012.04300.x</w:t>
      </w:r>
    </w:p>
    <w:p w14:paraId="0D901E91" w14:textId="77777777" w:rsidR="00276430" w:rsidRDefault="00276430" w:rsidP="00276430">
      <w:pPr>
        <w:pStyle w:val="Bibliography"/>
      </w:pPr>
      <w:r>
        <w:t xml:space="preserve">Hobbie, E. A., Jumpponen, A., &amp; Trappe, J. (2005). Foliar and fungal 15 N: 14 N ratios reflect development of mycorrhizae and nitrogen supply during primary succession: testing analytical models. </w:t>
      </w:r>
      <w:r>
        <w:rPr>
          <w:i/>
          <w:iCs/>
        </w:rPr>
        <w:t>Oecologia</w:t>
      </w:r>
      <w:r>
        <w:t xml:space="preserve">, </w:t>
      </w:r>
      <w:r>
        <w:rPr>
          <w:i/>
          <w:iCs/>
        </w:rPr>
        <w:t>146</w:t>
      </w:r>
      <w:r>
        <w:t>(2), 258–268.</w:t>
      </w:r>
    </w:p>
    <w:p w14:paraId="6CF15BCB" w14:textId="77777777" w:rsidR="00276430" w:rsidRDefault="00276430" w:rsidP="00276430">
      <w:pPr>
        <w:pStyle w:val="Bibliography"/>
      </w:pPr>
      <w:r>
        <w:t xml:space="preserve">Hobbie, E. A., &amp; Ouimette, A. P. (2009). Controls of nitrogen isotope patterns in soil profiles. </w:t>
      </w:r>
      <w:r>
        <w:rPr>
          <w:i/>
          <w:iCs/>
        </w:rPr>
        <w:t>Biogeochemistry</w:t>
      </w:r>
      <w:r>
        <w:t xml:space="preserve">, </w:t>
      </w:r>
      <w:r>
        <w:rPr>
          <w:i/>
          <w:iCs/>
        </w:rPr>
        <w:t>95</w:t>
      </w:r>
      <w:r>
        <w:t>(2–3), 355–371. https://doi.org/10.1007/s10533-009-9328-6</w:t>
      </w:r>
    </w:p>
    <w:p w14:paraId="025B60A7" w14:textId="77777777" w:rsidR="00276430" w:rsidRDefault="00276430" w:rsidP="00276430">
      <w:pPr>
        <w:pStyle w:val="Bibliography"/>
      </w:pPr>
      <w:r>
        <w:t xml:space="preserve">Hobbie, E. A., Sánchez, F. S., &amp; Rygiewicz, P. T. (2012). Controls of isotopic patterns in saprotrophic and ectomycorrhizal fungi. </w:t>
      </w:r>
      <w:r>
        <w:rPr>
          <w:i/>
          <w:iCs/>
        </w:rPr>
        <w:t>Soil Biology and Biochemistry</w:t>
      </w:r>
      <w:r>
        <w:t xml:space="preserve">, </w:t>
      </w:r>
      <w:r>
        <w:rPr>
          <w:i/>
          <w:iCs/>
        </w:rPr>
        <w:t>48</w:t>
      </w:r>
      <w:r>
        <w:t>, 60–68. https://doi.org/10.1016/j.soilbio.2012.01.014</w:t>
      </w:r>
    </w:p>
    <w:p w14:paraId="06979B59" w14:textId="77777777" w:rsidR="00276430" w:rsidRDefault="00276430" w:rsidP="00276430">
      <w:pPr>
        <w:pStyle w:val="Bibliography"/>
      </w:pPr>
      <w:r>
        <w:t xml:space="preserve">Hobbie, J. E., &amp; Hobbie, E. A. (2006). 15n in Symbiotic Fungi and Plants Estimates Nitrogen and Carbon Flux Rates in Arctic Tundra. </w:t>
      </w:r>
      <w:r>
        <w:rPr>
          <w:i/>
          <w:iCs/>
        </w:rPr>
        <w:t>Ecology</w:t>
      </w:r>
      <w:r>
        <w:t xml:space="preserve">, </w:t>
      </w:r>
      <w:r>
        <w:rPr>
          <w:i/>
          <w:iCs/>
        </w:rPr>
        <w:t>87</w:t>
      </w:r>
      <w:r>
        <w:t>(4), 816–822. https://doi.org/10.1890/0012-9658(2006)87[816:NISFAP]2.0.CO;2</w:t>
      </w:r>
    </w:p>
    <w:p w14:paraId="012F4D0D" w14:textId="77777777" w:rsidR="00276430" w:rsidRDefault="00276430" w:rsidP="00276430">
      <w:pPr>
        <w:pStyle w:val="Bibliography"/>
      </w:pPr>
      <w:r>
        <w:t xml:space="preserve">Hocking, M. D., Dulvy, N. K., Reynolds, J. D., Ring, R. A., &amp; Reimchen, T. E. (2013). Salmon subsidize an escape from a size spectrum. </w:t>
      </w:r>
      <w:r>
        <w:rPr>
          <w:i/>
          <w:iCs/>
        </w:rPr>
        <w:t>Proceedings of the Royal Society of London B: Biological Sciences</w:t>
      </w:r>
      <w:r>
        <w:t xml:space="preserve">, </w:t>
      </w:r>
      <w:r>
        <w:rPr>
          <w:i/>
          <w:iCs/>
        </w:rPr>
        <w:t>280</w:t>
      </w:r>
      <w:r>
        <w:t>(1753), 20122433. https://doi.org/10.1098/rspb.2012.2433</w:t>
      </w:r>
    </w:p>
    <w:p w14:paraId="0EAB9A2C" w14:textId="77777777" w:rsidR="00276430" w:rsidRDefault="00276430" w:rsidP="00276430">
      <w:pPr>
        <w:pStyle w:val="Bibliography"/>
      </w:pPr>
      <w:r>
        <w:t xml:space="preserve">Hocking, M. D., &amp; Reimchen, T. E. (2002). </w:t>
      </w:r>
      <w:r>
        <w:rPr>
          <w:i/>
          <w:iCs/>
        </w:rPr>
        <w:t>Salmon-derived nitrogen in terrestrial invertebrates from coniferous forests of the Pacific Northwest</w:t>
      </w:r>
      <w:r>
        <w:t>. https://dspace.library.uvic.ca//handle/1828/5039</w:t>
      </w:r>
    </w:p>
    <w:p w14:paraId="684645E1" w14:textId="77777777" w:rsidR="00276430" w:rsidRDefault="00276430" w:rsidP="00276430">
      <w:pPr>
        <w:pStyle w:val="Bibliography"/>
      </w:pPr>
      <w:r>
        <w:t xml:space="preserve">Hocking, M. D., &amp; Reimchen, T. E. (2006). Consumption and distribution of salmon (Oncorhynchus spp.) nutrients and energy by terrestrial flies. </w:t>
      </w:r>
      <w:r>
        <w:rPr>
          <w:i/>
          <w:iCs/>
        </w:rPr>
        <w:t>Canadian Journal of Fisheries and Aquatic Sciences</w:t>
      </w:r>
      <w:r>
        <w:t xml:space="preserve">, </w:t>
      </w:r>
      <w:r>
        <w:rPr>
          <w:i/>
          <w:iCs/>
        </w:rPr>
        <w:t>63</w:t>
      </w:r>
      <w:r>
        <w:t>(9), 2076–2086. https://doi.org/10.1139/f06-110</w:t>
      </w:r>
    </w:p>
    <w:p w14:paraId="6AF3BA7F" w14:textId="77777777" w:rsidR="00276430" w:rsidRDefault="00276430" w:rsidP="00276430">
      <w:pPr>
        <w:pStyle w:val="Bibliography"/>
      </w:pPr>
      <w:r>
        <w:t xml:space="preserve">Hocking, M. D., &amp; Reimchen, T. E. (2009). Salmon species, density and watershed size predict magnitude of marine enrichment in riparian food webs. </w:t>
      </w:r>
      <w:r>
        <w:rPr>
          <w:i/>
          <w:iCs/>
        </w:rPr>
        <w:t>Oikos</w:t>
      </w:r>
      <w:r>
        <w:t xml:space="preserve">, </w:t>
      </w:r>
      <w:r>
        <w:rPr>
          <w:i/>
          <w:iCs/>
        </w:rPr>
        <w:t>118</w:t>
      </w:r>
      <w:r>
        <w:t>(9), 1307–1318. https://doi.org/10.1111/j.1600-0706.2009.17302.x</w:t>
      </w:r>
    </w:p>
    <w:p w14:paraId="23468822" w14:textId="77777777" w:rsidR="00276430" w:rsidRDefault="00276430" w:rsidP="00276430">
      <w:pPr>
        <w:pStyle w:val="Bibliography"/>
      </w:pPr>
      <w:r>
        <w:t xml:space="preserve">Hocking, M. D., &amp; Reynolds, J. D. (2011). Impacts of Salmon on Riparian Plant Diversity. </w:t>
      </w:r>
      <w:r>
        <w:rPr>
          <w:i/>
          <w:iCs/>
        </w:rPr>
        <w:t>Science</w:t>
      </w:r>
      <w:r>
        <w:t xml:space="preserve">, </w:t>
      </w:r>
      <w:r>
        <w:rPr>
          <w:i/>
          <w:iCs/>
        </w:rPr>
        <w:t>331</w:t>
      </w:r>
      <w:r>
        <w:t>(6024), 1609–1612. https://doi.org/10.1126/science.1201079</w:t>
      </w:r>
    </w:p>
    <w:p w14:paraId="63E14CB4" w14:textId="77777777" w:rsidR="00276430" w:rsidRDefault="00276430" w:rsidP="00276430">
      <w:pPr>
        <w:pStyle w:val="Bibliography"/>
      </w:pPr>
      <w:r>
        <w:t xml:space="preserve">Hocking, M. D., &amp; Reynolds, J. D. (2012). Nitrogen uptake by plants subsidized by Pacific salmon carcasses: A hierarchical experiment. </w:t>
      </w:r>
      <w:r>
        <w:rPr>
          <w:i/>
          <w:iCs/>
        </w:rPr>
        <w:t>Canadian Journal of Forest Research</w:t>
      </w:r>
      <w:r>
        <w:t xml:space="preserve">, </w:t>
      </w:r>
      <w:r>
        <w:rPr>
          <w:i/>
          <w:iCs/>
        </w:rPr>
        <w:t>42</w:t>
      </w:r>
      <w:r>
        <w:t>(5), 908–917. https://doi.org/10.1139/x2012-045</w:t>
      </w:r>
    </w:p>
    <w:p w14:paraId="554872C0" w14:textId="77777777" w:rsidR="00276430" w:rsidRDefault="00276430" w:rsidP="00276430">
      <w:pPr>
        <w:pStyle w:val="Bibliography"/>
      </w:pPr>
      <w:r>
        <w:t xml:space="preserve">Hocking, M. D., Ring, R. A., &amp; Reimchen, T. E. (2009). The ecology of terrestrial invertebrates on Pacific salmon carcasses. </w:t>
      </w:r>
      <w:r>
        <w:rPr>
          <w:i/>
          <w:iCs/>
        </w:rPr>
        <w:t>Ecological Research</w:t>
      </w:r>
      <w:r>
        <w:t xml:space="preserve">, </w:t>
      </w:r>
      <w:r>
        <w:rPr>
          <w:i/>
          <w:iCs/>
        </w:rPr>
        <w:t>24</w:t>
      </w:r>
      <w:r>
        <w:t>(5), 1091–1100. https://doi.org/10.1007/s11284-009-0586-5</w:t>
      </w:r>
    </w:p>
    <w:p w14:paraId="57671607" w14:textId="77777777" w:rsidR="00276430" w:rsidRDefault="00276430" w:rsidP="00276430">
      <w:pPr>
        <w:pStyle w:val="Bibliography"/>
      </w:pPr>
      <w:r>
        <w:t xml:space="preserve">Högberg, M. N., Briones, M. J. I., Keel, S. G., Metcalfe, D. B., Campbell, C., Midwood, A. J., Thornton, B., Hurry, V., Linder, S., Näsholm, T., &amp; Högberg, P. (2010). Quantification of effects of season and nitrogen supply on tree below-ground carbon transfer to ectomycorrhizal fungi and other soil organisms in a boreal pine forest. </w:t>
      </w:r>
      <w:r>
        <w:rPr>
          <w:i/>
          <w:iCs/>
        </w:rPr>
        <w:t>New Phytologist</w:t>
      </w:r>
      <w:r>
        <w:t xml:space="preserve">, </w:t>
      </w:r>
      <w:r>
        <w:rPr>
          <w:i/>
          <w:iCs/>
        </w:rPr>
        <w:t>187</w:t>
      </w:r>
      <w:r>
        <w:t>(2), 485–493. https://doi.org/10.1111/j.1469-8137.2010.03274.x</w:t>
      </w:r>
    </w:p>
    <w:p w14:paraId="28C4E210" w14:textId="77777777" w:rsidR="00276430" w:rsidRDefault="00276430" w:rsidP="00276430">
      <w:pPr>
        <w:pStyle w:val="Bibliography"/>
      </w:pPr>
      <w:r>
        <w:t xml:space="preserve">Högberg, P., Johannisson, C., Yarwood, S., Callesen, I., Näsholm, T., Myrold, D. D., &amp; Högberg, M. N. (2011). Recovery of ectomycorrhiza after ‘nitrogen saturation’of a conifer forest. </w:t>
      </w:r>
      <w:r>
        <w:rPr>
          <w:i/>
          <w:iCs/>
        </w:rPr>
        <w:t>New Phytologist</w:t>
      </w:r>
      <w:r>
        <w:t xml:space="preserve">, </w:t>
      </w:r>
      <w:r>
        <w:rPr>
          <w:i/>
          <w:iCs/>
        </w:rPr>
        <w:t>189</w:t>
      </w:r>
      <w:r>
        <w:t>(2), 515–525.</w:t>
      </w:r>
    </w:p>
    <w:p w14:paraId="24213949" w14:textId="77777777" w:rsidR="00276430" w:rsidRDefault="00276430" w:rsidP="00276430">
      <w:pPr>
        <w:pStyle w:val="Bibliography"/>
      </w:pPr>
      <w:r>
        <w:t xml:space="preserve">Holtgrieve, G. W., &amp; Schindler, D. E. (2011). Marine-derived nutrients, bioturbation, and ecosystem metabolism: Reconsidering the role of salmon in streams. </w:t>
      </w:r>
      <w:r>
        <w:rPr>
          <w:i/>
          <w:iCs/>
        </w:rPr>
        <w:t>Ecology</w:t>
      </w:r>
      <w:r>
        <w:t xml:space="preserve">, </w:t>
      </w:r>
      <w:r>
        <w:rPr>
          <w:i/>
          <w:iCs/>
        </w:rPr>
        <w:t>92</w:t>
      </w:r>
      <w:r>
        <w:t>(2), 373–385. https://doi.org/10.1890/09-1694.1</w:t>
      </w:r>
    </w:p>
    <w:p w14:paraId="299F6536" w14:textId="77777777" w:rsidR="00276430" w:rsidRDefault="00276430" w:rsidP="00276430">
      <w:pPr>
        <w:pStyle w:val="Bibliography"/>
      </w:pPr>
      <w:r>
        <w:t xml:space="preserve">Holtgrieve, G. W., Schindler, D. E., &amp; Jewett, P. K. (2009). Large predators and biogeochemical hotspots: Brown bear (Ursus arctos) predation on salmon alters nitrogen cycling in riparian soils. </w:t>
      </w:r>
      <w:r>
        <w:rPr>
          <w:i/>
          <w:iCs/>
        </w:rPr>
        <w:t>Ecological Research</w:t>
      </w:r>
      <w:r>
        <w:t xml:space="preserve">, </w:t>
      </w:r>
      <w:r>
        <w:rPr>
          <w:i/>
          <w:iCs/>
        </w:rPr>
        <w:t>24</w:t>
      </w:r>
      <w:r>
        <w:t>(5), 1125–1135. https://doi.org/10.1007/s11284-009-0591-8</w:t>
      </w:r>
    </w:p>
    <w:p w14:paraId="62FA8B3A" w14:textId="77777777" w:rsidR="00276430" w:rsidRDefault="00276430" w:rsidP="00276430">
      <w:pPr>
        <w:pStyle w:val="Bibliography"/>
      </w:pPr>
      <w:r>
        <w:t xml:space="preserve">Homyak, P. M., Slessarev, E. W., Hagerty, S., Greene, A. C., Marchus, K., Dowdy, K., Iverson, S., &amp; Schimel, J. P. (2021). Amino acids dominate diffusive nitrogen fluxes across soil depths in acidic tussock tundra. </w:t>
      </w:r>
      <w:r>
        <w:rPr>
          <w:i/>
          <w:iCs/>
        </w:rPr>
        <w:t>New Phytologist</w:t>
      </w:r>
      <w:r>
        <w:t xml:space="preserve">, </w:t>
      </w:r>
      <w:r>
        <w:rPr>
          <w:i/>
          <w:iCs/>
        </w:rPr>
        <w:t>n/a</w:t>
      </w:r>
      <w:r>
        <w:t>(n/a). https://doi.org/10.1111/nph.17315</w:t>
      </w:r>
    </w:p>
    <w:p w14:paraId="40BC1C44" w14:textId="77777777" w:rsidR="00276430" w:rsidRDefault="00276430" w:rsidP="00276430">
      <w:pPr>
        <w:pStyle w:val="Bibliography"/>
      </w:pPr>
      <w:r>
        <w:t xml:space="preserve">Hood, E., Fellman, J. B., Edwards, R. T., D’Amore, D. V., &amp; Scott, D. (2019). Salmon-derived nutrient and organic matter fluxes from a coastal catchment in southeast Alaska. </w:t>
      </w:r>
      <w:r>
        <w:rPr>
          <w:i/>
          <w:iCs/>
        </w:rPr>
        <w:t>Freshwater Biology</w:t>
      </w:r>
      <w:r>
        <w:t xml:space="preserve">, </w:t>
      </w:r>
      <w:r>
        <w:rPr>
          <w:i/>
          <w:iCs/>
        </w:rPr>
        <w:t>64</w:t>
      </w:r>
      <w:r>
        <w:t>(6), 1157–1168. https://doi.org/10.1111/fwb.13292</w:t>
      </w:r>
    </w:p>
    <w:p w14:paraId="0B9541A3" w14:textId="77777777" w:rsidR="00276430" w:rsidRDefault="00276430" w:rsidP="00276430">
      <w:pPr>
        <w:pStyle w:val="Bibliography"/>
      </w:pPr>
      <w:r>
        <w:t xml:space="preserve">Hood, E., Fellman, J., &amp; Edwards, R. T. (2007). Salmon influences on dissolved organic matter in a coastal temperate brownwater stream: An application of fluorescence spectroscopy. </w:t>
      </w:r>
      <w:r>
        <w:rPr>
          <w:i/>
          <w:iCs/>
        </w:rPr>
        <w:t>Limnology and Oceanography</w:t>
      </w:r>
      <w:r>
        <w:t xml:space="preserve">, </w:t>
      </w:r>
      <w:r>
        <w:rPr>
          <w:i/>
          <w:iCs/>
        </w:rPr>
        <w:t>52</w:t>
      </w:r>
      <w:r>
        <w:t>(4), 1580–1587.</w:t>
      </w:r>
    </w:p>
    <w:p w14:paraId="7803B106" w14:textId="77777777" w:rsidR="00276430" w:rsidRDefault="00276430" w:rsidP="00276430">
      <w:pPr>
        <w:pStyle w:val="Bibliography"/>
      </w:pPr>
      <w:r>
        <w:t xml:space="preserve">Horton, T. R. (2017). Spore Dispersal in Ectomycorrhizal Fungi at Fine and Regional Scales. In L. Tedersoo (Ed.), </w:t>
      </w:r>
      <w:r>
        <w:rPr>
          <w:i/>
          <w:iCs/>
        </w:rPr>
        <w:t>Biogeography of Mycorrhizal Symbiosis</w:t>
      </w:r>
      <w:r>
        <w:t xml:space="preserve"> (pp. 61–78). Springer International Publishing. https://doi.org/10.1007/978-3-319-56363-3_3</w:t>
      </w:r>
    </w:p>
    <w:p w14:paraId="40AB36D4" w14:textId="77777777" w:rsidR="00276430" w:rsidRDefault="00276430" w:rsidP="00276430">
      <w:pPr>
        <w:pStyle w:val="Bibliography"/>
      </w:pPr>
      <w:r>
        <w:t xml:space="preserve">Huang, X., Terrer, C., Dijkstra, F. A., Hungate, B. A., Zhang, W., &amp; van Groenigen, K. J. (2020). New soil carbon sequestration with nitrogen enrichment: A meta-analysis. </w:t>
      </w:r>
      <w:r>
        <w:rPr>
          <w:i/>
          <w:iCs/>
        </w:rPr>
        <w:t>Plant and Soil</w:t>
      </w:r>
      <w:r>
        <w:t xml:space="preserve">, </w:t>
      </w:r>
      <w:r>
        <w:rPr>
          <w:i/>
          <w:iCs/>
        </w:rPr>
        <w:t>454</w:t>
      </w:r>
      <w:r>
        <w:t>(1), 299–310. https://doi.org/10.1007/s11104-020-04617-x</w:t>
      </w:r>
    </w:p>
    <w:p w14:paraId="03634267" w14:textId="77777777" w:rsidR="00276430" w:rsidRDefault="00276430" w:rsidP="00276430">
      <w:pPr>
        <w:pStyle w:val="Bibliography"/>
      </w:pPr>
      <w:r>
        <w:t xml:space="preserve">Hume, A. M., Chen, H. Y. H., &amp; Taylor, A. R. (2018). Intensive forest harvesting increases susceptibility of northern forest soils to carbon, nitrogen and phosphorus loss. </w:t>
      </w:r>
      <w:r>
        <w:rPr>
          <w:i/>
          <w:iCs/>
        </w:rPr>
        <w:t>Journal of Applied Ecology</w:t>
      </w:r>
      <w:r>
        <w:t xml:space="preserve">, </w:t>
      </w:r>
      <w:r>
        <w:rPr>
          <w:i/>
          <w:iCs/>
        </w:rPr>
        <w:t>55</w:t>
      </w:r>
      <w:r>
        <w:t>(1), 246–255. https://doi.org/10.1111/1365-2664.12942</w:t>
      </w:r>
    </w:p>
    <w:p w14:paraId="11F725AA" w14:textId="77777777" w:rsidR="00276430" w:rsidRDefault="00276430" w:rsidP="00276430">
      <w:pPr>
        <w:pStyle w:val="Bibliography"/>
      </w:pPr>
      <w:r>
        <w:t xml:space="preserve">Huntsman, A. G. (1948). Fertility and fertilization of streams. </w:t>
      </w:r>
      <w:r>
        <w:rPr>
          <w:i/>
          <w:iCs/>
        </w:rPr>
        <w:t>Journal of the Fisheries Board of Canada</w:t>
      </w:r>
      <w:r>
        <w:t xml:space="preserve">, </w:t>
      </w:r>
      <w:r>
        <w:rPr>
          <w:i/>
          <w:iCs/>
        </w:rPr>
        <w:t>7</w:t>
      </w:r>
      <w:r>
        <w:t>(5), 248–253.</w:t>
      </w:r>
    </w:p>
    <w:p w14:paraId="516C9FBB" w14:textId="77777777" w:rsidR="00276430" w:rsidRDefault="00276430" w:rsidP="00276430">
      <w:pPr>
        <w:pStyle w:val="Bibliography"/>
      </w:pPr>
      <w:r>
        <w:t xml:space="preserve">Hurteau, L. A., Mooers, A. Ø., Reynolds, J. D., &amp; Hocking, M. D. (2016). Salmon nutrients are associated with the phylogenetic dispersion of riparian flowering-plant assemblages. </w:t>
      </w:r>
      <w:r>
        <w:rPr>
          <w:i/>
          <w:iCs/>
        </w:rPr>
        <w:t>Ecology</w:t>
      </w:r>
      <w:r>
        <w:t xml:space="preserve">, </w:t>
      </w:r>
      <w:r>
        <w:rPr>
          <w:i/>
          <w:iCs/>
        </w:rPr>
        <w:t>97</w:t>
      </w:r>
      <w:r>
        <w:t>(2), 450–460. https://doi.org/10.1890/15-0379.1</w:t>
      </w:r>
    </w:p>
    <w:p w14:paraId="4F38B2E2" w14:textId="77777777" w:rsidR="00276430" w:rsidRDefault="00276430" w:rsidP="00276430">
      <w:pPr>
        <w:pStyle w:val="Bibliography"/>
      </w:pPr>
      <w:r>
        <w:t xml:space="preserve">Hyatt, K. D., McQueen, D. J., Shortreed, K. S., &amp; Rankin, D. P. (2004). Sockeye salmon (Oncorhynchus nerka) nursery lake fertilization: Review and summary of results. </w:t>
      </w:r>
      <w:r>
        <w:rPr>
          <w:i/>
          <w:iCs/>
        </w:rPr>
        <w:t>Environmental Reviews</w:t>
      </w:r>
      <w:r>
        <w:t xml:space="preserve">, </w:t>
      </w:r>
      <w:r>
        <w:rPr>
          <w:i/>
          <w:iCs/>
        </w:rPr>
        <w:t>12</w:t>
      </w:r>
      <w:r>
        <w:t>(3), 133–162.</w:t>
      </w:r>
    </w:p>
    <w:p w14:paraId="4D335BCC" w14:textId="77777777" w:rsidR="00276430" w:rsidRDefault="00276430" w:rsidP="00276430">
      <w:pPr>
        <w:pStyle w:val="Bibliography"/>
      </w:pPr>
      <w:r>
        <w:t xml:space="preserve">Hynicka, J. D., Pett-Ridge, J. C., &amp; Perakis, S. S. (2016). Nitrogen enrichment regulates calcium sources in forests. </w:t>
      </w:r>
      <w:r>
        <w:rPr>
          <w:i/>
          <w:iCs/>
        </w:rPr>
        <w:t>Global Change Biology</w:t>
      </w:r>
      <w:r>
        <w:t xml:space="preserve">, </w:t>
      </w:r>
      <w:r>
        <w:rPr>
          <w:i/>
          <w:iCs/>
        </w:rPr>
        <w:t>22</w:t>
      </w:r>
      <w:r>
        <w:t>(12), 4067–4079.</w:t>
      </w:r>
    </w:p>
    <w:p w14:paraId="465576D4" w14:textId="77777777" w:rsidR="00276430" w:rsidRDefault="00276430" w:rsidP="00276430">
      <w:pPr>
        <w:pStyle w:val="Bibliography"/>
      </w:pPr>
      <w:r>
        <w:t xml:space="preserve">Ignace, R. E. (2009). </w:t>
      </w:r>
      <w:r>
        <w:rPr>
          <w:i/>
          <w:iCs/>
        </w:rPr>
        <w:t>Our oral histories are our iron posts: Secwépemc stories and historical consciousness</w:t>
      </w:r>
      <w:r>
        <w:t>. Library and Archives Canada = Bibliothèque et Archives Canada.</w:t>
      </w:r>
    </w:p>
    <w:p w14:paraId="57BC7510" w14:textId="77777777" w:rsidR="00276430" w:rsidRDefault="00276430" w:rsidP="00276430">
      <w:pPr>
        <w:pStyle w:val="Bibliography"/>
      </w:pPr>
      <w:r>
        <w:t xml:space="preserve">Ihrmark, K., Bödeker, I. T. M., Cruz-Martinez, K., Friberg, H., Kubartova, A., Schenck, J., Strid, Y., Stenlid, J., Brandström-Durling, M., Clemmensen, K. E., &amp; Lindahl, B. D. (2012). New primers to amplify the fungal ITS2 region – evaluation by 454-sequencing of artificial and natural communities. </w:t>
      </w:r>
      <w:r>
        <w:rPr>
          <w:i/>
          <w:iCs/>
        </w:rPr>
        <w:t>FEMS Microbiology Ecology</w:t>
      </w:r>
      <w:r>
        <w:t xml:space="preserve">, </w:t>
      </w:r>
      <w:r>
        <w:rPr>
          <w:i/>
          <w:iCs/>
        </w:rPr>
        <w:t>82</w:t>
      </w:r>
      <w:r>
        <w:t>(3), 666–677. https://doi.org/10.1111/j.1574-6941.2012.01437.x</w:t>
      </w:r>
    </w:p>
    <w:p w14:paraId="73E3BCAD" w14:textId="77777777" w:rsidR="00276430" w:rsidRDefault="00276430" w:rsidP="00276430">
      <w:pPr>
        <w:pStyle w:val="Bibliography"/>
      </w:pPr>
      <w:r>
        <w:rPr>
          <w:i/>
          <w:iCs/>
        </w:rPr>
        <w:t>IMapBC</w:t>
      </w:r>
      <w:r>
        <w:t>. (2018). Ministry of Citizens Services BC. https://www2.gov.bc.ca/gov/content/data/geographic-data-services/web-based-mapping/imapbc</w:t>
      </w:r>
    </w:p>
    <w:p w14:paraId="02CA3F33" w14:textId="77777777" w:rsidR="00276430" w:rsidRDefault="00276430" w:rsidP="00276430">
      <w:pPr>
        <w:pStyle w:val="Bibliography"/>
      </w:pPr>
      <w:r>
        <w:t xml:space="preserve">Isaak, D. J., Young, M. K., Nagel, D. E., Horan, D. L., &amp; Groce, M. C. (2015). The cold-water climate shield: Delineating refugia for preserving salmonid fishes through the 21st century. </w:t>
      </w:r>
      <w:r>
        <w:rPr>
          <w:i/>
          <w:iCs/>
        </w:rPr>
        <w:t>Global Change Biology</w:t>
      </w:r>
      <w:r>
        <w:t xml:space="preserve">, </w:t>
      </w:r>
      <w:r>
        <w:rPr>
          <w:i/>
          <w:iCs/>
        </w:rPr>
        <w:t>21</w:t>
      </w:r>
      <w:r>
        <w:t>(7), 2540–2553. https://doi.org/10.1111/gcb.12879</w:t>
      </w:r>
    </w:p>
    <w:p w14:paraId="23E72EDE" w14:textId="77777777" w:rsidR="00276430" w:rsidRDefault="00276430" w:rsidP="00276430">
      <w:pPr>
        <w:pStyle w:val="Bibliography"/>
      </w:pPr>
      <w:r>
        <w:t xml:space="preserve">Jackson, S. L., &amp; Heath, I. B. (1993). Roles of calcium ions in hyphal tip growth. </w:t>
      </w:r>
      <w:r>
        <w:rPr>
          <w:i/>
          <w:iCs/>
        </w:rPr>
        <w:t>Microbiological Reviews</w:t>
      </w:r>
      <w:r>
        <w:t xml:space="preserve">, </w:t>
      </w:r>
      <w:r>
        <w:rPr>
          <w:i/>
          <w:iCs/>
        </w:rPr>
        <w:t>57</w:t>
      </w:r>
      <w:r>
        <w:t>(2), 367–382.</w:t>
      </w:r>
    </w:p>
    <w:p w14:paraId="76FDBBFC" w14:textId="77777777" w:rsidR="00276430" w:rsidRDefault="00276430" w:rsidP="00276430">
      <w:pPr>
        <w:pStyle w:val="Bibliography"/>
      </w:pPr>
      <w:r>
        <w:t xml:space="preserve">Jansson, J. K., &amp; Hofmockel, K. S. (2018). The soil microbiome—From metagenomics to metaphenomics. </w:t>
      </w:r>
      <w:r>
        <w:rPr>
          <w:i/>
          <w:iCs/>
        </w:rPr>
        <w:t>Current Opinion in Microbiology</w:t>
      </w:r>
      <w:r>
        <w:t xml:space="preserve">, </w:t>
      </w:r>
      <w:r>
        <w:rPr>
          <w:i/>
          <w:iCs/>
        </w:rPr>
        <w:t>43</w:t>
      </w:r>
      <w:r>
        <w:t>, 162–168. https://doi.org/10.1016/j.mib.2018.01.013</w:t>
      </w:r>
    </w:p>
    <w:p w14:paraId="7F21B25F" w14:textId="77777777" w:rsidR="00276430" w:rsidRDefault="00276430" w:rsidP="00276430">
      <w:pPr>
        <w:pStyle w:val="Bibliography"/>
      </w:pPr>
      <w:r>
        <w:t xml:space="preserve">Ji, B., Yang, K., Zhu, L., Jiang, Y., Wang, H., Zhou, J., &amp; Zhang, H. (2015). Aerobic denitrification: A review of important advances of the last 30 years. </w:t>
      </w:r>
      <w:r>
        <w:rPr>
          <w:i/>
          <w:iCs/>
        </w:rPr>
        <w:t>Biotechnology and Bioprocess Engineering</w:t>
      </w:r>
      <w:r>
        <w:t xml:space="preserve">, </w:t>
      </w:r>
      <w:r>
        <w:rPr>
          <w:i/>
          <w:iCs/>
        </w:rPr>
        <w:t>20</w:t>
      </w:r>
      <w:r>
        <w:t>(4), 643–651. https://doi.org/10.1007/s12257-015-0009-0</w:t>
      </w:r>
    </w:p>
    <w:p w14:paraId="4AC4E238" w14:textId="77777777" w:rsidR="00276430" w:rsidRDefault="00276430" w:rsidP="00276430">
      <w:pPr>
        <w:pStyle w:val="Bibliography"/>
      </w:pPr>
      <w:r>
        <w:t xml:space="preserve">Jiang, J., Wang, Y.-P., Yu, M., Cao, N., &amp; Yan, J. (2018). Soil organic matter is important for acid buffering and reducing aluminum leaching from acidic forest soils. </w:t>
      </w:r>
      <w:r>
        <w:rPr>
          <w:i/>
          <w:iCs/>
        </w:rPr>
        <w:t>Chemical Geology</w:t>
      </w:r>
      <w:r>
        <w:t xml:space="preserve">, </w:t>
      </w:r>
      <w:r>
        <w:rPr>
          <w:i/>
          <w:iCs/>
        </w:rPr>
        <w:t>501</w:t>
      </w:r>
      <w:r>
        <w:t>, 86–94. https://doi.org/10.1016/j.chemgeo.2018.10.009</w:t>
      </w:r>
    </w:p>
    <w:p w14:paraId="7E2753FC" w14:textId="77777777" w:rsidR="00276430" w:rsidRDefault="00276430" w:rsidP="00276430">
      <w:pPr>
        <w:pStyle w:val="Bibliography"/>
      </w:pPr>
      <w:r>
        <w:t xml:space="preserve">Jin, H., Liu, J., Liu, J., &amp; Huang, X. (2012). Forms of nitrogen uptake, translocation, and transfer via arbuscular mycorrhizal fungi: A review. </w:t>
      </w:r>
      <w:r>
        <w:rPr>
          <w:i/>
          <w:iCs/>
        </w:rPr>
        <w:t>Science China Life Sciences</w:t>
      </w:r>
      <w:r>
        <w:t xml:space="preserve">, </w:t>
      </w:r>
      <w:r>
        <w:rPr>
          <w:i/>
          <w:iCs/>
        </w:rPr>
        <w:t>55</w:t>
      </w:r>
      <w:r>
        <w:t>(6), 474–482. https://doi.org/10.1007/s11427-012-4330-y</w:t>
      </w:r>
    </w:p>
    <w:p w14:paraId="45CDDBFD" w14:textId="77777777" w:rsidR="00276430" w:rsidRDefault="00276430" w:rsidP="00276430">
      <w:pPr>
        <w:pStyle w:val="Bibliography"/>
      </w:pPr>
      <w:r>
        <w:t xml:space="preserve">Johnston, N. T., Perrin, C. J., Slaney, P. A., &amp; Ward, B. R. (1990). Increased juvenile salmonid growth by whole-river fertilization. </w:t>
      </w:r>
      <w:r>
        <w:rPr>
          <w:i/>
          <w:iCs/>
        </w:rPr>
        <w:t>Canadian Journal of Fisheries and Aquatic Sciences</w:t>
      </w:r>
      <w:r>
        <w:t xml:space="preserve">, </w:t>
      </w:r>
      <w:r>
        <w:rPr>
          <w:i/>
          <w:iCs/>
        </w:rPr>
        <w:t>47</w:t>
      </w:r>
      <w:r>
        <w:t>(5), 862–872.</w:t>
      </w:r>
    </w:p>
    <w:p w14:paraId="057D530E" w14:textId="77777777" w:rsidR="00276430" w:rsidRDefault="00276430" w:rsidP="00276430">
      <w:pPr>
        <w:pStyle w:val="Bibliography"/>
      </w:pPr>
      <w:r>
        <w:t xml:space="preserve">Jones, M. D., Phillips, L. A., Treu, R., Ward, V., &amp; Berch, S. M. (2012). Functional responses of ectomycorrhizal fungal communities to long-term fertilization of lodgepole pine (Pinus contorta Dougl. Ex Loud. Var. Latifolia Engelm.) stands in central British Columbia. </w:t>
      </w:r>
      <w:r>
        <w:rPr>
          <w:i/>
          <w:iCs/>
        </w:rPr>
        <w:t>Applied Soil Ecology</w:t>
      </w:r>
      <w:r>
        <w:t xml:space="preserve">, </w:t>
      </w:r>
      <w:r>
        <w:rPr>
          <w:i/>
          <w:iCs/>
        </w:rPr>
        <w:t>60</w:t>
      </w:r>
      <w:r>
        <w:t>, 29–40. https://doi.org/10.1016/j.apsoil.2012.01.010</w:t>
      </w:r>
    </w:p>
    <w:p w14:paraId="33E7E0E8" w14:textId="77777777" w:rsidR="00276430" w:rsidRDefault="00276430" w:rsidP="00276430">
      <w:pPr>
        <w:pStyle w:val="Bibliography"/>
      </w:pPr>
      <w:r>
        <w:t xml:space="preserve">Juday, C., Rich, W. H., Kemmerer, G. I., &amp; Mann, A. (1932). Limnological studies of Karluk Lake, Alaska. </w:t>
      </w:r>
      <w:r>
        <w:rPr>
          <w:i/>
          <w:iCs/>
        </w:rPr>
        <w:t>Fishery Bulletin</w:t>
      </w:r>
      <w:r>
        <w:t xml:space="preserve">, </w:t>
      </w:r>
      <w:r>
        <w:rPr>
          <w:i/>
          <w:iCs/>
        </w:rPr>
        <w:t>12</w:t>
      </w:r>
      <w:r>
        <w:t>, 407–436.</w:t>
      </w:r>
    </w:p>
    <w:p w14:paraId="61ABED2F" w14:textId="77777777" w:rsidR="00276430" w:rsidRDefault="00276430" w:rsidP="00276430">
      <w:pPr>
        <w:pStyle w:val="Bibliography"/>
      </w:pPr>
      <w:r>
        <w:t xml:space="preserve">Kalcsits, L. A., Buschhaus, H. A., &amp; Guy, R. D. (2014). Nitrogen isotope discrimination as an integrated measure of nitrogen fluxes, assimilation and allocation in plants. </w:t>
      </w:r>
      <w:r>
        <w:rPr>
          <w:i/>
          <w:iCs/>
        </w:rPr>
        <w:t>Physiologia Plantarum</w:t>
      </w:r>
      <w:r>
        <w:t xml:space="preserve">, </w:t>
      </w:r>
      <w:r>
        <w:rPr>
          <w:i/>
          <w:iCs/>
        </w:rPr>
        <w:t>151</w:t>
      </w:r>
      <w:r>
        <w:t>(3), 293–304. https://doi.org/10.1111/ppl.12167</w:t>
      </w:r>
    </w:p>
    <w:p w14:paraId="1BB71A2A" w14:textId="77777777" w:rsidR="00276430" w:rsidRDefault="00276430" w:rsidP="00276430">
      <w:pPr>
        <w:pStyle w:val="Bibliography"/>
      </w:pPr>
      <w:r>
        <w:t xml:space="preserve">Kanakidou, M., Myriokefalitakis, S., Daskalakis, N., Fanourgakis, G., Nenes, A., Baker, A. R., Tsigaridis, K., &amp; Mihalopoulos, N. (2016). Past, Present, and Future Atmospheric Nitrogen Deposition. </w:t>
      </w:r>
      <w:r>
        <w:rPr>
          <w:i/>
          <w:iCs/>
        </w:rPr>
        <w:t>Journal of the Atmospheric Sciences</w:t>
      </w:r>
      <w:r>
        <w:t xml:space="preserve">, </w:t>
      </w:r>
      <w:r>
        <w:rPr>
          <w:i/>
          <w:iCs/>
        </w:rPr>
        <w:t>73</w:t>
      </w:r>
      <w:r>
        <w:t>(5), 2039–2047. https://doi.org/10.1175/JAS-D-15-0278.1</w:t>
      </w:r>
    </w:p>
    <w:p w14:paraId="5A737AEC" w14:textId="77777777" w:rsidR="00276430" w:rsidRDefault="00276430" w:rsidP="00276430">
      <w:pPr>
        <w:pStyle w:val="Bibliography"/>
      </w:pPr>
      <w:r>
        <w:t xml:space="preserve">Kearse, M., Moir, R., Wilson, A., Stones-Havas, S., Cheung, M., Sturrock, S., Buxton, S., Cooper, A., Markowitz, S., Duran, C., Thierer, T., Ashton, B., Meintjes, P., &amp; Drummond, A. (2012). Geneious Basic: An integrated and extendable desktop software platform for the organization and analysis of sequence data. </w:t>
      </w:r>
      <w:r>
        <w:rPr>
          <w:i/>
          <w:iCs/>
        </w:rPr>
        <w:t>Bioinformatics</w:t>
      </w:r>
      <w:r>
        <w:t xml:space="preserve">, </w:t>
      </w:r>
      <w:r>
        <w:rPr>
          <w:i/>
          <w:iCs/>
        </w:rPr>
        <w:t>28</w:t>
      </w:r>
      <w:r>
        <w:t>(12), 1647–1649. https://doi.org/10.1093/bioinformatics/bts199</w:t>
      </w:r>
    </w:p>
    <w:p w14:paraId="1B3F9C62" w14:textId="77777777" w:rsidR="00276430" w:rsidRDefault="00276430" w:rsidP="00276430">
      <w:pPr>
        <w:pStyle w:val="Bibliography"/>
      </w:pPr>
      <w:r>
        <w:t xml:space="preserve">Kelly, B. C., Fernandez, M. P., Ikonomou, M. G., &amp; Knapp, W. (2008). Persistent organic pollutants in aquafeed and Pacific salmon smolts from fish hatcheries in British Columbia, Canada. </w:t>
      </w:r>
      <w:r>
        <w:rPr>
          <w:i/>
          <w:iCs/>
        </w:rPr>
        <w:t>Aquaculture</w:t>
      </w:r>
      <w:r>
        <w:t xml:space="preserve">, </w:t>
      </w:r>
      <w:r>
        <w:rPr>
          <w:i/>
          <w:iCs/>
        </w:rPr>
        <w:t>285</w:t>
      </w:r>
      <w:r>
        <w:t>(1–4), 224–233. https://doi.org/10.1016/j.aquaculture.2008.08.035</w:t>
      </w:r>
    </w:p>
    <w:p w14:paraId="725F1D9C" w14:textId="77777777" w:rsidR="00276430" w:rsidRDefault="00276430" w:rsidP="00276430">
      <w:pPr>
        <w:pStyle w:val="Bibliography"/>
      </w:pPr>
      <w:r>
        <w:t xml:space="preserve">Kelly, B. C., Gray, S. L., Ikonomou, M. G., Macdonald, J. S., Bandiera, S. M., &amp; Hrycay, E. G. (2007). Lipid Reserve Dynamics and Magnification of Persistent Organic Pollutants in Spawning Sockeye Salmon (Oncorhynchus nerka) from the Fraser River, British Columbia. </w:t>
      </w:r>
      <w:r>
        <w:rPr>
          <w:i/>
          <w:iCs/>
        </w:rPr>
        <w:t>Environmental Science &amp; Technology</w:t>
      </w:r>
      <w:r>
        <w:t xml:space="preserve">, </w:t>
      </w:r>
      <w:r>
        <w:rPr>
          <w:i/>
          <w:iCs/>
        </w:rPr>
        <w:t>41</w:t>
      </w:r>
      <w:r>
        <w:t>(9), 3083–3089. https://doi.org/10.1021/es061559n</w:t>
      </w:r>
    </w:p>
    <w:p w14:paraId="45FFEAD9" w14:textId="77777777" w:rsidR="00276430" w:rsidRDefault="00276430" w:rsidP="00276430">
      <w:pPr>
        <w:pStyle w:val="Bibliography"/>
      </w:pPr>
      <w:r>
        <w:t xml:space="preserve">Kemnitz, D., Kolb, S., &amp; Conrad, R. (2007). High abundance of Crenarchaeota in a temperate acidic forest soil. </w:t>
      </w:r>
      <w:r>
        <w:rPr>
          <w:i/>
          <w:iCs/>
        </w:rPr>
        <w:t>FEMS Microbiology Ecology</w:t>
      </w:r>
      <w:r>
        <w:t xml:space="preserve">, </w:t>
      </w:r>
      <w:r>
        <w:rPr>
          <w:i/>
          <w:iCs/>
        </w:rPr>
        <w:t>60</w:t>
      </w:r>
      <w:r>
        <w:t>(3), 442–448. https://doi.org/10.1111/j.1574-6941.2007.00310.x</w:t>
      </w:r>
    </w:p>
    <w:p w14:paraId="05E1665F" w14:textId="77777777" w:rsidR="00276430" w:rsidRDefault="00276430" w:rsidP="00276430">
      <w:pPr>
        <w:pStyle w:val="Bibliography"/>
      </w:pPr>
      <w:r>
        <w:t xml:space="preserve">Kim, H. M., Jung, J. Y., Yergeau, E., Hwang, C. Y., Hinzman, L., Nam, S., Hong, S. G., Kim, O.-S., Chun, J., &amp; Lee, Y. K. (2014). Bacterial community structure and soil properties of a subarctic tundra soil in Council, Alaska. </w:t>
      </w:r>
      <w:r>
        <w:rPr>
          <w:i/>
          <w:iCs/>
        </w:rPr>
        <w:t>Fems Microbiology Ecology</w:t>
      </w:r>
      <w:r>
        <w:t xml:space="preserve">, </w:t>
      </w:r>
      <w:r>
        <w:rPr>
          <w:i/>
          <w:iCs/>
        </w:rPr>
        <w:t>89</w:t>
      </w:r>
      <w:r>
        <w:t>(2), 465–475. https://doi.org/10.1111/1574-6941.12362</w:t>
      </w:r>
    </w:p>
    <w:p w14:paraId="3320EE54" w14:textId="77777777" w:rsidR="00276430" w:rsidRDefault="00276430" w:rsidP="00276430">
      <w:pPr>
        <w:pStyle w:val="Bibliography"/>
      </w:pPr>
      <w:r>
        <w:t xml:space="preserve">Kline, T. C. Jr., Goering, J. J., Mathisen, O. A., Poe, P. H., &amp; Parker, P. L. (1990). Recycling of Elements Transported Upstream by Runs of Pacific Salmon: I, δ15N and δ13C Evidence in Sashin Creek, Southeastern Alaska. </w:t>
      </w:r>
      <w:r>
        <w:rPr>
          <w:i/>
          <w:iCs/>
        </w:rPr>
        <w:t>Canadian Journal of Fisheries and Aquatic Sciences</w:t>
      </w:r>
      <w:r>
        <w:t xml:space="preserve">, </w:t>
      </w:r>
      <w:r>
        <w:rPr>
          <w:i/>
          <w:iCs/>
        </w:rPr>
        <w:t>47</w:t>
      </w:r>
      <w:r>
        <w:t>(1), 136–144. https://doi.org/10.1139/f90-014</w:t>
      </w:r>
    </w:p>
    <w:p w14:paraId="1163DF9D" w14:textId="77777777" w:rsidR="00276430" w:rsidRDefault="00276430" w:rsidP="00276430">
      <w:pPr>
        <w:pStyle w:val="Bibliography"/>
      </w:pPr>
      <w:r>
        <w:t xml:space="preserve">Klinka, K., Krajina, V. J., Ceska, A., &amp; Scagel, A. M. (1989). </w:t>
      </w:r>
      <w:r>
        <w:rPr>
          <w:i/>
          <w:iCs/>
        </w:rPr>
        <w:t>Indicator Plants of Coastal British Columbia</w:t>
      </w:r>
      <w:r>
        <w:t>. UBC Press.</w:t>
      </w:r>
    </w:p>
    <w:p w14:paraId="3F864E5F" w14:textId="77777777" w:rsidR="00276430" w:rsidRDefault="00276430" w:rsidP="00276430">
      <w:pPr>
        <w:pStyle w:val="Bibliography"/>
      </w:pPr>
      <w:r>
        <w:t xml:space="preserve">Knorr, M., Frey, S. D., &amp; Curtis, P. S. (2005). Nitrogen Additions and Litter Decomposition: A Meta-Analysis. </w:t>
      </w:r>
      <w:r>
        <w:rPr>
          <w:i/>
          <w:iCs/>
        </w:rPr>
        <w:t>Ecology</w:t>
      </w:r>
      <w:r>
        <w:t xml:space="preserve">, </w:t>
      </w:r>
      <w:r>
        <w:rPr>
          <w:i/>
          <w:iCs/>
        </w:rPr>
        <w:t>86</w:t>
      </w:r>
      <w:r>
        <w:t>(12), 3252–3257. https://doi.org/10.1890/05-0150</w:t>
      </w:r>
    </w:p>
    <w:p w14:paraId="1E795F2A" w14:textId="77777777" w:rsidR="00276430" w:rsidRDefault="00276430" w:rsidP="00276430">
      <w:pPr>
        <w:pStyle w:val="Bibliography"/>
      </w:pPr>
      <w:r>
        <w:t xml:space="preserve">Kohler, A. E., Kusnierz, P. C., Copeland, T., Venditti, D. A., Denny, L., Gable, J., Lewis, B. A., Kinzer, R., Barnett, B., &amp; Wipfli, M. S. (2013). Salmon-mediated nutrient flux in selected streams of the Columbia River basin, USA. </w:t>
      </w:r>
      <w:r>
        <w:rPr>
          <w:i/>
          <w:iCs/>
        </w:rPr>
        <w:t>Canadian Journal of Fisheries and Aquatic Sciences</w:t>
      </w:r>
      <w:r>
        <w:t xml:space="preserve">, </w:t>
      </w:r>
      <w:r>
        <w:rPr>
          <w:i/>
          <w:iCs/>
        </w:rPr>
        <w:t>70</w:t>
      </w:r>
      <w:r>
        <w:t>(3), 502–512. https://doi.org/10.1139/cjfas-2012-0347</w:t>
      </w:r>
    </w:p>
    <w:p w14:paraId="3144A121" w14:textId="77777777" w:rsidR="00276430" w:rsidRDefault="00276430" w:rsidP="00276430">
      <w:pPr>
        <w:pStyle w:val="Bibliography"/>
      </w:pPr>
      <w:r>
        <w:t xml:space="preserve">Kranabetter, J. M. (2019). Increasing soil carbon content with declining soil manganese in temperate rainforests: Is there a link to fungal Mn? </w:t>
      </w:r>
      <w:r>
        <w:rPr>
          <w:i/>
          <w:iCs/>
        </w:rPr>
        <w:t>Soil Biology and Biochemistry</w:t>
      </w:r>
      <w:r>
        <w:t xml:space="preserve">, </w:t>
      </w:r>
      <w:r>
        <w:rPr>
          <w:i/>
          <w:iCs/>
        </w:rPr>
        <w:t>128</w:t>
      </w:r>
      <w:r>
        <w:t>, 179–181. https://doi.org/10.1016/j.soilbio.2018.11.001</w:t>
      </w:r>
    </w:p>
    <w:p w14:paraId="30E644C8" w14:textId="77777777" w:rsidR="00276430" w:rsidRDefault="00276430" w:rsidP="00276430">
      <w:pPr>
        <w:pStyle w:val="Bibliography"/>
      </w:pPr>
      <w:r>
        <w:t xml:space="preserve">Kranabetter, J. M., Banner, A., &amp; Groot, A. de. (2005). An assessment of phosphorus limitations to soil nitrogen availability across forest ecosystems of north coastal British Columbia. </w:t>
      </w:r>
      <w:r>
        <w:rPr>
          <w:i/>
          <w:iCs/>
        </w:rPr>
        <w:t>Canadian Journal of Forest Research</w:t>
      </w:r>
      <w:r>
        <w:t xml:space="preserve">, </w:t>
      </w:r>
      <w:r>
        <w:rPr>
          <w:i/>
          <w:iCs/>
        </w:rPr>
        <w:t>35</w:t>
      </w:r>
      <w:r>
        <w:t>(3), 530–540. https://doi.org/10.1139/x04-192</w:t>
      </w:r>
    </w:p>
    <w:p w14:paraId="0CE985AD" w14:textId="77777777" w:rsidR="00276430" w:rsidRDefault="00276430" w:rsidP="00276430">
      <w:pPr>
        <w:pStyle w:val="Bibliography"/>
      </w:pPr>
      <w:r>
        <w:t xml:space="preserve">Kranabetter, J. M., &amp; MacKenzie, W. H. (2009). Contrasts Among Mycorrhizal Plant Guilds in Foliar Nitrogen Concentration and δ15N Along Productivity Gradients of a Boreal Forest. </w:t>
      </w:r>
      <w:r>
        <w:rPr>
          <w:i/>
          <w:iCs/>
        </w:rPr>
        <w:t>Ecosystems</w:t>
      </w:r>
      <w:r>
        <w:t xml:space="preserve">, </w:t>
      </w:r>
      <w:r>
        <w:rPr>
          <w:i/>
          <w:iCs/>
        </w:rPr>
        <w:t>13</w:t>
      </w:r>
      <w:r>
        <w:t>(1), 108–117. https://doi.org/10.1007/s10021-009-9304-y</w:t>
      </w:r>
    </w:p>
    <w:p w14:paraId="75B9E93A" w14:textId="77777777" w:rsidR="00276430" w:rsidRDefault="00276430" w:rsidP="00276430">
      <w:pPr>
        <w:pStyle w:val="Bibliography"/>
      </w:pPr>
      <w:r>
        <w:t xml:space="preserve">Kranabetter, J. M., Sholinder, A., &amp; deMontigny, L. (2020). </w:t>
      </w:r>
      <w:r>
        <w:rPr>
          <w:i/>
          <w:iCs/>
        </w:rPr>
        <w:t>Contrasting conifer species productivity in relation to soil carbon, nitrogen and phosphorus stoichiometry of British Columbia perhumid rainforests</w:t>
      </w:r>
      <w:r>
        <w:t>.</w:t>
      </w:r>
    </w:p>
    <w:p w14:paraId="78355CCA" w14:textId="77777777" w:rsidR="00276430" w:rsidRDefault="00276430" w:rsidP="00276430">
      <w:pPr>
        <w:pStyle w:val="Bibliography"/>
      </w:pPr>
      <w:r>
        <w:t xml:space="preserve">Krkošek, M., Connors, B. M., Morton, A., Lewis, M. A., Dill, L. M., &amp; Hilborn, R. (2011). Effects of parasites from salmon farms on productivity of wild salmon. </w:t>
      </w:r>
      <w:r>
        <w:rPr>
          <w:i/>
          <w:iCs/>
        </w:rPr>
        <w:t>Proceedings of the National Academy of Sciences</w:t>
      </w:r>
      <w:r>
        <w:t xml:space="preserve">, </w:t>
      </w:r>
      <w:r>
        <w:rPr>
          <w:i/>
          <w:iCs/>
        </w:rPr>
        <w:t>108</w:t>
      </w:r>
      <w:r>
        <w:t>(35), 14700–14704. https://doi.org/10.1073/pnas.1101845108</w:t>
      </w:r>
    </w:p>
    <w:p w14:paraId="3235A200" w14:textId="77777777" w:rsidR="00276430" w:rsidRDefault="00276430" w:rsidP="00276430">
      <w:pPr>
        <w:pStyle w:val="Bibliography"/>
      </w:pPr>
      <w:r>
        <w:t xml:space="preserve">Krümmel, E. M., Macdonald, R. W., Kimpe, L. E., Gregory-Eaves, I., Demers, M. J., Smol, J. P., Finney, B., &amp; Blais, J. M. (2003). Aquatic ecology: Delivery of pollutants by spawning salmon. </w:t>
      </w:r>
      <w:r>
        <w:rPr>
          <w:i/>
          <w:iCs/>
        </w:rPr>
        <w:t>Nature</w:t>
      </w:r>
      <w:r>
        <w:t xml:space="preserve">, </w:t>
      </w:r>
      <w:r>
        <w:rPr>
          <w:i/>
          <w:iCs/>
        </w:rPr>
        <w:t>425</w:t>
      </w:r>
      <w:r>
        <w:t>(6955), 255–256. https://doi.org/10.1038/425255a</w:t>
      </w:r>
    </w:p>
    <w:p w14:paraId="4E94B423" w14:textId="77777777" w:rsidR="00276430" w:rsidRDefault="00276430" w:rsidP="00276430">
      <w:pPr>
        <w:pStyle w:val="Bibliography"/>
      </w:pPr>
      <w:r>
        <w:t xml:space="preserve">Kuehn, C. (2014). </w:t>
      </w:r>
      <w:r>
        <w:rPr>
          <w:i/>
          <w:iCs/>
        </w:rPr>
        <w:t>A Second North American Hot-spot: Pleistocene Volcanism in the Anahim Volcanic Belt, west-central British Columbia</w:t>
      </w:r>
      <w:r>
        <w:t>. http://dx.doi.org/10.11575/PRISM/25002</w:t>
      </w:r>
    </w:p>
    <w:p w14:paraId="39CF9043" w14:textId="77777777" w:rsidR="00276430" w:rsidRDefault="00276430" w:rsidP="00276430">
      <w:pPr>
        <w:pStyle w:val="Bibliography"/>
      </w:pPr>
      <w:r>
        <w:t xml:space="preserve">Kuhn, M. (2008). Building Predictive Models in R Using the caret Package. </w:t>
      </w:r>
      <w:r>
        <w:rPr>
          <w:i/>
          <w:iCs/>
        </w:rPr>
        <w:t>Journal of Statistical Software</w:t>
      </w:r>
      <w:r>
        <w:t xml:space="preserve">, </w:t>
      </w:r>
      <w:r>
        <w:rPr>
          <w:i/>
          <w:iCs/>
        </w:rPr>
        <w:t>28</w:t>
      </w:r>
      <w:r>
        <w:t>(1), 1–26. https://doi.org/10.18637/jss.v028.i05</w:t>
      </w:r>
    </w:p>
    <w:p w14:paraId="6ADE233E" w14:textId="77777777" w:rsidR="00276430" w:rsidRDefault="00276430" w:rsidP="00276430">
      <w:pPr>
        <w:pStyle w:val="Bibliography"/>
      </w:pPr>
      <w:r>
        <w:t xml:space="preserve">Kutorga, E., Irsenaite, R., Iznova, T., Kasparavicius, J., Markovskaja, S., &amp; Motiejunaite, J. (2013). Species diversity and composition of fungal communities in a Scots pine forest affected by the great cormorant colony. </w:t>
      </w:r>
      <w:r>
        <w:rPr>
          <w:i/>
          <w:iCs/>
        </w:rPr>
        <w:t>Acta Mycologica</w:t>
      </w:r>
      <w:r>
        <w:t xml:space="preserve">, </w:t>
      </w:r>
      <w:r>
        <w:rPr>
          <w:i/>
          <w:iCs/>
        </w:rPr>
        <w:t>48</w:t>
      </w:r>
      <w:r>
        <w:t>(2). https://doi.org/10.5586/am.2013.019</w:t>
      </w:r>
    </w:p>
    <w:p w14:paraId="66FAF79C" w14:textId="77777777" w:rsidR="00276430" w:rsidRDefault="00276430" w:rsidP="00276430">
      <w:pPr>
        <w:pStyle w:val="Bibliography"/>
      </w:pPr>
      <w:r>
        <w:t xml:space="preserve">Kuzyakov, Y., &amp; Blagodatskaya, E. (2015). Microbial hotspots and hot moments in soil: Concept &amp; review. </w:t>
      </w:r>
      <w:r>
        <w:rPr>
          <w:i/>
          <w:iCs/>
        </w:rPr>
        <w:t>Soil Biology and Biochemistry</w:t>
      </w:r>
      <w:r>
        <w:t xml:space="preserve">, </w:t>
      </w:r>
      <w:r>
        <w:rPr>
          <w:i/>
          <w:iCs/>
        </w:rPr>
        <w:t>83</w:t>
      </w:r>
      <w:r>
        <w:t>, 184–199. https://doi.org/10.1016/j.soilbio.2015.01.025</w:t>
      </w:r>
    </w:p>
    <w:p w14:paraId="44F9FFB3" w14:textId="77777777" w:rsidR="00276430" w:rsidRDefault="00276430" w:rsidP="00276430">
      <w:pPr>
        <w:pStyle w:val="Bibliography"/>
      </w:pPr>
      <w:r>
        <w:t xml:space="preserve">Laatikainen, T., &amp; Heinonen-Tanski, H. (2002). Mycorrhizal growth in pure cultures in the presence of pesticides. </w:t>
      </w:r>
      <w:r>
        <w:rPr>
          <w:i/>
          <w:iCs/>
        </w:rPr>
        <w:t>Microbiological Research</w:t>
      </w:r>
      <w:r>
        <w:t xml:space="preserve">, </w:t>
      </w:r>
      <w:r>
        <w:rPr>
          <w:i/>
          <w:iCs/>
        </w:rPr>
        <w:t>157</w:t>
      </w:r>
      <w:r>
        <w:t>(2), 127–137. https://doi.org/10.1078/0944-5013-00139</w:t>
      </w:r>
    </w:p>
    <w:p w14:paraId="45D362AC" w14:textId="77777777" w:rsidR="00276430" w:rsidRDefault="00276430" w:rsidP="00276430">
      <w:pPr>
        <w:pStyle w:val="Bibliography"/>
      </w:pPr>
      <w:r>
        <w:t xml:space="preserve">Lackey, R. T. (2003). Pacific Northwest Salmon: Forecasting Their Status in 2100. </w:t>
      </w:r>
      <w:r>
        <w:rPr>
          <w:i/>
          <w:iCs/>
        </w:rPr>
        <w:t>Reviews in Fisheries Science</w:t>
      </w:r>
      <w:r>
        <w:t xml:space="preserve">, </w:t>
      </w:r>
      <w:r>
        <w:rPr>
          <w:i/>
          <w:iCs/>
        </w:rPr>
        <w:t>11</w:t>
      </w:r>
      <w:r>
        <w:t>(1), 35–88. https://doi.org/10.1080/16226510390856529</w:t>
      </w:r>
    </w:p>
    <w:p w14:paraId="597D48DC" w14:textId="77777777" w:rsidR="00276430" w:rsidRDefault="00276430" w:rsidP="00276430">
      <w:pPr>
        <w:pStyle w:val="Bibliography"/>
      </w:pPr>
      <w:r>
        <w:t xml:space="preserve">Lamb, E. G., &amp; Megill, W. (2003). The Shoreline Fringe Forest and Adjacent Peatlands of the Southern Central British Columbia Coast. </w:t>
      </w:r>
      <w:r>
        <w:rPr>
          <w:i/>
          <w:iCs/>
        </w:rPr>
        <w:t>The Canadian Field-Naturalist</w:t>
      </w:r>
      <w:r>
        <w:t xml:space="preserve">, </w:t>
      </w:r>
      <w:r>
        <w:rPr>
          <w:i/>
          <w:iCs/>
        </w:rPr>
        <w:t>117</w:t>
      </w:r>
      <w:r>
        <w:t>(2), 209–217. https://doi.org/10.22621/cfn.v117i2.684</w:t>
      </w:r>
    </w:p>
    <w:p w14:paraId="3660FABC" w14:textId="77777777" w:rsidR="00276430" w:rsidRDefault="00276430" w:rsidP="00276430">
      <w:pPr>
        <w:pStyle w:val="Bibliography"/>
      </w:pPr>
      <w:r>
        <w:t xml:space="preserve">Larkin, G. A., &amp; Slaney, P. A. (1997). Implications of trends in marine-derived nutrient influx to south coastal British Columbia salmonid production. </w:t>
      </w:r>
      <w:r>
        <w:rPr>
          <w:i/>
          <w:iCs/>
        </w:rPr>
        <w:t>Fisheries</w:t>
      </w:r>
      <w:r>
        <w:t xml:space="preserve">, </w:t>
      </w:r>
      <w:r>
        <w:rPr>
          <w:i/>
          <w:iCs/>
        </w:rPr>
        <w:t>22</w:t>
      </w:r>
      <w:r>
        <w:t>(11), 16–24.</w:t>
      </w:r>
    </w:p>
    <w:p w14:paraId="417FDDD5" w14:textId="77777777" w:rsidR="00276430" w:rsidRDefault="00276430" w:rsidP="00276430">
      <w:pPr>
        <w:pStyle w:val="Bibliography"/>
      </w:pPr>
      <w:r>
        <w:t xml:space="preserve">Laughlin, R. J., &amp; Stevens, R. J. (2002). Evidence for fungal dominance of denitrification and codenitrification in a grassland soil. </w:t>
      </w:r>
      <w:r>
        <w:rPr>
          <w:i/>
          <w:iCs/>
        </w:rPr>
        <w:t>Soil Science Society of America Journal</w:t>
      </w:r>
      <w:r>
        <w:t xml:space="preserve">, </w:t>
      </w:r>
      <w:r>
        <w:rPr>
          <w:i/>
          <w:iCs/>
        </w:rPr>
        <w:t>66</w:t>
      </w:r>
      <w:r>
        <w:t>(5), 1540–1548.</w:t>
      </w:r>
    </w:p>
    <w:p w14:paraId="616DFE8E" w14:textId="77777777" w:rsidR="00276430" w:rsidRDefault="00276430" w:rsidP="00276430">
      <w:pPr>
        <w:pStyle w:val="Bibliography"/>
      </w:pPr>
      <w:r>
        <w:t xml:space="preserve">Lawson, A. E., Oehrtman, M., &amp; Jensen, J. (2008). Connecting science and mathematics: The nature of scientific and statistical hypothesis testing. </w:t>
      </w:r>
      <w:r>
        <w:rPr>
          <w:i/>
          <w:iCs/>
        </w:rPr>
        <w:t>International Journal of Science and Mathematics Education</w:t>
      </w:r>
      <w:r>
        <w:t xml:space="preserve">, </w:t>
      </w:r>
      <w:r>
        <w:rPr>
          <w:i/>
          <w:iCs/>
        </w:rPr>
        <w:t>6</w:t>
      </w:r>
      <w:r>
        <w:t>(2), 405–416.</w:t>
      </w:r>
    </w:p>
    <w:p w14:paraId="53CB870B" w14:textId="77777777" w:rsidR="00276430" w:rsidRDefault="00276430" w:rsidP="00276430">
      <w:pPr>
        <w:pStyle w:val="Bibliography"/>
      </w:pPr>
      <w:r>
        <w:t xml:space="preserve">LeBauer, D. S., &amp; Treseder, K. K. (2008). Nitrogen Limitation of Net Primary Productivity in Terrestrial Ecosystems Is Globally Distributed. </w:t>
      </w:r>
      <w:r>
        <w:rPr>
          <w:i/>
          <w:iCs/>
        </w:rPr>
        <w:t>Ecology</w:t>
      </w:r>
      <w:r>
        <w:t xml:space="preserve">, </w:t>
      </w:r>
      <w:r>
        <w:rPr>
          <w:i/>
          <w:iCs/>
        </w:rPr>
        <w:t>89</w:t>
      </w:r>
      <w:r>
        <w:t>(2), 371–379. https://doi.org/10.1890/06-2057.1</w:t>
      </w:r>
    </w:p>
    <w:p w14:paraId="42089BB2" w14:textId="77777777" w:rsidR="00276430" w:rsidRDefault="00276430" w:rsidP="00276430">
      <w:pPr>
        <w:pStyle w:val="Bibliography"/>
      </w:pPr>
      <w:r>
        <w:t xml:space="preserve">Legendre, P., &amp; Legendre, L. F. J. (2012). </w:t>
      </w:r>
      <w:r>
        <w:rPr>
          <w:i/>
          <w:iCs/>
        </w:rPr>
        <w:t>Numerical Ecology</w:t>
      </w:r>
      <w:r>
        <w:t xml:space="preserve"> (3 edition). Elsevier.</w:t>
      </w:r>
    </w:p>
    <w:p w14:paraId="5F49C850" w14:textId="77777777" w:rsidR="00276430" w:rsidRDefault="00276430" w:rsidP="00276430">
      <w:pPr>
        <w:pStyle w:val="Bibliography"/>
      </w:pPr>
      <w:r>
        <w:t xml:space="preserve">Legendre, P., Oksanen, J., &amp; Braak, C. J. F. ter. (2011). Testing the significance of canonical axes in redundancy analysis. </w:t>
      </w:r>
      <w:r>
        <w:rPr>
          <w:i/>
          <w:iCs/>
        </w:rPr>
        <w:t>Methods in Ecology and Evolution</w:t>
      </w:r>
      <w:r>
        <w:t xml:space="preserve">, </w:t>
      </w:r>
      <w:r>
        <w:rPr>
          <w:i/>
          <w:iCs/>
        </w:rPr>
        <w:t>2</w:t>
      </w:r>
      <w:r>
        <w:t>(3), 269–277. https://doi.org/10.1111/j.2041-210X.2010.00078.x</w:t>
      </w:r>
    </w:p>
    <w:p w14:paraId="2C969E4C" w14:textId="77777777" w:rsidR="00276430" w:rsidRDefault="00276430" w:rsidP="00276430">
      <w:pPr>
        <w:pStyle w:val="Bibliography"/>
      </w:pPr>
      <w:r>
        <w:t xml:space="preserve">Lenth, R. (2020). </w:t>
      </w:r>
      <w:r>
        <w:rPr>
          <w:i/>
          <w:iCs/>
        </w:rPr>
        <w:t>emmeans: Estimated Marginal Means, aka Least-Squares Means</w:t>
      </w:r>
      <w:r>
        <w:t>. https://CRAN.R-project.org/package=emmeans</w:t>
      </w:r>
    </w:p>
    <w:p w14:paraId="29439F67" w14:textId="77777777" w:rsidR="00276430" w:rsidRDefault="00276430" w:rsidP="00276430">
      <w:pPr>
        <w:pStyle w:val="Bibliography"/>
      </w:pPr>
      <w:r>
        <w:t xml:space="preserve">Leroux, S. J., &amp; Loreau, M. (2008). Subsidy hypothesis and strength of trophic cascades across ecosystems. </w:t>
      </w:r>
      <w:r>
        <w:rPr>
          <w:i/>
          <w:iCs/>
        </w:rPr>
        <w:t>Ecology Letters</w:t>
      </w:r>
      <w:r>
        <w:t xml:space="preserve">, </w:t>
      </w:r>
      <w:r>
        <w:rPr>
          <w:i/>
          <w:iCs/>
        </w:rPr>
        <w:t>11</w:t>
      </w:r>
      <w:r>
        <w:t>(11), 1147–1156. https://doi.org/10.1111/j.1461-0248.2008.01235.x</w:t>
      </w:r>
    </w:p>
    <w:p w14:paraId="22470B6F" w14:textId="77777777" w:rsidR="00276430" w:rsidRDefault="00276430" w:rsidP="00276430">
      <w:pPr>
        <w:pStyle w:val="Bibliography"/>
      </w:pPr>
      <w:r>
        <w:t xml:space="preserve">Lesnek, A. J., Briner, J. P., Lindqvist, C., Baichtal, J. F., &amp; Heaton, T. H. (2018). Deglaciation of the Pacific coastal corridor directly preceded the human colonization of the Americas. </w:t>
      </w:r>
      <w:r>
        <w:rPr>
          <w:i/>
          <w:iCs/>
        </w:rPr>
        <w:t>Science Advances</w:t>
      </w:r>
      <w:r>
        <w:t xml:space="preserve">, </w:t>
      </w:r>
      <w:r>
        <w:rPr>
          <w:i/>
          <w:iCs/>
        </w:rPr>
        <w:t>4</w:t>
      </w:r>
      <w:r>
        <w:t>(5), eaar5040. https://doi.org/10.1126/sciadv.aar5040</w:t>
      </w:r>
    </w:p>
    <w:p w14:paraId="1A8E7313" w14:textId="77777777" w:rsidR="00276430" w:rsidRDefault="00276430" w:rsidP="00276430">
      <w:pPr>
        <w:pStyle w:val="Bibliography"/>
      </w:pPr>
      <w:r>
        <w:t xml:space="preserve">Letham, B., Lepofsky, D., &amp; Greening, S. (2021). A post-glacial relative sea level curve for the central Douglas Channel area, British Columbia, Canada. </w:t>
      </w:r>
      <w:r>
        <w:rPr>
          <w:i/>
          <w:iCs/>
        </w:rPr>
        <w:t>Quaternary Science Reviews</w:t>
      </w:r>
      <w:r>
        <w:t xml:space="preserve">, </w:t>
      </w:r>
      <w:r>
        <w:rPr>
          <w:i/>
          <w:iCs/>
        </w:rPr>
        <w:t>263</w:t>
      </w:r>
      <w:r>
        <w:t>, 106991. https://doi.org/10.1016/j.quascirev.2021.106991</w:t>
      </w:r>
    </w:p>
    <w:p w14:paraId="65E159E5" w14:textId="77777777" w:rsidR="00276430" w:rsidRDefault="00276430" w:rsidP="00276430">
      <w:pPr>
        <w:pStyle w:val="Bibliography"/>
      </w:pPr>
      <w:r>
        <w:t xml:space="preserve">Levi, P. S., Tank, J. L., Rüegg, J., Janetski, D. J., Tiegs, S. D., Chaloner, D. T., &amp; Lamberti, G. A. (2013). Whole-stream metabolism responds to spawning Pacific salmon in their native and introduced ranges. </w:t>
      </w:r>
      <w:r>
        <w:rPr>
          <w:i/>
          <w:iCs/>
        </w:rPr>
        <w:t>Ecosystems</w:t>
      </w:r>
      <w:r>
        <w:t xml:space="preserve">, </w:t>
      </w:r>
      <w:r>
        <w:rPr>
          <w:i/>
          <w:iCs/>
        </w:rPr>
        <w:t>16</w:t>
      </w:r>
      <w:r>
        <w:t>(2), 269–283.</w:t>
      </w:r>
    </w:p>
    <w:p w14:paraId="114296A9" w14:textId="77777777" w:rsidR="00276430" w:rsidRDefault="00276430" w:rsidP="00276430">
      <w:pPr>
        <w:pStyle w:val="Bibliography"/>
      </w:pPr>
      <w:r>
        <w:t xml:space="preserve">Levi, P. S., Tank, J. L., Tiegs, S. D., Rüegg, J., Chaloner, D. T., &amp; Lamberti, G. A. (2011). Does timber harvest influence the dynamics of marine-derived nutrients in Southeast Alaska streams? </w:t>
      </w:r>
      <w:r>
        <w:rPr>
          <w:i/>
          <w:iCs/>
        </w:rPr>
        <w:t>Canadian Journal of Fisheries and Aquatic Sciences</w:t>
      </w:r>
      <w:r>
        <w:t xml:space="preserve">, </w:t>
      </w:r>
      <w:r>
        <w:rPr>
          <w:i/>
          <w:iCs/>
        </w:rPr>
        <w:t>68</w:t>
      </w:r>
      <w:r>
        <w:t>(8), 1316–1329. https://doi.org/10.1139/f2011-067</w:t>
      </w:r>
    </w:p>
    <w:p w14:paraId="429A9D86" w14:textId="77777777" w:rsidR="00276430" w:rsidRDefault="00276430" w:rsidP="00276430">
      <w:pPr>
        <w:pStyle w:val="Bibliography"/>
      </w:pPr>
      <w:r>
        <w:t xml:space="preserve">Levi, T., Hilderbrand, G. V., Hocking, M. D., Quinn, T. P., White, K. S., Adams, M. S., Armstrong, J. B., Crupi, A. P., Darimont, C. T., Deacy, W., Gilbert, S. L., Ripple, W. J., Shakeri, Y. N., Wheat, R. E., &amp; Wilmers, C. C. (2020). Community Ecology and Conservation of Bear-Salmon Ecosystems. </w:t>
      </w:r>
      <w:r>
        <w:rPr>
          <w:i/>
          <w:iCs/>
        </w:rPr>
        <w:t>Frontiers in Ecology and Evolution</w:t>
      </w:r>
      <w:r>
        <w:t xml:space="preserve">, </w:t>
      </w:r>
      <w:r>
        <w:rPr>
          <w:i/>
          <w:iCs/>
        </w:rPr>
        <w:t>8</w:t>
      </w:r>
      <w:r>
        <w:t>. https://doi.org/10.3389/fevo.2020.513304</w:t>
      </w:r>
    </w:p>
    <w:p w14:paraId="4099E623" w14:textId="77777777" w:rsidR="00276430" w:rsidRDefault="00276430" w:rsidP="00276430">
      <w:pPr>
        <w:pStyle w:val="Bibliography"/>
      </w:pPr>
      <w:r>
        <w:t xml:space="preserve">Levy-Booth, D. J., Prescott, C., Christiansen, J. R., &amp; Grayston, S. J. (2016). Site preparation and fertilization of wet forests alter soil bacterial and fungal abundance, community profiles and CO2 fluxes. </w:t>
      </w:r>
      <w:r>
        <w:rPr>
          <w:i/>
          <w:iCs/>
        </w:rPr>
        <w:t>Forest Ecology and Management</w:t>
      </w:r>
      <w:r>
        <w:t xml:space="preserve">, </w:t>
      </w:r>
      <w:r>
        <w:rPr>
          <w:i/>
          <w:iCs/>
        </w:rPr>
        <w:t>375</w:t>
      </w:r>
      <w:r>
        <w:t>, 159–171. https://doi.org/10.1016/j.foreco.2016.05.033</w:t>
      </w:r>
    </w:p>
    <w:p w14:paraId="6B1E98FD" w14:textId="77777777" w:rsidR="00276430" w:rsidRDefault="00276430" w:rsidP="00276430">
      <w:pPr>
        <w:pStyle w:val="Bibliography"/>
      </w:pPr>
      <w:r>
        <w:t xml:space="preserve">Levy-Booth, D. J., Prescott, C., &amp; Grayston, S. J. (2014). Microbial functional genes involved in nitrogen fixation, nitrification and denitrification in forest ecosystems. </w:t>
      </w:r>
      <w:r>
        <w:rPr>
          <w:i/>
          <w:iCs/>
        </w:rPr>
        <w:t>Soil Biology and Biochemistry</w:t>
      </w:r>
      <w:r>
        <w:t xml:space="preserve">, </w:t>
      </w:r>
      <w:r>
        <w:rPr>
          <w:i/>
          <w:iCs/>
        </w:rPr>
        <w:t>75</w:t>
      </w:r>
      <w:r>
        <w:t>, 11–25. https://doi.org/10.1016/j.soilbio.2014.03.021</w:t>
      </w:r>
    </w:p>
    <w:p w14:paraId="0FE01EAB" w14:textId="77777777" w:rsidR="00276430" w:rsidRDefault="00276430" w:rsidP="00276430">
      <w:pPr>
        <w:pStyle w:val="Bibliography"/>
      </w:pPr>
      <w:r>
        <w:t xml:space="preserve">Liaw, A., &amp; Wiener, M. (2002). Classification and regression by randomForest. </w:t>
      </w:r>
      <w:r>
        <w:rPr>
          <w:i/>
          <w:iCs/>
        </w:rPr>
        <w:t>R News</w:t>
      </w:r>
      <w:r>
        <w:t xml:space="preserve">, </w:t>
      </w:r>
      <w:r>
        <w:rPr>
          <w:i/>
          <w:iCs/>
        </w:rPr>
        <w:t>2</w:t>
      </w:r>
      <w:r>
        <w:t>(3), 18–22.</w:t>
      </w:r>
    </w:p>
    <w:p w14:paraId="24054A3C" w14:textId="77777777" w:rsidR="00276430" w:rsidRDefault="00276430" w:rsidP="00276430">
      <w:pPr>
        <w:pStyle w:val="Bibliography"/>
      </w:pPr>
      <w:r>
        <w:t xml:space="preserve">Lichatowich, J., &amp; Lichatowich, J. A. (2001). </w:t>
      </w:r>
      <w:r>
        <w:rPr>
          <w:i/>
          <w:iCs/>
        </w:rPr>
        <w:t>Salmon without rivers: A history of the Pacific salmon crisis</w:t>
      </w:r>
      <w:r>
        <w:t>. Island Press. https://books.google.ca/books?hl=en&amp;lr=&amp;id=TXGB-5KhZrIC&amp;oi=fnd&amp;pg=PA1&amp;dq=Salmon+without+rivers:+A+history+of+the+Pacific+salmon+crisi&amp;ots=jmf9BaNc0q&amp;sig=NnEfjiprrxm0snqG9DiD728knWk</w:t>
      </w:r>
    </w:p>
    <w:p w14:paraId="79FD978A" w14:textId="77777777" w:rsidR="00276430" w:rsidRDefault="00276430" w:rsidP="00276430">
      <w:pPr>
        <w:pStyle w:val="Bibliography"/>
      </w:pPr>
      <w:r>
        <w:t xml:space="preserve">Lilleskov, E. A., Fahey, T. J., &amp; Lovett, G. M. (2001). Ectomycorrhizal fungal aboveground community change over an atmospheric nitrogen deposition gradient. </w:t>
      </w:r>
      <w:r>
        <w:rPr>
          <w:i/>
          <w:iCs/>
        </w:rPr>
        <w:t>Ecological Applications</w:t>
      </w:r>
      <w:r>
        <w:t xml:space="preserve">, </w:t>
      </w:r>
      <w:r>
        <w:rPr>
          <w:i/>
          <w:iCs/>
        </w:rPr>
        <w:t>11</w:t>
      </w:r>
      <w:r>
        <w:t>(2), 397–410.</w:t>
      </w:r>
    </w:p>
    <w:p w14:paraId="10AB8EBC" w14:textId="77777777" w:rsidR="00276430" w:rsidRDefault="00276430" w:rsidP="00276430">
      <w:pPr>
        <w:pStyle w:val="Bibliography"/>
      </w:pPr>
      <w:r>
        <w:t xml:space="preserve">Lilleskov, E. A., Hobbie, E. A., &amp; Fahey, T. J. (2002). Ectomycorrhizal fungal taxa differing in response to nitrogen deposition also differ in pure culture organic nitrogen use and natural abundance of nitrogen isotopes. </w:t>
      </w:r>
      <w:r>
        <w:rPr>
          <w:i/>
          <w:iCs/>
        </w:rPr>
        <w:t>New Phytologist</w:t>
      </w:r>
      <w:r>
        <w:t xml:space="preserve">, </w:t>
      </w:r>
      <w:r>
        <w:rPr>
          <w:i/>
          <w:iCs/>
        </w:rPr>
        <w:t>154</w:t>
      </w:r>
      <w:r>
        <w:t>(1), 219–231. https://doi.org/10.1046/j.1469-8137.2002.00367.x</w:t>
      </w:r>
    </w:p>
    <w:p w14:paraId="208F70AE" w14:textId="77777777" w:rsidR="00276430" w:rsidRDefault="00276430" w:rsidP="00276430">
      <w:pPr>
        <w:pStyle w:val="Bibliography"/>
      </w:pPr>
      <w:r>
        <w:t xml:space="preserve">Lincoln, A. E., &amp; Quinn, T. P. (2019). Optimal foraging or surplus killing: Selective consumption and discarding of salmon by brown bears. </w:t>
      </w:r>
      <w:r>
        <w:rPr>
          <w:i/>
          <w:iCs/>
        </w:rPr>
        <w:t>Behavioral Ecology</w:t>
      </w:r>
      <w:r>
        <w:t xml:space="preserve">, </w:t>
      </w:r>
      <w:r>
        <w:rPr>
          <w:i/>
          <w:iCs/>
        </w:rPr>
        <w:t>30</w:t>
      </w:r>
      <w:r>
        <w:t>(1), 202–212. https://doi.org/10.1093/beheco/ary139</w:t>
      </w:r>
    </w:p>
    <w:p w14:paraId="39E28765" w14:textId="77777777" w:rsidR="00276430" w:rsidRDefault="00276430" w:rsidP="00276430">
      <w:pPr>
        <w:pStyle w:val="Bibliography"/>
      </w:pPr>
      <w:r>
        <w:t xml:space="preserve">Lindahl, B. D., &amp; Tunlid, A. (2015). Ectomycorrhizal fungi – potential organic matter decomposers, yet not saprotrophs. </w:t>
      </w:r>
      <w:r>
        <w:rPr>
          <w:i/>
          <w:iCs/>
        </w:rPr>
        <w:t>New Phytologist</w:t>
      </w:r>
      <w:r>
        <w:t xml:space="preserve">, </w:t>
      </w:r>
      <w:r>
        <w:rPr>
          <w:i/>
          <w:iCs/>
        </w:rPr>
        <w:t>205</w:t>
      </w:r>
      <w:r>
        <w:t>(4), 1443–1447. https://doi.org/10.1111/nph.13201</w:t>
      </w:r>
    </w:p>
    <w:p w14:paraId="427112C5" w14:textId="77777777" w:rsidR="00276430" w:rsidRDefault="00276430" w:rsidP="00276430">
      <w:pPr>
        <w:pStyle w:val="Bibliography"/>
      </w:pPr>
      <w:r>
        <w:t xml:space="preserve">Lisi, P. J., &amp; Schindler, D. E. (2011). Spatial variation in timing of marine subsidies influences riparian phenology through a plant-pollinator mutualism. </w:t>
      </w:r>
      <w:r>
        <w:rPr>
          <w:i/>
          <w:iCs/>
        </w:rPr>
        <w:t>Ecosphere</w:t>
      </w:r>
      <w:r>
        <w:t xml:space="preserve">, </w:t>
      </w:r>
      <w:r>
        <w:rPr>
          <w:i/>
          <w:iCs/>
        </w:rPr>
        <w:t>2</w:t>
      </w:r>
      <w:r>
        <w:t>(9), art101. https://doi.org/10.1890/ES11-00173.1</w:t>
      </w:r>
    </w:p>
    <w:p w14:paraId="06E9EAAF" w14:textId="77777777" w:rsidR="00276430" w:rsidRDefault="00276430" w:rsidP="00276430">
      <w:pPr>
        <w:pStyle w:val="Bibliography"/>
      </w:pPr>
      <w:r>
        <w:t xml:space="preserve">Lladó, S., López-Mondéjar, R., &amp; Baldrian, P. (2017). Forest Soil Bacteria: Diversity, Involvement in Ecosystem Processes, and Response to Global Change. </w:t>
      </w:r>
      <w:r>
        <w:rPr>
          <w:i/>
          <w:iCs/>
        </w:rPr>
        <w:t>Microbiology and Molecular Biology Reviews</w:t>
      </w:r>
      <w:r>
        <w:t xml:space="preserve">, </w:t>
      </w:r>
      <w:r>
        <w:rPr>
          <w:i/>
          <w:iCs/>
        </w:rPr>
        <w:t>81</w:t>
      </w:r>
      <w:r>
        <w:t>(2). https://doi.org/10.1128/MMBR.00063-16</w:t>
      </w:r>
    </w:p>
    <w:p w14:paraId="56DCEA41" w14:textId="77777777" w:rsidR="00276430" w:rsidRDefault="00276430" w:rsidP="00276430">
      <w:pPr>
        <w:pStyle w:val="Bibliography"/>
      </w:pPr>
      <w:r>
        <w:t xml:space="preserve">Lladó, S., López-Mondéjar, R., &amp; Baldrian, P. (2018). Drivers of microbial community structure in forest soils. </w:t>
      </w:r>
      <w:r>
        <w:rPr>
          <w:i/>
          <w:iCs/>
        </w:rPr>
        <w:t>Applied Microbiology and Biotechnology</w:t>
      </w:r>
      <w:r>
        <w:t xml:space="preserve">, </w:t>
      </w:r>
      <w:r>
        <w:rPr>
          <w:i/>
          <w:iCs/>
        </w:rPr>
        <w:t>102</w:t>
      </w:r>
      <w:r>
        <w:t>(10), 4331–4338. https://doi.org/10.1007/s00253-018-8950-4</w:t>
      </w:r>
    </w:p>
    <w:p w14:paraId="74139FAB" w14:textId="77777777" w:rsidR="00276430" w:rsidRDefault="00276430" w:rsidP="00276430">
      <w:pPr>
        <w:pStyle w:val="Bibliography"/>
      </w:pPr>
      <w:r>
        <w:t xml:space="preserve">López‐García, Á., Varela‐Cervero, S., Vasar, M., Öpik, M., Barea, J. M., &amp; Azcón‐Aguilar, C. (2017). Plant traits determine the phylogenetic structure of arbuscular mycorrhizal fungal communities. </w:t>
      </w:r>
      <w:r>
        <w:rPr>
          <w:i/>
          <w:iCs/>
        </w:rPr>
        <w:t>Molecular Ecology</w:t>
      </w:r>
      <w:r>
        <w:t xml:space="preserve">, </w:t>
      </w:r>
      <w:r>
        <w:rPr>
          <w:i/>
          <w:iCs/>
        </w:rPr>
        <w:t>26</w:t>
      </w:r>
      <w:r>
        <w:t>(24), 6948–6959. https://doi.org/10.1111/mec.14403</w:t>
      </w:r>
    </w:p>
    <w:p w14:paraId="2FE15E14" w14:textId="77777777" w:rsidR="00276430" w:rsidRDefault="00276430" w:rsidP="00276430">
      <w:pPr>
        <w:pStyle w:val="Bibliography"/>
      </w:pPr>
      <w:r>
        <w:t xml:space="preserve">Loring, P. A., &amp; Gerlach, C. (2010). Food Security and Conservation of Yukon River Salmon: Are We Asking Too Much of the Yukon River? </w:t>
      </w:r>
      <w:r>
        <w:rPr>
          <w:i/>
          <w:iCs/>
        </w:rPr>
        <w:t>Sustainability</w:t>
      </w:r>
      <w:r>
        <w:t xml:space="preserve">, </w:t>
      </w:r>
      <w:r>
        <w:rPr>
          <w:i/>
          <w:iCs/>
        </w:rPr>
        <w:t>2</w:t>
      </w:r>
      <w:r>
        <w:t>(9), 2965–2987. https://doi.org/10.3390/su2092965</w:t>
      </w:r>
    </w:p>
    <w:p w14:paraId="73E301F3" w14:textId="77777777" w:rsidR="00276430" w:rsidRDefault="00276430" w:rsidP="00276430">
      <w:pPr>
        <w:pStyle w:val="Bibliography"/>
      </w:pPr>
      <w:r>
        <w:t xml:space="preserve">Lozupone, C., Lladser, M. E., Knights, D., Stombaugh, J., &amp; Knight, R. (2011). UniFrac: An effective distance metric for microbial community comparison. </w:t>
      </w:r>
      <w:r>
        <w:rPr>
          <w:i/>
          <w:iCs/>
        </w:rPr>
        <w:t>The ISME Journal</w:t>
      </w:r>
      <w:r>
        <w:t xml:space="preserve">, </w:t>
      </w:r>
      <w:r>
        <w:rPr>
          <w:i/>
          <w:iCs/>
        </w:rPr>
        <w:t>5</w:t>
      </w:r>
      <w:r>
        <w:t>(2), 169–172. https://doi.org/10.1038/ismej.2010.133</w:t>
      </w:r>
    </w:p>
    <w:p w14:paraId="66CEBB90" w14:textId="77777777" w:rsidR="00276430" w:rsidRDefault="00276430" w:rsidP="00276430">
      <w:pPr>
        <w:pStyle w:val="Bibliography"/>
      </w:pPr>
      <w:r>
        <w:t xml:space="preserve">Lüdecke, D., Makowski, D., Waggoner, P., &amp; Patil, I. (2020). performance: Assessment of Regression Models Performance. </w:t>
      </w:r>
      <w:r>
        <w:rPr>
          <w:i/>
          <w:iCs/>
        </w:rPr>
        <w:t>CRAN</w:t>
      </w:r>
      <w:r>
        <w:t>. https://doi.org/10.5281/zenodo.3952174</w:t>
      </w:r>
    </w:p>
    <w:p w14:paraId="23FE7FEC" w14:textId="77777777" w:rsidR="00276430" w:rsidRDefault="00276430" w:rsidP="00276430">
      <w:pPr>
        <w:pStyle w:val="Bibliography"/>
      </w:pPr>
      <w:r>
        <w:t xml:space="preserve">Maathuis, F. J. (2009). Physiological functions of mineral macronutrients. </w:t>
      </w:r>
      <w:r>
        <w:rPr>
          <w:i/>
          <w:iCs/>
        </w:rPr>
        <w:t>Current Opinion in Plant Biology</w:t>
      </w:r>
      <w:r>
        <w:t xml:space="preserve">, </w:t>
      </w:r>
      <w:r>
        <w:rPr>
          <w:i/>
          <w:iCs/>
        </w:rPr>
        <w:t>12</w:t>
      </w:r>
      <w:r>
        <w:t>(3), 250–258. https://doi.org/10.1016/j.pbi.2009.04.003</w:t>
      </w:r>
    </w:p>
    <w:p w14:paraId="757E36D4" w14:textId="77777777" w:rsidR="00276430" w:rsidRDefault="00276430" w:rsidP="00276430">
      <w:pPr>
        <w:pStyle w:val="Bibliography"/>
      </w:pPr>
      <w:r>
        <w:t xml:space="preserve">Mallick, H., Rahnavard, A., McIver, L. J., Ma, S., Zhang, Y., Nguyen, L. H., Tickle, T. L., Weingart, G., Ren, B., Schwager, E. H., Chatterjee, S., Thompson, K. N., Wilkinson, J. E., Subramanian, A., Lu, Y., Waldron, L., Paulson, J. N., Franzosa, E. A., Bravo, H. C., &amp; Huttenhower, C. (2021). </w:t>
      </w:r>
      <w:r>
        <w:rPr>
          <w:i/>
          <w:iCs/>
        </w:rPr>
        <w:t>Multivariable Association Discovery in Population-scale Meta-omics Studies</w:t>
      </w:r>
      <w:r>
        <w:t xml:space="preserve"> (p. 2021.01.20.427420). https://doi.org/10.1101/2021.01.20.427420</w:t>
      </w:r>
    </w:p>
    <w:p w14:paraId="060A68C4" w14:textId="77777777" w:rsidR="00276430" w:rsidRDefault="00276430" w:rsidP="00276430">
      <w:pPr>
        <w:pStyle w:val="Bibliography"/>
      </w:pPr>
      <w:r>
        <w:t xml:space="preserve">Manley, D., Hansen, L., &amp; Wright, H. (2005). </w:t>
      </w:r>
      <w:r>
        <w:rPr>
          <w:i/>
          <w:iCs/>
        </w:rPr>
        <w:t>SALMON RIVER NUTRIENT ENRICHMENT FOR FISH HABITAT RESTORATION 2005</w:t>
      </w:r>
      <w:r>
        <w:t>. 50.</w:t>
      </w:r>
    </w:p>
    <w:p w14:paraId="5861E385" w14:textId="77777777" w:rsidR="00276430" w:rsidRDefault="00276430" w:rsidP="00276430">
      <w:pPr>
        <w:pStyle w:val="Bibliography"/>
      </w:pPr>
      <w:r>
        <w:t xml:space="preserve">Marcarelli, A. M., Baxter, C. V., &amp; Wipfli, M. S. (2014). Nutrient additions to mitigate for loss of Pacific salmon: Consequences for stream biofilm and nutrient dynamics. </w:t>
      </w:r>
      <w:r>
        <w:rPr>
          <w:i/>
          <w:iCs/>
        </w:rPr>
        <w:t>Ecosphere</w:t>
      </w:r>
      <w:r>
        <w:t xml:space="preserve">, </w:t>
      </w:r>
      <w:r>
        <w:rPr>
          <w:i/>
          <w:iCs/>
        </w:rPr>
        <w:t>5</w:t>
      </w:r>
      <w:r>
        <w:t>(6), 1–22.</w:t>
      </w:r>
    </w:p>
    <w:p w14:paraId="3E62479F" w14:textId="77777777" w:rsidR="00276430" w:rsidRDefault="00276430" w:rsidP="00276430">
      <w:pPr>
        <w:pStyle w:val="Bibliography"/>
      </w:pPr>
      <w:r>
        <w:t xml:space="preserve">Marmonier, P., Archambaud, G., Belaidi, N., Bougon, N., Breil, P., Chauvet, E., Claret, C., Cornut, J., Datry, T., Dole-Olivier, M.-J., Dumont, B., Flipo, N., Foulquier, A., Gérino, M., Guilpart, A., Julien, F., Maazouzi, C., Martin, D., Mermillod-Blondin, F., … Vervier, P. (2012). The role of organisms in hyporheic processes: Gaps in current knowledge, needs for future research and applications. </w:t>
      </w:r>
      <w:r>
        <w:rPr>
          <w:i/>
          <w:iCs/>
        </w:rPr>
        <w:t>Annales de Limnologie - International Journal of Limnology</w:t>
      </w:r>
      <w:r>
        <w:t xml:space="preserve">, </w:t>
      </w:r>
      <w:r>
        <w:rPr>
          <w:i/>
          <w:iCs/>
        </w:rPr>
        <w:t>48</w:t>
      </w:r>
      <w:r>
        <w:t>(3), 253–266. https://doi.org/10.1051/limn/2012009</w:t>
      </w:r>
    </w:p>
    <w:p w14:paraId="5B628497" w14:textId="77777777" w:rsidR="00276430" w:rsidRDefault="00276430" w:rsidP="00276430">
      <w:pPr>
        <w:pStyle w:val="Bibliography"/>
      </w:pPr>
      <w:r>
        <w:t xml:space="preserve">Martin, F., Delaruelle, C., &amp; Hilbert, J.-L. (1990). An improved ergosterol assay to estimate fungal biomass in ectomycorrhizas. </w:t>
      </w:r>
      <w:r>
        <w:rPr>
          <w:i/>
          <w:iCs/>
        </w:rPr>
        <w:t>Mycological Research</w:t>
      </w:r>
      <w:r>
        <w:t xml:space="preserve">, </w:t>
      </w:r>
      <w:r>
        <w:rPr>
          <w:i/>
          <w:iCs/>
        </w:rPr>
        <w:t>94</w:t>
      </w:r>
      <w:r>
        <w:t>(8), 1059–1064. https://doi.org/10.1016/S0953-7562(09)81333-6</w:t>
      </w:r>
    </w:p>
    <w:p w14:paraId="6D8568EC" w14:textId="77777777" w:rsidR="00276430" w:rsidRDefault="00276430" w:rsidP="00276430">
      <w:pPr>
        <w:pStyle w:val="Bibliography"/>
      </w:pPr>
      <w:r>
        <w:t xml:space="preserve">Martin, M. (2011). Cutadapt removes adapter sequences from high-throughput sequencing reads. </w:t>
      </w:r>
      <w:r>
        <w:rPr>
          <w:i/>
          <w:iCs/>
        </w:rPr>
        <w:t>EMBnet.Journal</w:t>
      </w:r>
      <w:r>
        <w:t xml:space="preserve">, </w:t>
      </w:r>
      <w:r>
        <w:rPr>
          <w:i/>
          <w:iCs/>
        </w:rPr>
        <w:t>17</w:t>
      </w:r>
      <w:r>
        <w:t>(1), 10–12. https://doi.org/10.14806/ej.17.1.200</w:t>
      </w:r>
    </w:p>
    <w:p w14:paraId="32171E4C" w14:textId="77777777" w:rsidR="00276430" w:rsidRDefault="00276430" w:rsidP="00276430">
      <w:pPr>
        <w:pStyle w:val="Bibliography"/>
      </w:pPr>
      <w:r>
        <w:t xml:space="preserve">Marty, C., Houle, D., Gagnon, C., &amp; Courchesne, F. (2017). The relationships of soil total nitrogen concentrations, pools and C:N ratios with climate, vegetation types and nitrate deposition in temperate and boreal forests of eastern Canada. </w:t>
      </w:r>
      <w:r>
        <w:rPr>
          <w:i/>
          <w:iCs/>
        </w:rPr>
        <w:t>CATENA</w:t>
      </w:r>
      <w:r>
        <w:t xml:space="preserve">, </w:t>
      </w:r>
      <w:r>
        <w:rPr>
          <w:i/>
          <w:iCs/>
        </w:rPr>
        <w:t>152</w:t>
      </w:r>
      <w:r>
        <w:t>, 163–172. https://doi.org/10.1016/j.catena.2017.01.014</w:t>
      </w:r>
    </w:p>
    <w:p w14:paraId="3BF20720" w14:textId="77777777" w:rsidR="00276430" w:rsidRDefault="00276430" w:rsidP="00276430">
      <w:pPr>
        <w:pStyle w:val="Bibliography"/>
      </w:pPr>
      <w:r>
        <w:t xml:space="preserve">Mason, L. m., Eagar, A., Patel, P., Blackwood, C. b., &amp; DeForest, J. l. (2021). Potential microbial bioindicators of phosphorus mining in a temperate deciduous forest. </w:t>
      </w:r>
      <w:r>
        <w:rPr>
          <w:i/>
          <w:iCs/>
        </w:rPr>
        <w:t>Journal of Applied Microbiology</w:t>
      </w:r>
      <w:r>
        <w:t xml:space="preserve">, </w:t>
      </w:r>
      <w:r>
        <w:rPr>
          <w:i/>
          <w:iCs/>
        </w:rPr>
        <w:t>130</w:t>
      </w:r>
      <w:r>
        <w:t>(1), 109–122. https://doi.org/10.1111/jam.14761</w:t>
      </w:r>
    </w:p>
    <w:p w14:paraId="4F083555" w14:textId="77777777" w:rsidR="00276430" w:rsidRDefault="00276430" w:rsidP="00276430">
      <w:pPr>
        <w:pStyle w:val="Bibliography"/>
      </w:pPr>
      <w:r>
        <w:t xml:space="preserve">Mathewson, D. D., Hocking, M. D., &amp; Reimchen, T. E. (2003). Nitrogen uptake in riparian plant communities across a sharp ecological boundary of salmon density. </w:t>
      </w:r>
      <w:r>
        <w:rPr>
          <w:i/>
          <w:iCs/>
        </w:rPr>
        <w:t>BMC Ecology</w:t>
      </w:r>
      <w:r>
        <w:t xml:space="preserve">, </w:t>
      </w:r>
      <w:r>
        <w:rPr>
          <w:i/>
          <w:iCs/>
        </w:rPr>
        <w:t>3</w:t>
      </w:r>
      <w:r>
        <w:t>(1), 1–11. https://doi.org/10.1186/1472-6785-3-4</w:t>
      </w:r>
    </w:p>
    <w:p w14:paraId="08F2EE80" w14:textId="77777777" w:rsidR="00276430" w:rsidRDefault="00276430" w:rsidP="00276430">
      <w:pPr>
        <w:pStyle w:val="Bibliography"/>
      </w:pPr>
      <w:r>
        <w:t xml:space="preserve">Mathisen, O. A., Parker, P. L., Goering, J. J., Kline, T. C., Poe, P. H., &amp; Scalan, R. S. (1988). Recycling of marine elements transported into freshwater systems by anadromous salmon. </w:t>
      </w:r>
      <w:r>
        <w:rPr>
          <w:i/>
          <w:iCs/>
        </w:rPr>
        <w:t>SIL Proceedings, 1922-2010</w:t>
      </w:r>
      <w:r>
        <w:t xml:space="preserve">, </w:t>
      </w:r>
      <w:r>
        <w:rPr>
          <w:i/>
          <w:iCs/>
        </w:rPr>
        <w:t>23</w:t>
      </w:r>
      <w:r>
        <w:t>(4), 2249–2258. https://doi.org/10.1080/03680770.1987.11899884</w:t>
      </w:r>
    </w:p>
    <w:p w14:paraId="6AB45833" w14:textId="77777777" w:rsidR="00276430" w:rsidRDefault="00276430" w:rsidP="00276430">
      <w:pPr>
        <w:pStyle w:val="Bibliography"/>
      </w:pPr>
      <w:r>
        <w:t xml:space="preserve">Mayor, J. R., Schuur, E. A., &amp; Henkel, T. W. (2009). Elucidating the nutritional dynamics of fungi using stable isotopes. </w:t>
      </w:r>
      <w:r>
        <w:rPr>
          <w:i/>
          <w:iCs/>
        </w:rPr>
        <w:t>Ecology Letters</w:t>
      </w:r>
      <w:r>
        <w:t xml:space="preserve">, </w:t>
      </w:r>
      <w:r>
        <w:rPr>
          <w:i/>
          <w:iCs/>
        </w:rPr>
        <w:t>12</w:t>
      </w:r>
      <w:r>
        <w:t>(2), 171–183.</w:t>
      </w:r>
    </w:p>
    <w:p w14:paraId="23A8831B" w14:textId="77777777" w:rsidR="00276430" w:rsidRDefault="00276430" w:rsidP="00276430">
      <w:pPr>
        <w:pStyle w:val="Bibliography"/>
      </w:pPr>
      <w:r>
        <w:t xml:space="preserve">McAllister, I., McAllister, K., Kennedy, R. F., &amp; Young, C. (1997). </w:t>
      </w:r>
      <w:r>
        <w:rPr>
          <w:i/>
          <w:iCs/>
        </w:rPr>
        <w:t>The Great Bear Rainforest: Canada’s Forgotten Coast</w:t>
      </w:r>
      <w:r>
        <w:t>. Harbour.</w:t>
      </w:r>
    </w:p>
    <w:p w14:paraId="12BA6FD7" w14:textId="77777777" w:rsidR="00276430" w:rsidRDefault="00276430" w:rsidP="00276430">
      <w:pPr>
        <w:pStyle w:val="Bibliography"/>
      </w:pPr>
      <w:r>
        <w:t xml:space="preserve">McKervill, H. (1992). </w:t>
      </w:r>
      <w:r>
        <w:rPr>
          <w:i/>
          <w:iCs/>
        </w:rPr>
        <w:t>Salmon People</w:t>
      </w:r>
      <w:r>
        <w:t>. Whitecap Books Ltd.</w:t>
      </w:r>
    </w:p>
    <w:p w14:paraId="15613418" w14:textId="77777777" w:rsidR="00276430" w:rsidRDefault="00276430" w:rsidP="00276430">
      <w:pPr>
        <w:pStyle w:val="Bibliography"/>
      </w:pPr>
      <w:r>
        <w:t xml:space="preserve">McLaren, D., Fedje, D., Dyck, A., Mackie, Q., Gauvreau, A., &amp; Cohen, J. (2018). Terminal Pleistocene epoch human footprints from the Pacific coast of Canada. </w:t>
      </w:r>
      <w:r>
        <w:rPr>
          <w:i/>
          <w:iCs/>
        </w:rPr>
        <w:t>PLoS ONE</w:t>
      </w:r>
      <w:r>
        <w:t xml:space="preserve">, </w:t>
      </w:r>
      <w:r>
        <w:rPr>
          <w:i/>
          <w:iCs/>
        </w:rPr>
        <w:t>13</w:t>
      </w:r>
      <w:r>
        <w:t>(3). https://doi.org/10.1371/journal.pone.0193522</w:t>
      </w:r>
    </w:p>
    <w:p w14:paraId="4D183DE8" w14:textId="77777777" w:rsidR="00276430" w:rsidRDefault="00276430" w:rsidP="00276430">
      <w:pPr>
        <w:pStyle w:val="Bibliography"/>
      </w:pPr>
      <w:r>
        <w:t xml:space="preserve">McMurdie, P. J., &amp; Holmes, S. (2013). phyloseq: An R Package for Reproducible Interactive Analysis and Graphics of Microbiome Census Data. </w:t>
      </w:r>
      <w:r>
        <w:rPr>
          <w:i/>
          <w:iCs/>
        </w:rPr>
        <w:t>PLOS ONE</w:t>
      </w:r>
      <w:r>
        <w:t xml:space="preserve">, </w:t>
      </w:r>
      <w:r>
        <w:rPr>
          <w:i/>
          <w:iCs/>
        </w:rPr>
        <w:t>8</w:t>
      </w:r>
      <w:r>
        <w:t>(4), e61217. https://doi.org/10.1371/journal.pone.0061217</w:t>
      </w:r>
    </w:p>
    <w:p w14:paraId="360BC82C" w14:textId="77777777" w:rsidR="00276430" w:rsidRDefault="00276430" w:rsidP="00276430">
      <w:pPr>
        <w:pStyle w:val="Bibliography"/>
      </w:pPr>
      <w:r>
        <w:t xml:space="preserve">Meehan, E. P., Seminet-Reneau, E. E., &amp; Quinn, T. P. (2005). Bear predation on Pacific salmon facilitates colonization of carcasses by fly maggots. </w:t>
      </w:r>
      <w:r>
        <w:rPr>
          <w:i/>
          <w:iCs/>
        </w:rPr>
        <w:t>The American Midland Naturalist</w:t>
      </w:r>
      <w:r>
        <w:t xml:space="preserve">, </w:t>
      </w:r>
      <w:r>
        <w:rPr>
          <w:i/>
          <w:iCs/>
        </w:rPr>
        <w:t>153</w:t>
      </w:r>
      <w:r>
        <w:t>(1), 142–151.</w:t>
      </w:r>
    </w:p>
    <w:p w14:paraId="7D0B001F" w14:textId="77777777" w:rsidR="00276430" w:rsidRDefault="00276430" w:rsidP="00276430">
      <w:pPr>
        <w:pStyle w:val="Bibliography"/>
      </w:pPr>
      <w:r>
        <w:t xml:space="preserve">Mehlich, A. (1984). Mehlich 3 soil test extractant: A modification of Mehlich 2 extractant. </w:t>
      </w:r>
      <w:r>
        <w:rPr>
          <w:i/>
          <w:iCs/>
        </w:rPr>
        <w:t>Communications in Soil Science and Plant Analysis</w:t>
      </w:r>
      <w:r>
        <w:t xml:space="preserve">, </w:t>
      </w:r>
      <w:r>
        <w:rPr>
          <w:i/>
          <w:iCs/>
        </w:rPr>
        <w:t>15</w:t>
      </w:r>
      <w:r>
        <w:t>(12), 1409–1416. https://doi.org/10.1080/00103628409367568</w:t>
      </w:r>
    </w:p>
    <w:p w14:paraId="2A1091AF" w14:textId="77777777" w:rsidR="00276430" w:rsidRDefault="00276430" w:rsidP="00276430">
      <w:pPr>
        <w:pStyle w:val="Bibliography"/>
      </w:pPr>
      <w:r>
        <w:t xml:space="preserve">Metcalfe, R. J., Nault, J., &amp; Hawkins, B. J. (2011). Adaptations to nitrogen form: Comparing inorganic nitrogen and amino acid availability and uptake by four temperate forest plants. </w:t>
      </w:r>
      <w:r>
        <w:rPr>
          <w:i/>
          <w:iCs/>
        </w:rPr>
        <w:t>Canadian Journal of Forest Research</w:t>
      </w:r>
      <w:r>
        <w:t xml:space="preserve">, </w:t>
      </w:r>
      <w:r>
        <w:rPr>
          <w:i/>
          <w:iCs/>
        </w:rPr>
        <w:t>41</w:t>
      </w:r>
      <w:r>
        <w:t>(8), 1626–1637. https://doi.org/10.1139/x11-090</w:t>
      </w:r>
    </w:p>
    <w:p w14:paraId="58B1BA1E" w14:textId="77777777" w:rsidR="00276430" w:rsidRDefault="00276430" w:rsidP="00276430">
      <w:pPr>
        <w:pStyle w:val="Bibliography"/>
      </w:pPr>
      <w:r>
        <w:t xml:space="preserve">MFLNRORD. (2018). </w:t>
      </w:r>
      <w:r>
        <w:rPr>
          <w:i/>
          <w:iCs/>
        </w:rPr>
        <w:t>Biogeoclimatic Ecosystem Classification Subzone/Variant Map for the Mid-Coast Subunit</w:t>
      </w:r>
      <w:r>
        <w:t xml:space="preserve"> [Map].</w:t>
      </w:r>
    </w:p>
    <w:p w14:paraId="353DFF0B" w14:textId="77777777" w:rsidR="00276430" w:rsidRDefault="00276430" w:rsidP="00276430">
      <w:pPr>
        <w:pStyle w:val="Bibliography"/>
      </w:pPr>
      <w:r>
        <w:t xml:space="preserve">Miguez, F. (2021). </w:t>
      </w:r>
      <w:r>
        <w:rPr>
          <w:i/>
          <w:iCs/>
        </w:rPr>
        <w:t>nlraa: Nonlinear Regression for Agricultural Applications</w:t>
      </w:r>
      <w:r>
        <w:t>. https://CRAN.R-project.org/package=nlraa</w:t>
      </w:r>
    </w:p>
    <w:p w14:paraId="266E2349" w14:textId="77777777" w:rsidR="00276430" w:rsidRDefault="00276430" w:rsidP="00276430">
      <w:pPr>
        <w:pStyle w:val="Bibliography"/>
      </w:pPr>
      <w:r>
        <w:t xml:space="preserve">Millard, P., &amp; Grelet, G. (2010). Nitrogen storage and remobilization by trees: Ecophysiological relevance in a changing world. </w:t>
      </w:r>
      <w:r>
        <w:rPr>
          <w:i/>
          <w:iCs/>
        </w:rPr>
        <w:t>Tree Physiology</w:t>
      </w:r>
      <w:r>
        <w:t xml:space="preserve">, </w:t>
      </w:r>
      <w:r>
        <w:rPr>
          <w:i/>
          <w:iCs/>
        </w:rPr>
        <w:t>30</w:t>
      </w:r>
      <w:r>
        <w:t>(9), 1083–1095. https://doi.org/10.1093/treephys/tpq042</w:t>
      </w:r>
    </w:p>
    <w:p w14:paraId="6A4C7CA3" w14:textId="77777777" w:rsidR="00276430" w:rsidRDefault="00276430" w:rsidP="00276430">
      <w:pPr>
        <w:pStyle w:val="Bibliography"/>
      </w:pPr>
      <w:r>
        <w:t xml:space="preserve">Millerd, F. (2004). </w:t>
      </w:r>
      <w:r>
        <w:rPr>
          <w:i/>
          <w:iCs/>
        </w:rPr>
        <w:t>Expansion and Consolidation in The British Columbia Salmon Processing Industry</w:t>
      </w:r>
      <w:r>
        <w:t>.</w:t>
      </w:r>
    </w:p>
    <w:p w14:paraId="1356603F" w14:textId="77777777" w:rsidR="00276430" w:rsidRDefault="00276430" w:rsidP="00276430">
      <w:pPr>
        <w:pStyle w:val="Bibliography"/>
      </w:pPr>
      <w:r>
        <w:t xml:space="preserve">Minakawa, N., &amp; Gara, R. I. (1999). Ecological effects of a chum salmon (Oncorhynchus keta) spawning run in a small stream of the Pacific Northwest. </w:t>
      </w:r>
      <w:r>
        <w:rPr>
          <w:i/>
          <w:iCs/>
        </w:rPr>
        <w:t>Journal of Freshwater Ecology</w:t>
      </w:r>
      <w:r>
        <w:t xml:space="preserve">, </w:t>
      </w:r>
      <w:r>
        <w:rPr>
          <w:i/>
          <w:iCs/>
        </w:rPr>
        <w:t>14</w:t>
      </w:r>
      <w:r>
        <w:t>(3), 327–335.</w:t>
      </w:r>
    </w:p>
    <w:p w14:paraId="73B6FAFE" w14:textId="77777777" w:rsidR="00276430" w:rsidRDefault="00276430" w:rsidP="00276430">
      <w:pPr>
        <w:pStyle w:val="Bibliography"/>
      </w:pPr>
      <w:r>
        <w:t xml:space="preserve">Mitchell, N. L., &amp; Lamberti, G. A. (2005). Responses in dissolved nutrients and epilithon abundance to spawning salmon in southeast Alaska streams. </w:t>
      </w:r>
      <w:r>
        <w:rPr>
          <w:i/>
          <w:iCs/>
        </w:rPr>
        <w:t>Limnology and Oceanography</w:t>
      </w:r>
      <w:r>
        <w:t xml:space="preserve">, </w:t>
      </w:r>
      <w:r>
        <w:rPr>
          <w:i/>
          <w:iCs/>
        </w:rPr>
        <w:t>50</w:t>
      </w:r>
      <w:r>
        <w:t>(1), 217–227.</w:t>
      </w:r>
    </w:p>
    <w:p w14:paraId="4DC7E59F" w14:textId="77777777" w:rsidR="00276430" w:rsidRDefault="00276430" w:rsidP="00276430">
      <w:pPr>
        <w:pStyle w:val="Bibliography"/>
      </w:pPr>
      <w:r>
        <w:t xml:space="preserve">Miyauchi, S., Kiss, E., Kuo, A., Drula, E., Kohler, A., Sánchez-García, M., Morin, E., Andreopoulos, B., Barry, K. W., Bonito, G., Buée, M., Carver, A., Chen, C., Cichocki, N., Clum, A., Culley, D., Crous, P. W., Fauchery, L., Girlanda, M., … Martin, F. M. (2020). Large-scale genome sequencing of mycorrhizal fungi provides insights into the early evolution of symbiotic traits. </w:t>
      </w:r>
      <w:r>
        <w:rPr>
          <w:i/>
          <w:iCs/>
        </w:rPr>
        <w:t>Nature Communications</w:t>
      </w:r>
      <w:r>
        <w:t xml:space="preserve">, </w:t>
      </w:r>
      <w:r>
        <w:rPr>
          <w:i/>
          <w:iCs/>
        </w:rPr>
        <w:t>11</w:t>
      </w:r>
      <w:r>
        <w:t>(1), 5125. https://doi.org/10.1038/s41467-020-18795-w</w:t>
      </w:r>
    </w:p>
    <w:p w14:paraId="08C0EEA4" w14:textId="77777777" w:rsidR="00276430" w:rsidRDefault="00276430" w:rsidP="00276430">
      <w:pPr>
        <w:pStyle w:val="Bibliography"/>
      </w:pPr>
      <w:r>
        <w:t xml:space="preserve">Moeller, H. V. (2014). </w:t>
      </w:r>
      <w:r>
        <w:rPr>
          <w:i/>
          <w:iCs/>
        </w:rPr>
        <w:t>The role and maintenance of diversity in a multi-partner mutualism trees and ectomycorrhizal fungi</w:t>
      </w:r>
      <w:r>
        <w:t>.</w:t>
      </w:r>
    </w:p>
    <w:p w14:paraId="6C8FAFF0" w14:textId="77777777" w:rsidR="00276430" w:rsidRDefault="00276430" w:rsidP="00276430">
      <w:pPr>
        <w:pStyle w:val="Bibliography"/>
      </w:pPr>
      <w:r>
        <w:t xml:space="preserve">Moeller, H. V., &amp; Neubert, M. G. (2015). Multiple Friends with Benefits: An Optimal Mutualist Management Strategy? </w:t>
      </w:r>
      <w:r>
        <w:rPr>
          <w:i/>
          <w:iCs/>
        </w:rPr>
        <w:t>The American Naturalist</w:t>
      </w:r>
      <w:r>
        <w:t xml:space="preserve">, </w:t>
      </w:r>
      <w:r>
        <w:rPr>
          <w:i/>
          <w:iCs/>
        </w:rPr>
        <w:t>187</w:t>
      </w:r>
      <w:r>
        <w:t>(1), E1–E12. https://doi.org/10.1086/684103</w:t>
      </w:r>
    </w:p>
    <w:p w14:paraId="5F5D8A63" w14:textId="77777777" w:rsidR="00276430" w:rsidRDefault="00276430" w:rsidP="00276430">
      <w:pPr>
        <w:pStyle w:val="Bibliography"/>
      </w:pPr>
      <w:r>
        <w:t xml:space="preserve">Molina, R., Massicotte, H., &amp; Trappe, J. M. (1992). Specificity phenomena in mycorrhizal symbioses: Community-ecological consequences and practical implications. </w:t>
      </w:r>
      <w:r>
        <w:rPr>
          <w:i/>
          <w:iCs/>
        </w:rPr>
        <w:t>Mycorrhizal Functioning: An Integrative Plant-Fungal Process</w:t>
      </w:r>
      <w:r>
        <w:t xml:space="preserve">, </w:t>
      </w:r>
      <w:r>
        <w:rPr>
          <w:i/>
          <w:iCs/>
        </w:rPr>
        <w:t>357</w:t>
      </w:r>
      <w:r>
        <w:t>, e423.</w:t>
      </w:r>
    </w:p>
    <w:p w14:paraId="2292F014" w14:textId="77777777" w:rsidR="00276430" w:rsidRDefault="00276430" w:rsidP="00276430">
      <w:pPr>
        <w:pStyle w:val="Bibliography"/>
      </w:pPr>
      <w:r>
        <w:t xml:space="preserve">Monaghan, K. A., &amp; Milner, A. M. (2008). Salmon carcasses as a marine-derived resource for benthic macroinvertebrates in a developing postglacial stream, Alaska. </w:t>
      </w:r>
      <w:r>
        <w:rPr>
          <w:i/>
          <w:iCs/>
        </w:rPr>
        <w:t>Canadian Journal of Fisheries and Aquatic Sciences</w:t>
      </w:r>
      <w:r>
        <w:t xml:space="preserve">, </w:t>
      </w:r>
      <w:r>
        <w:rPr>
          <w:i/>
          <w:iCs/>
        </w:rPr>
        <w:t>65</w:t>
      </w:r>
      <w:r>
        <w:t>(7), 1342–1351. https://doi.org/10.1139/F08-058</w:t>
      </w:r>
    </w:p>
    <w:p w14:paraId="7A10E942" w14:textId="77777777" w:rsidR="00276430" w:rsidRDefault="00276430" w:rsidP="00276430">
      <w:pPr>
        <w:pStyle w:val="Bibliography"/>
      </w:pPr>
      <w:r>
        <w:t xml:space="preserve">Moore, J. W., &amp; Schindler, D. E. (2004). Nutrient export from freshwater ecosystems by anadromous sockeye salmon (Oncorhynchus nerka). </w:t>
      </w:r>
      <w:r>
        <w:rPr>
          <w:i/>
          <w:iCs/>
        </w:rPr>
        <w:t>Canadian Journal of Fisheries and Aquatic Sciences</w:t>
      </w:r>
      <w:r>
        <w:t xml:space="preserve">, </w:t>
      </w:r>
      <w:r>
        <w:rPr>
          <w:i/>
          <w:iCs/>
        </w:rPr>
        <w:t>61</w:t>
      </w:r>
      <w:r>
        <w:t>(9), 1582–1589.</w:t>
      </w:r>
    </w:p>
    <w:p w14:paraId="75D17971" w14:textId="77777777" w:rsidR="00276430" w:rsidRDefault="00276430" w:rsidP="00276430">
      <w:pPr>
        <w:pStyle w:val="Bibliography"/>
      </w:pPr>
      <w:r>
        <w:t xml:space="preserve">Moore, J. W., Schindler, D. E., Carter, J. L., Fox, J., Griffiths, J., &amp; Holtgrieve, G. W. (2007). BIOTIC CONTROL OF STREAM FLUXES: SPAWNING SALMON DRIVE NUTRIENT AND MATTER EXPORT. </w:t>
      </w:r>
      <w:r>
        <w:rPr>
          <w:i/>
          <w:iCs/>
        </w:rPr>
        <w:t>Ecology</w:t>
      </w:r>
      <w:r>
        <w:t xml:space="preserve">, </w:t>
      </w:r>
      <w:r>
        <w:rPr>
          <w:i/>
          <w:iCs/>
        </w:rPr>
        <w:t>88</w:t>
      </w:r>
      <w:r>
        <w:t>(5), 1278–1291. https://doi.org/10.1890/06-0782</w:t>
      </w:r>
    </w:p>
    <w:p w14:paraId="002CD69F" w14:textId="77777777" w:rsidR="00276430" w:rsidRDefault="00276430" w:rsidP="00276430">
      <w:pPr>
        <w:pStyle w:val="Bibliography"/>
      </w:pPr>
      <w:r>
        <w:t xml:space="preserve">Morin, J. (2021, March 26). </w:t>
      </w:r>
      <w:r>
        <w:rPr>
          <w:i/>
          <w:iCs/>
        </w:rPr>
        <w:t>New Insights Into Pre-Contact Coast Salish Salmon Fisheries and Implications for Modern Stewardship</w:t>
      </w:r>
      <w:r>
        <w:t>. https://www.youtube.com/watch?v=QseIGs3ozyw&amp;t=2298s</w:t>
      </w:r>
    </w:p>
    <w:p w14:paraId="53323AE6" w14:textId="77777777" w:rsidR="00276430" w:rsidRDefault="00276430" w:rsidP="00276430">
      <w:pPr>
        <w:pStyle w:val="Bibliography"/>
      </w:pPr>
      <w:r>
        <w:t xml:space="preserve">Morris, A. E., Stark, J. M., &amp; Gilbert, B. K. (2005a). Evaluation of isotopic fractionation error on calculations of marine-derived nitrogen in terrestrial ecosystems. </w:t>
      </w:r>
      <w:r>
        <w:rPr>
          <w:i/>
          <w:iCs/>
        </w:rPr>
        <w:t>Canadian Journal of Forest Research</w:t>
      </w:r>
      <w:r>
        <w:t xml:space="preserve">, </w:t>
      </w:r>
      <w:r>
        <w:rPr>
          <w:i/>
          <w:iCs/>
        </w:rPr>
        <w:t>35</w:t>
      </w:r>
      <w:r>
        <w:t>(7), 1604–1616.</w:t>
      </w:r>
    </w:p>
    <w:p w14:paraId="490A58AE" w14:textId="77777777" w:rsidR="00276430" w:rsidRDefault="00276430" w:rsidP="00276430">
      <w:pPr>
        <w:pStyle w:val="Bibliography"/>
      </w:pPr>
      <w:r>
        <w:t xml:space="preserve">Morris, A. E., Stark, J. M., &amp; Gilbert, B. K. (2005b). Evaluation of isotopic fractionation error on calculations of marine-derived nitrogen in terrestrial ecosystems. </w:t>
      </w:r>
      <w:r>
        <w:rPr>
          <w:i/>
          <w:iCs/>
        </w:rPr>
        <w:t>Canadian Journal of Forest Research</w:t>
      </w:r>
      <w:r>
        <w:t xml:space="preserve">, </w:t>
      </w:r>
      <w:r>
        <w:rPr>
          <w:i/>
          <w:iCs/>
        </w:rPr>
        <w:t>35</w:t>
      </w:r>
      <w:r>
        <w:t>(7), 1604–1616. https://doi.org/10.1139/x05-094</w:t>
      </w:r>
    </w:p>
    <w:p w14:paraId="2CF8EC3F" w14:textId="77777777" w:rsidR="00276430" w:rsidRDefault="00276430" w:rsidP="00276430">
      <w:pPr>
        <w:pStyle w:val="Bibliography"/>
      </w:pPr>
      <w:r>
        <w:t xml:space="preserve">Morris, M. R., &amp; Stanford, J. A. (2011). Floodplain succession and soil nitrogen accumulation on a salmon river in southwestern Kamchatka. </w:t>
      </w:r>
      <w:r>
        <w:rPr>
          <w:i/>
          <w:iCs/>
        </w:rPr>
        <w:t>Ecological Monographs</w:t>
      </w:r>
      <w:r>
        <w:t xml:space="preserve">, </w:t>
      </w:r>
      <w:r>
        <w:rPr>
          <w:i/>
          <w:iCs/>
        </w:rPr>
        <w:t>81</w:t>
      </w:r>
      <w:r>
        <w:t>(1), 43–61.</w:t>
      </w:r>
    </w:p>
    <w:p w14:paraId="648BE8FA" w14:textId="77777777" w:rsidR="00276430" w:rsidRDefault="00276430" w:rsidP="00276430">
      <w:pPr>
        <w:pStyle w:val="Bibliography"/>
      </w:pPr>
      <w:r>
        <w:t xml:space="preserve">Morrissey, C. A., Pollet, I. L., Ormerod, S. J., &amp; Elliott, J. E. (2012). American Dippers Indicate Contaminant Biotransport by Pacific Salmon. </w:t>
      </w:r>
      <w:r>
        <w:rPr>
          <w:i/>
          <w:iCs/>
        </w:rPr>
        <w:t>Environmental Science &amp; Technology</w:t>
      </w:r>
      <w:r>
        <w:t xml:space="preserve">, </w:t>
      </w:r>
      <w:r>
        <w:rPr>
          <w:i/>
          <w:iCs/>
        </w:rPr>
        <w:t>46</w:t>
      </w:r>
      <w:r>
        <w:t>(2), 1153–1162. https://doi.org/10.1021/es2028058</w:t>
      </w:r>
    </w:p>
    <w:p w14:paraId="6675B295" w14:textId="77777777" w:rsidR="00276430" w:rsidRDefault="00276430" w:rsidP="00276430">
      <w:pPr>
        <w:pStyle w:val="Bibliography"/>
      </w:pPr>
      <w:r>
        <w:t xml:space="preserve">Morton, T. (2010). </w:t>
      </w:r>
      <w:r>
        <w:rPr>
          <w:i/>
          <w:iCs/>
        </w:rPr>
        <w:t>The Ecological Thought</w:t>
      </w:r>
      <w:r>
        <w:t>. Harvard University Press.</w:t>
      </w:r>
    </w:p>
    <w:p w14:paraId="4C50F052" w14:textId="77777777" w:rsidR="00276430" w:rsidRDefault="00276430" w:rsidP="00276430">
      <w:pPr>
        <w:pStyle w:val="Bibliography"/>
      </w:pPr>
      <w:r>
        <w:t xml:space="preserve">Moss, M. L., &amp; Cannon, A. (2011). </w:t>
      </w:r>
      <w:r>
        <w:rPr>
          <w:i/>
          <w:iCs/>
        </w:rPr>
        <w:t>The Archaeology of North Pacific Fisheries</w:t>
      </w:r>
      <w:r>
        <w:t>. University of Alaska Press.</w:t>
      </w:r>
    </w:p>
    <w:p w14:paraId="58204CBC" w14:textId="77777777" w:rsidR="00276430" w:rsidRDefault="00276430" w:rsidP="00276430">
      <w:pPr>
        <w:pStyle w:val="Bibliography"/>
      </w:pPr>
      <w:r>
        <w:t xml:space="preserve">Muckle, R. J. (2014). </w:t>
      </w:r>
      <w:r>
        <w:rPr>
          <w:i/>
          <w:iCs/>
        </w:rPr>
        <w:t>The First Nations of British Columbia, Third Edition: An Anthropological Overview</w:t>
      </w:r>
      <w:r>
        <w:t>. UBC Press.</w:t>
      </w:r>
    </w:p>
    <w:p w14:paraId="6A2CA50E" w14:textId="77777777" w:rsidR="00276430" w:rsidRDefault="00276430" w:rsidP="00276430">
      <w:pPr>
        <w:pStyle w:val="Bibliography"/>
      </w:pPr>
      <w:r>
        <w:t xml:space="preserve">Murray, A. (2008). </w:t>
      </w:r>
      <w:r>
        <w:rPr>
          <w:i/>
          <w:iCs/>
        </w:rPr>
        <w:t>Tracing Our Past: A Heritage Guide to Boundary Bay</w:t>
      </w:r>
      <w:r>
        <w:t>. Nature Guides B.C.</w:t>
      </w:r>
    </w:p>
    <w:p w14:paraId="4DC50558" w14:textId="77777777" w:rsidR="00276430" w:rsidRDefault="00276430" w:rsidP="00276430">
      <w:pPr>
        <w:pStyle w:val="Bibliography"/>
      </w:pPr>
      <w:r>
        <w:t xml:space="preserve">Narver, D. W. (1967). Primary productivity in the Babine lake system, British Columbia. </w:t>
      </w:r>
      <w:r>
        <w:rPr>
          <w:i/>
          <w:iCs/>
        </w:rPr>
        <w:t>Journal of the Fisheries Board of Canada</w:t>
      </w:r>
      <w:r>
        <w:t xml:space="preserve">, </w:t>
      </w:r>
      <w:r>
        <w:rPr>
          <w:i/>
          <w:iCs/>
        </w:rPr>
        <w:t>24</w:t>
      </w:r>
      <w:r>
        <w:t>(10), 2045–2052.</w:t>
      </w:r>
    </w:p>
    <w:p w14:paraId="1A6AD318" w14:textId="77777777" w:rsidR="00276430" w:rsidRDefault="00276430" w:rsidP="00276430">
      <w:pPr>
        <w:pStyle w:val="Bibliography"/>
      </w:pPr>
      <w:r>
        <w:t xml:space="preserve">Näsholm, T., Kielland, K., &amp; Ganeteg, U. (2009). Uptake of organic nitrogen by plants. </w:t>
      </w:r>
      <w:r>
        <w:rPr>
          <w:i/>
          <w:iCs/>
        </w:rPr>
        <w:t>New Phytologist</w:t>
      </w:r>
      <w:r>
        <w:t xml:space="preserve">, </w:t>
      </w:r>
      <w:r>
        <w:rPr>
          <w:i/>
          <w:iCs/>
        </w:rPr>
        <w:t>182</w:t>
      </w:r>
      <w:r>
        <w:t>(1), 31–48. https://doi.org/10.1111/j.1469-8137.2008.02751.x</w:t>
      </w:r>
    </w:p>
    <w:p w14:paraId="0F30F632" w14:textId="77777777" w:rsidR="00276430" w:rsidRDefault="00276430" w:rsidP="00276430">
      <w:pPr>
        <w:pStyle w:val="Bibliography"/>
      </w:pPr>
      <w:r>
        <w:t xml:space="preserve">National Research Council, N. R. (1996). </w:t>
      </w:r>
      <w:r>
        <w:rPr>
          <w:i/>
          <w:iCs/>
        </w:rPr>
        <w:t>Upstream: Salmon and Society in the Pacific Northwest</w:t>
      </w:r>
      <w:r>
        <w:t>. Natl Academy Pr.</w:t>
      </w:r>
    </w:p>
    <w:p w14:paraId="646191A9" w14:textId="77777777" w:rsidR="00276430" w:rsidRDefault="00276430" w:rsidP="00276430">
      <w:pPr>
        <w:pStyle w:val="Bibliography"/>
      </w:pPr>
      <w:r>
        <w:t xml:space="preserve">Naylor, R. L., Eagle, J., &amp; Smith, W. L. (2003). Salmon aquaculture in the Pacific Northwest a global industry with local impacts. </w:t>
      </w:r>
      <w:r>
        <w:rPr>
          <w:i/>
          <w:iCs/>
        </w:rPr>
        <w:t>Environment: Science and Policy for Sustainable Development</w:t>
      </w:r>
      <w:r>
        <w:t xml:space="preserve">, </w:t>
      </w:r>
      <w:r>
        <w:rPr>
          <w:i/>
          <w:iCs/>
        </w:rPr>
        <w:t>45</w:t>
      </w:r>
      <w:r>
        <w:t>(8), 18–39.</w:t>
      </w:r>
    </w:p>
    <w:p w14:paraId="0E1DF4C3" w14:textId="77777777" w:rsidR="00276430" w:rsidRDefault="00276430" w:rsidP="00276430">
      <w:pPr>
        <w:pStyle w:val="Bibliography"/>
      </w:pPr>
      <w:r>
        <w:t xml:space="preserve">Newman, E. I. (1988). Mycorrhizal Links Between Plants: Their Functioning and Ecological Significance. </w:t>
      </w:r>
      <w:r>
        <w:rPr>
          <w:i/>
          <w:iCs/>
        </w:rPr>
        <w:t>Advances in Ecological Research</w:t>
      </w:r>
      <w:r>
        <w:t xml:space="preserve">, </w:t>
      </w:r>
      <w:r>
        <w:rPr>
          <w:i/>
          <w:iCs/>
        </w:rPr>
        <w:t>18</w:t>
      </w:r>
      <w:r>
        <w:t>, 243–270. https://doi.org/10.1016/S0065-2504(08)60182-8</w:t>
      </w:r>
    </w:p>
    <w:p w14:paraId="2E4393B0" w14:textId="77777777" w:rsidR="00276430" w:rsidRDefault="00276430" w:rsidP="00276430">
      <w:pPr>
        <w:pStyle w:val="Bibliography"/>
      </w:pPr>
      <w:r>
        <w:t xml:space="preserve">Newman, E. I., &amp; Eason, W. R. (1993). Rates of Phosphorus Transfer Within and Between Ryegrass (Lolium perenne) Plants. </w:t>
      </w:r>
      <w:r>
        <w:rPr>
          <w:i/>
          <w:iCs/>
        </w:rPr>
        <w:t>Functional Ecology</w:t>
      </w:r>
      <w:r>
        <w:t xml:space="preserve">, </w:t>
      </w:r>
      <w:r>
        <w:rPr>
          <w:i/>
          <w:iCs/>
        </w:rPr>
        <w:t>7</w:t>
      </w:r>
      <w:r>
        <w:t>(2), 242–248. https://doi.org/10.2307/2389894</w:t>
      </w:r>
    </w:p>
    <w:p w14:paraId="71859F46" w14:textId="77777777" w:rsidR="00276430" w:rsidRDefault="00276430" w:rsidP="00276430">
      <w:pPr>
        <w:pStyle w:val="Bibliography"/>
      </w:pPr>
      <w:r>
        <w:t xml:space="preserve">Nguyen, N. H., Song, Z., Bates, S. T., Branco, S., Tedersoo, L., Menke, J., Schilling, J. S., &amp; Kennedy, P. G. (2016). FUNGuild: An open annotation tool for parsing fungal community datasets by ecological guild. </w:t>
      </w:r>
      <w:r>
        <w:rPr>
          <w:i/>
          <w:iCs/>
        </w:rPr>
        <w:t>Fungal Ecology</w:t>
      </w:r>
      <w:r>
        <w:t xml:space="preserve">, </w:t>
      </w:r>
      <w:r>
        <w:rPr>
          <w:i/>
          <w:iCs/>
        </w:rPr>
        <w:t>20</w:t>
      </w:r>
      <w:r>
        <w:t>, 241–248. https://doi.org/10.1016/j.funeco.2015.06.006</w:t>
      </w:r>
    </w:p>
    <w:p w14:paraId="2E3C468E" w14:textId="77777777" w:rsidR="00276430" w:rsidRDefault="00276430" w:rsidP="00276430">
      <w:pPr>
        <w:pStyle w:val="Bibliography"/>
      </w:pPr>
      <w:r>
        <w:t xml:space="preserve">Nicolodi, M., &amp; Gianello, C. (2014). </w:t>
      </w:r>
      <w:r>
        <w:rPr>
          <w:i/>
          <w:iCs/>
        </w:rPr>
        <w:t>Understanding Soil as an Open System and Fertility as an Emergent Property of the Soil System</w:t>
      </w:r>
      <w:r>
        <w:t xml:space="preserve"> (No. 526-2016–37873). Sustainable Agriculture Research. https://doi.org/10.22004/ag.econ.230408</w:t>
      </w:r>
    </w:p>
    <w:p w14:paraId="596B6E75" w14:textId="77777777" w:rsidR="00276430" w:rsidRDefault="00276430" w:rsidP="00276430">
      <w:pPr>
        <w:pStyle w:val="Bibliography"/>
      </w:pPr>
      <w:r>
        <w:t xml:space="preserve">Nie, Y., Wang, M., Zhang, W., Ni, Z., Hashidoko, Y., &amp; Shen, W. (2018). Ammonium nitrogen content is a dominant predictor of bacterial community composition in an acidic forest soil with exogenous nitrogen enrichment. </w:t>
      </w:r>
      <w:r>
        <w:rPr>
          <w:i/>
          <w:iCs/>
        </w:rPr>
        <w:t>Science of The Total Environment</w:t>
      </w:r>
      <w:r>
        <w:t xml:space="preserve">, </w:t>
      </w:r>
      <w:r>
        <w:rPr>
          <w:i/>
          <w:iCs/>
        </w:rPr>
        <w:t>624</w:t>
      </w:r>
      <w:r>
        <w:t>, 407–415. https://doi.org/10.1016/j.scitotenv.2017.12.142</w:t>
      </w:r>
    </w:p>
    <w:p w14:paraId="0979532D" w14:textId="77777777" w:rsidR="00276430" w:rsidRDefault="00276430" w:rsidP="00276430">
      <w:pPr>
        <w:pStyle w:val="Bibliography"/>
      </w:pPr>
      <w:r>
        <w:t xml:space="preserve">Nielsen, J. L., Ruggerone, G. T., &amp; Zimmerman, C. E. (2013). Adaptive strategies and life history characteristics in a warming climate: Salmon in the Arctic? </w:t>
      </w:r>
      <w:r>
        <w:rPr>
          <w:i/>
          <w:iCs/>
        </w:rPr>
        <w:t>Environmental Biology of Fishes</w:t>
      </w:r>
      <w:r>
        <w:t xml:space="preserve">, </w:t>
      </w:r>
      <w:r>
        <w:rPr>
          <w:i/>
          <w:iCs/>
        </w:rPr>
        <w:t>96</w:t>
      </w:r>
      <w:r>
        <w:t>(10), 1187–1226. https://doi.org/10.1007/s10641-012-0082-6</w:t>
      </w:r>
    </w:p>
    <w:p w14:paraId="0E78A291" w14:textId="77777777" w:rsidR="00276430" w:rsidRDefault="00276430" w:rsidP="00276430">
      <w:pPr>
        <w:pStyle w:val="Bibliography"/>
      </w:pPr>
      <w:r>
        <w:t xml:space="preserve">Nilsson, R. H., Larsson, K.-H., Taylor, A. F. S., Bengtsson-Palme, J., Jeppesen, T. S., Schigel, D., Kennedy, P., Picard, K., Glöckner, F. O., Tedersoo, L., Saar, I., Kõljalg, U., &amp; Abarenkov, K. (2019). The UNITE database for molecular identification of fungi: Handling dark taxa and parallel taxonomic classifications. </w:t>
      </w:r>
      <w:r>
        <w:rPr>
          <w:i/>
          <w:iCs/>
        </w:rPr>
        <w:t>Nucleic Acids Research</w:t>
      </w:r>
      <w:r>
        <w:t xml:space="preserve">, </w:t>
      </w:r>
      <w:r>
        <w:rPr>
          <w:i/>
          <w:iCs/>
        </w:rPr>
        <w:t>47</w:t>
      </w:r>
      <w:r>
        <w:t>(D1), D259–D264. https://doi.org/10.1093/nar/gky1022</w:t>
      </w:r>
    </w:p>
    <w:p w14:paraId="45015783" w14:textId="77777777" w:rsidR="00276430" w:rsidRDefault="00276430" w:rsidP="00276430">
      <w:pPr>
        <w:pStyle w:val="Bibliography"/>
      </w:pPr>
      <w:r>
        <w:t xml:space="preserve">Noakes, D. J., Fang, L., Hipel, K. W., &amp; Kilgour, D. M. (2005). The Pacific Salmon Treaty: A Century of Debate and an Uncertain Future. </w:t>
      </w:r>
      <w:r>
        <w:rPr>
          <w:i/>
          <w:iCs/>
        </w:rPr>
        <w:t>Group Decision and Negotiation</w:t>
      </w:r>
      <w:r>
        <w:t xml:space="preserve">, </w:t>
      </w:r>
      <w:r>
        <w:rPr>
          <w:i/>
          <w:iCs/>
        </w:rPr>
        <w:t>14</w:t>
      </w:r>
      <w:r>
        <w:t>(6), 501–522. https://doi.org/10.1007/s10726-005-9005-7</w:t>
      </w:r>
    </w:p>
    <w:p w14:paraId="5F871754" w14:textId="77777777" w:rsidR="00276430" w:rsidRDefault="00276430" w:rsidP="00276430">
      <w:pPr>
        <w:pStyle w:val="Bibliography"/>
      </w:pPr>
      <w:r>
        <w:t xml:space="preserve">Nylund, J.-E., &amp; Wallander, H. (1992). 5 Ergosterol Analysis as a Means of Quantifying Mycorrhizal Biomass. </w:t>
      </w:r>
      <w:r>
        <w:rPr>
          <w:i/>
          <w:iCs/>
        </w:rPr>
        <w:t>Methods in Microbiology</w:t>
      </w:r>
      <w:r>
        <w:t xml:space="preserve">, </w:t>
      </w:r>
      <w:r>
        <w:rPr>
          <w:i/>
          <w:iCs/>
        </w:rPr>
        <w:t>24</w:t>
      </w:r>
      <w:r>
        <w:t>, 77–88. https://doi.org/10.1016/S0580-9517(08)70088-6</w:t>
      </w:r>
    </w:p>
    <w:p w14:paraId="5C96CA14" w14:textId="77777777" w:rsidR="00276430" w:rsidRDefault="00276430" w:rsidP="00276430">
      <w:pPr>
        <w:pStyle w:val="Bibliography"/>
      </w:pPr>
      <w:r>
        <w:t xml:space="preserve">O Keefe, T. C., &amp; Edwards, R. T. (2003). Evidence for hyporheic transfer and removal of marine-derived nutrients in a sockeye stream in southwest Alaska. </w:t>
      </w:r>
      <w:r>
        <w:rPr>
          <w:i/>
          <w:iCs/>
        </w:rPr>
        <w:t>American Fisheries Society Symposium</w:t>
      </w:r>
      <w:r>
        <w:t>, 99–110. http://riversandcreeks.com/research/publications/okeefe_edwards_2002.pdf</w:t>
      </w:r>
    </w:p>
    <w:p w14:paraId="1FD355EE" w14:textId="77777777" w:rsidR="00276430" w:rsidRDefault="00276430" w:rsidP="00276430">
      <w:pPr>
        <w:pStyle w:val="Bibliography"/>
      </w:pPr>
      <w:r>
        <w:t xml:space="preserve">Ogner, G., &amp; Schnitzer, M. (1971). Chemistry of Fulvic Acid, a Soil Humic Fraction, and its Relation to Lignin. </w:t>
      </w:r>
      <w:r>
        <w:rPr>
          <w:i/>
          <w:iCs/>
        </w:rPr>
        <w:t>Canadian Journal of Chemistry</w:t>
      </w:r>
      <w:r>
        <w:t xml:space="preserve">, </w:t>
      </w:r>
      <w:r>
        <w:rPr>
          <w:i/>
          <w:iCs/>
        </w:rPr>
        <w:t>49</w:t>
      </w:r>
      <w:r>
        <w:t>(7), 1053–1063. https://doi.org/10.1139/v71-175</w:t>
      </w:r>
    </w:p>
    <w:p w14:paraId="09945E2F" w14:textId="77777777" w:rsidR="00276430" w:rsidRDefault="00276430" w:rsidP="00276430">
      <w:pPr>
        <w:pStyle w:val="Bibliography"/>
      </w:pPr>
      <w:r>
        <w:t xml:space="preserve">Oksanen, J., Blanchet, F. G., Kindt, R., Legendre, P., Minchin, P. R., O’hara, R. B., Simpson, G. L., Solymos, P., Stevens, M. H. H., &amp; Wagner, H. (2013). Package ‘vegan.’ </w:t>
      </w:r>
      <w:r>
        <w:rPr>
          <w:i/>
          <w:iCs/>
        </w:rPr>
        <w:t>Community Ecology Package, Version</w:t>
      </w:r>
      <w:r>
        <w:t xml:space="preserve">, </w:t>
      </w:r>
      <w:r>
        <w:rPr>
          <w:i/>
          <w:iCs/>
        </w:rPr>
        <w:t>2</w:t>
      </w:r>
      <w:r>
        <w:t>(9), 1–295.</w:t>
      </w:r>
    </w:p>
    <w:p w14:paraId="1BEDF8EF" w14:textId="77777777" w:rsidR="00276430" w:rsidRDefault="00276430" w:rsidP="00276430">
      <w:pPr>
        <w:pStyle w:val="Bibliography"/>
      </w:pPr>
      <w:r>
        <w:t xml:space="preserve">Oliver, A. A., Tank, S. E., Giesbrecht, I., Korver, M. C., Floyd, W. C., Sanborn, P., Bulmer, C., &amp; Lertzman, K. P. (2017). A global hotspot for dissolved organic carbon in hypermaritime watersheds of coastal British Columbia. </w:t>
      </w:r>
      <w:r>
        <w:rPr>
          <w:i/>
          <w:iCs/>
        </w:rPr>
        <w:t>Biogeosciences</w:t>
      </w:r>
      <w:r>
        <w:t xml:space="preserve">, </w:t>
      </w:r>
      <w:r>
        <w:rPr>
          <w:i/>
          <w:iCs/>
        </w:rPr>
        <w:t>14</w:t>
      </w:r>
      <w:r>
        <w:t>(15), 3743–3762. https://doi.org/10.5194/bg-14-3743-2017</w:t>
      </w:r>
    </w:p>
    <w:p w14:paraId="1373A3B9" w14:textId="77777777" w:rsidR="00276430" w:rsidRDefault="00276430" w:rsidP="00276430">
      <w:pPr>
        <w:pStyle w:val="Bibliography"/>
      </w:pPr>
      <w:r>
        <w:t xml:space="preserve">Olsrud, M., Michelsen, A., &amp; Wallander, H. (2007). Ergosterol content in ericaceous hair roots correlates with dark septate endophytes but not with ericoid mycorrhizal colonization. </w:t>
      </w:r>
      <w:r>
        <w:rPr>
          <w:i/>
          <w:iCs/>
        </w:rPr>
        <w:t>Soil Biology and Biochemistry</w:t>
      </w:r>
      <w:r>
        <w:t xml:space="preserve">, </w:t>
      </w:r>
      <w:r>
        <w:rPr>
          <w:i/>
          <w:iCs/>
        </w:rPr>
        <w:t>39</w:t>
      </w:r>
      <w:r>
        <w:t>(5), 1218–1221. https://doi.org/10.1016/j.soilbio.2006.11.018</w:t>
      </w:r>
    </w:p>
    <w:p w14:paraId="565C9AD7" w14:textId="77777777" w:rsidR="00276430" w:rsidRDefault="00276430" w:rsidP="00276430">
      <w:pPr>
        <w:pStyle w:val="Bibliography"/>
      </w:pPr>
      <w:r>
        <w:t xml:space="preserve">O’Neel, S., Hood, E., Bidlack, A. L., Fleming, S. W., Arimitsu, M. L., Arendt, A., Burgess, E., Sergeant, C. J., Beaudreau, A. H., Timm, K., Hayward, G. D., Reynolds, J. H., &amp; Pyare, S. (2015). Icefield-to-Ocean Linkages across the Northern Pacific Coastal Temperate Rainforest Ecosystem. </w:t>
      </w:r>
      <w:r>
        <w:rPr>
          <w:i/>
          <w:iCs/>
        </w:rPr>
        <w:t>BioScience</w:t>
      </w:r>
      <w:r>
        <w:t xml:space="preserve">, </w:t>
      </w:r>
      <w:r>
        <w:rPr>
          <w:i/>
          <w:iCs/>
        </w:rPr>
        <w:t>65</w:t>
      </w:r>
      <w:r>
        <w:t>(5), 499–512. https://doi.org/10.1093/biosci/biv027</w:t>
      </w:r>
    </w:p>
    <w:p w14:paraId="39AD1182" w14:textId="77777777" w:rsidR="00276430" w:rsidRDefault="00276430" w:rsidP="00276430">
      <w:pPr>
        <w:pStyle w:val="Bibliography"/>
      </w:pPr>
      <w:r>
        <w:t xml:space="preserve">O’Neill, S. M., Carey, A. J., Harding, L. B., West, J. E., Ylitalo, G. M., &amp; Chamberlin, J. W. (2020). Chemical tracers guide identification of the location and source of persistent organic pollutants in juvenile Chinook salmon (Oncorhynchus tshawytscha), migrating seaward through an estuary with multiple contaminant inputs. </w:t>
      </w:r>
      <w:r>
        <w:rPr>
          <w:i/>
          <w:iCs/>
        </w:rPr>
        <w:t>Science of The Total Environment</w:t>
      </w:r>
      <w:r>
        <w:t xml:space="preserve">, </w:t>
      </w:r>
      <w:r>
        <w:rPr>
          <w:i/>
          <w:iCs/>
        </w:rPr>
        <w:t>712</w:t>
      </w:r>
      <w:r>
        <w:t>, 135516. https://doi.org/10.1016/j.scitotenv.2019.135516</w:t>
      </w:r>
    </w:p>
    <w:p w14:paraId="3F85752E" w14:textId="77777777" w:rsidR="00276430" w:rsidRDefault="00276430" w:rsidP="00276430">
      <w:pPr>
        <w:pStyle w:val="Bibliography"/>
      </w:pPr>
      <w:r>
        <w:t xml:space="preserve">Öpik, M., Vanatoa, A., Vanatoa, E., Moora, M., Davison, J., Kalwij, J. M., Reier, Ü., &amp; Zobel, M. (2010). The online database MaarjAM reveals global and ecosystemic distribution patterns in arbuscular mycorrhizal fungi (Glomeromycota). </w:t>
      </w:r>
      <w:r>
        <w:rPr>
          <w:i/>
          <w:iCs/>
        </w:rPr>
        <w:t>New Phytologist</w:t>
      </w:r>
      <w:r>
        <w:t xml:space="preserve">, </w:t>
      </w:r>
      <w:r>
        <w:rPr>
          <w:i/>
          <w:iCs/>
        </w:rPr>
        <w:t>188</w:t>
      </w:r>
      <w:r>
        <w:t>(1), 223–241. https://doi.org/10.1111/j.1469-8137.2010.03334.x</w:t>
      </w:r>
    </w:p>
    <w:p w14:paraId="7DED2E17" w14:textId="77777777" w:rsidR="00276430" w:rsidRDefault="00276430" w:rsidP="00276430">
      <w:pPr>
        <w:pStyle w:val="Bibliography"/>
      </w:pPr>
      <w:r>
        <w:t xml:space="preserve">Orgiazzi, A., Dunbar, M. B., Panagos, P., de Groot, G. A., &amp; Lemanceau, P. (2015). Soil biodiversity and DNA barcodes: Opportunities and challenges. </w:t>
      </w:r>
      <w:r>
        <w:rPr>
          <w:i/>
          <w:iCs/>
        </w:rPr>
        <w:t>Soil Biology and Biochemistry</w:t>
      </w:r>
      <w:r>
        <w:t xml:space="preserve">, </w:t>
      </w:r>
      <w:r>
        <w:rPr>
          <w:i/>
          <w:iCs/>
        </w:rPr>
        <w:t>80</w:t>
      </w:r>
      <w:r>
        <w:t>, 244–250.</w:t>
      </w:r>
    </w:p>
    <w:p w14:paraId="0F0E1408" w14:textId="77777777" w:rsidR="00276430" w:rsidRDefault="00276430" w:rsidP="00276430">
      <w:pPr>
        <w:pStyle w:val="Bibliography"/>
      </w:pPr>
      <w:r>
        <w:t xml:space="preserve">Orwin, K. H., Bertram, J. E., Clough, T. J., Condron, L. M., Sherlock, R. R., &amp; O’Callaghan, M. (2009). Short-term consequences of spatial heterogeneity in soil nitrogen concentrations caused by urine patches of different sizes. </w:t>
      </w:r>
      <w:r>
        <w:rPr>
          <w:i/>
          <w:iCs/>
        </w:rPr>
        <w:t>Applied Soil Ecology</w:t>
      </w:r>
      <w:r>
        <w:t xml:space="preserve">, </w:t>
      </w:r>
      <w:r>
        <w:rPr>
          <w:i/>
          <w:iCs/>
        </w:rPr>
        <w:t>42</w:t>
      </w:r>
      <w:r>
        <w:t>(3), 271–278. https://doi.org/10.1016/j.apsoil.2009.05.002</w:t>
      </w:r>
    </w:p>
    <w:p w14:paraId="2A232B22" w14:textId="77777777" w:rsidR="00276430" w:rsidRDefault="00276430" w:rsidP="00276430">
      <w:pPr>
        <w:pStyle w:val="Bibliography"/>
      </w:pPr>
      <w:r>
        <w:t xml:space="preserve">Ozimek, E., &amp; Hanaka, A. (2021). Mortierella Species as the Plant Growth-Promoting Fungi Present in the Agricultural Soils. </w:t>
      </w:r>
      <w:r>
        <w:rPr>
          <w:i/>
          <w:iCs/>
        </w:rPr>
        <w:t>Agriculture</w:t>
      </w:r>
      <w:r>
        <w:t xml:space="preserve">, </w:t>
      </w:r>
      <w:r>
        <w:rPr>
          <w:i/>
          <w:iCs/>
        </w:rPr>
        <w:t>11</w:t>
      </w:r>
      <w:r>
        <w:t>(1), 7. https://doi.org/10.3390/agriculture11010007</w:t>
      </w:r>
    </w:p>
    <w:p w14:paraId="223A81FB" w14:textId="77777777" w:rsidR="00276430" w:rsidRDefault="00276430" w:rsidP="00276430">
      <w:pPr>
        <w:pStyle w:val="Bibliography"/>
      </w:pPr>
      <w:r>
        <w:t xml:space="preserve">Pandey, D., Kehri, H. K., Zoomi, I., Singh, U., Chaudhri, K. L., &amp; Akhtar, O. (2020). Potassium Solubilizing Microbes: Diversity, Ecological Significances and Biotechnological Applications. In A. N. Yadav, J. Singh, A. A. Rastegari, &amp; N. Yadav (Eds.), </w:t>
      </w:r>
      <w:r>
        <w:rPr>
          <w:i/>
          <w:iCs/>
        </w:rPr>
        <w:t>Plant Microbiomes for Sustainable Agriculture</w:t>
      </w:r>
      <w:r>
        <w:t xml:space="preserve"> (pp. 263–286). Springer International Publishing. https://doi.org/10.1007/978-3-030-38453-1_9</w:t>
      </w:r>
    </w:p>
    <w:p w14:paraId="399950BA" w14:textId="77777777" w:rsidR="00276430" w:rsidRDefault="00276430" w:rsidP="00276430">
      <w:pPr>
        <w:pStyle w:val="Bibliography"/>
      </w:pPr>
      <w:r>
        <w:t xml:space="preserve">Patzel, N., Sticher, H., &amp; Karlen, D. L. (2000). Soil Fertility—Phenomenon and Concept. </w:t>
      </w:r>
      <w:r>
        <w:rPr>
          <w:i/>
          <w:iCs/>
        </w:rPr>
        <w:t>Journal of Plant Nutrition and Soil Science</w:t>
      </w:r>
      <w:r>
        <w:t xml:space="preserve">, </w:t>
      </w:r>
      <w:r>
        <w:rPr>
          <w:i/>
          <w:iCs/>
        </w:rPr>
        <w:t>163</w:t>
      </w:r>
      <w:r>
        <w:t>(2), 129–142. https://doi.org/10.1002/(SICI)1522-2624(200004)163:2&lt;129::AID-JPLN129&gt;3.0.CO;2-D</w:t>
      </w:r>
    </w:p>
    <w:p w14:paraId="49BAC18B" w14:textId="77777777" w:rsidR="00276430" w:rsidRDefault="00276430" w:rsidP="00276430">
      <w:pPr>
        <w:pStyle w:val="Bibliography"/>
      </w:pPr>
      <w:r>
        <w:t xml:space="preserve">Peay, K. G., Kennedy, P. G., &amp; Bruns, T. D. (2011). Rethinking ectomycorrhizal succession: Are root density and hyphal exploration types drivers of spatial and temporal zonation? </w:t>
      </w:r>
      <w:r>
        <w:rPr>
          <w:i/>
          <w:iCs/>
        </w:rPr>
        <w:t>Fungal Ecology</w:t>
      </w:r>
      <w:r>
        <w:t xml:space="preserve">, </w:t>
      </w:r>
      <w:r>
        <w:rPr>
          <w:i/>
          <w:iCs/>
        </w:rPr>
        <w:t>4</w:t>
      </w:r>
      <w:r>
        <w:t>(3), 233–240. https://doi.org/10.1016/j.funeco.2010.09.010</w:t>
      </w:r>
    </w:p>
    <w:p w14:paraId="1C9FC066" w14:textId="77777777" w:rsidR="00276430" w:rsidRDefault="00276430" w:rsidP="00276430">
      <w:pPr>
        <w:pStyle w:val="Bibliography"/>
      </w:pPr>
      <w:r>
        <w:t xml:space="preserve">Pechal, J. L., &amp; Benbow, M. E. (2016). Microbial ecology of the salmon necrobiome: Evidence salmon carrion decomposition influences aquatic and terrestrial insect microbiomes. </w:t>
      </w:r>
      <w:r>
        <w:rPr>
          <w:i/>
          <w:iCs/>
        </w:rPr>
        <w:t>Environmental Microbiology</w:t>
      </w:r>
      <w:r>
        <w:t xml:space="preserve">, </w:t>
      </w:r>
      <w:r>
        <w:rPr>
          <w:i/>
          <w:iCs/>
        </w:rPr>
        <w:t>18</w:t>
      </w:r>
      <w:r>
        <w:t>(5), 1511–1522. https://doi.org/10.1111/1462-2920.13187</w:t>
      </w:r>
    </w:p>
    <w:p w14:paraId="37A4C6CC" w14:textId="77777777" w:rsidR="00276430" w:rsidRDefault="00276430" w:rsidP="00276430">
      <w:pPr>
        <w:pStyle w:val="Bibliography"/>
      </w:pPr>
      <w:r>
        <w:t xml:space="preserve">Pechal, J. L., Crippen, T. L., Cammack, J. A., Tomberlin, J. K., &amp; Benbow, M. E. (2019). Microbial communities of salmon resource subsidies and associated necrophagous consumers during decomposition: Potential of cross-ecosystem microbial dispersal. </w:t>
      </w:r>
      <w:r>
        <w:rPr>
          <w:i/>
          <w:iCs/>
        </w:rPr>
        <w:t>Food Webs</w:t>
      </w:r>
      <w:r>
        <w:t xml:space="preserve">, </w:t>
      </w:r>
      <w:r>
        <w:rPr>
          <w:i/>
          <w:iCs/>
        </w:rPr>
        <w:t>19</w:t>
      </w:r>
      <w:r>
        <w:t>, e00114. https://doi.org/10.1016/j.fooweb.2019.e00114</w:t>
      </w:r>
    </w:p>
    <w:p w14:paraId="476B4D5C" w14:textId="77777777" w:rsidR="00276430" w:rsidRDefault="00276430" w:rsidP="00276430">
      <w:pPr>
        <w:pStyle w:val="Bibliography"/>
      </w:pPr>
      <w:r>
        <w:t xml:space="preserve">Perakis, S. S., Maguire, D. A., Bullen, T. D., Cromack, K., Waring, R. H., &amp; Boyle, J. R. (2006). Coupled nitrogen and calcium cycles in forests of the Oregon Coast Range. </w:t>
      </w:r>
      <w:r>
        <w:rPr>
          <w:i/>
          <w:iCs/>
        </w:rPr>
        <w:t>Ecosystems</w:t>
      </w:r>
      <w:r>
        <w:t xml:space="preserve">, </w:t>
      </w:r>
      <w:r>
        <w:rPr>
          <w:i/>
          <w:iCs/>
        </w:rPr>
        <w:t>9</w:t>
      </w:r>
      <w:r>
        <w:t>(1), 63–74.</w:t>
      </w:r>
    </w:p>
    <w:p w14:paraId="7A83A6AC" w14:textId="77777777" w:rsidR="00276430" w:rsidRDefault="00276430" w:rsidP="00276430">
      <w:pPr>
        <w:pStyle w:val="Bibliography"/>
      </w:pPr>
      <w:r>
        <w:t xml:space="preserve">Perakis, S. S., Sinkhorn, E. R., Catricala, C. E., Bullen, T. D., Fitzpatrick, J. A., Hynicka, J. D., &amp; Cromack, K. (2013). Forest calcium depletion and biotic retention along a soil nitrogen gradient. </w:t>
      </w:r>
      <w:r>
        <w:rPr>
          <w:i/>
          <w:iCs/>
        </w:rPr>
        <w:t>Ecological Applications</w:t>
      </w:r>
      <w:r>
        <w:t xml:space="preserve">, </w:t>
      </w:r>
      <w:r>
        <w:rPr>
          <w:i/>
          <w:iCs/>
        </w:rPr>
        <w:t>23</w:t>
      </w:r>
      <w:r>
        <w:t>(8), 1947–1961. https://doi.org/10.1890/12-2204.1</w:t>
      </w:r>
    </w:p>
    <w:p w14:paraId="279E160A" w14:textId="77777777" w:rsidR="00276430" w:rsidRDefault="00276430" w:rsidP="00276430">
      <w:pPr>
        <w:pStyle w:val="Bibliography"/>
      </w:pPr>
      <w:r>
        <w:t xml:space="preserve">Perry, L. G., Shafroth, P. B., &amp; Perakis, S. S. (2017). Riparian Soil Development Linked to Forest Succession Above and Below Dams Along the Elwha River, Washington, USA. </w:t>
      </w:r>
      <w:r>
        <w:rPr>
          <w:i/>
          <w:iCs/>
        </w:rPr>
        <w:t>Ecosystems</w:t>
      </w:r>
      <w:r>
        <w:t xml:space="preserve">, </w:t>
      </w:r>
      <w:r>
        <w:rPr>
          <w:i/>
          <w:iCs/>
        </w:rPr>
        <w:t>20</w:t>
      </w:r>
      <w:r>
        <w:t>(1), 104–129. https://doi.org/10.1007/s10021-016-0080-1</w:t>
      </w:r>
    </w:p>
    <w:p w14:paraId="76C0335A" w14:textId="77777777" w:rsidR="00276430" w:rsidRDefault="00276430" w:rsidP="00276430">
      <w:pPr>
        <w:pStyle w:val="Bibliography"/>
      </w:pPr>
      <w:r>
        <w:t xml:space="preserve">Peterson, R. L., Massicotte, H. B., &amp; Melville, L. H. (2004). </w:t>
      </w:r>
      <w:r>
        <w:rPr>
          <w:i/>
          <w:iCs/>
        </w:rPr>
        <w:t>Mycorrhizas: Anatomy and Cell Biology</w:t>
      </w:r>
      <w:r>
        <w:t xml:space="preserve"> (First edition). CABI.</w:t>
      </w:r>
    </w:p>
    <w:p w14:paraId="467F0CF7" w14:textId="77777777" w:rsidR="00276430" w:rsidRDefault="00276430" w:rsidP="00276430">
      <w:pPr>
        <w:pStyle w:val="Bibliography"/>
      </w:pPr>
      <w:r>
        <w:t xml:space="preserve">Philip, L., Simard, S., &amp; Jones, M. (2010). Pathways for below-ground carbon transfer between paper birch and Douglas-fir seedlings. </w:t>
      </w:r>
      <w:r>
        <w:rPr>
          <w:i/>
          <w:iCs/>
        </w:rPr>
        <w:t>Plant Ecology &amp; Diversity</w:t>
      </w:r>
      <w:r>
        <w:t xml:space="preserve">, </w:t>
      </w:r>
      <w:r>
        <w:rPr>
          <w:i/>
          <w:iCs/>
        </w:rPr>
        <w:t>3</w:t>
      </w:r>
      <w:r>
        <w:t>(3), 221–233.</w:t>
      </w:r>
    </w:p>
    <w:p w14:paraId="13213095" w14:textId="77777777" w:rsidR="00276430" w:rsidRDefault="00276430" w:rsidP="00276430">
      <w:pPr>
        <w:pStyle w:val="Bibliography"/>
      </w:pPr>
      <w:r>
        <w:t xml:space="preserve">Phillips, R. P., Brzostek, E., &amp; Midgley, M. G. (2013). The mycorrhizal-associated nutrient economy: A new framework for predicting carbon-nutrient couplings in temperate forests. </w:t>
      </w:r>
      <w:r>
        <w:rPr>
          <w:i/>
          <w:iCs/>
        </w:rPr>
        <w:t>New Phytologist</w:t>
      </w:r>
      <w:r>
        <w:t xml:space="preserve">, </w:t>
      </w:r>
      <w:r>
        <w:rPr>
          <w:i/>
          <w:iCs/>
        </w:rPr>
        <w:t>199</w:t>
      </w:r>
      <w:r>
        <w:t>(1), 41–51. https://doi.org/10.1111/nph.12221</w:t>
      </w:r>
    </w:p>
    <w:p w14:paraId="7B51773A" w14:textId="77777777" w:rsidR="00276430" w:rsidRDefault="00276430" w:rsidP="00276430">
      <w:pPr>
        <w:pStyle w:val="Bibliography"/>
      </w:pPr>
      <w:r>
        <w:t xml:space="preserve">Pinay, G., O’Keefe, T. C., Edwards, R. T., &amp; Naiman, R. J. (2009). Nitrate removal in the hyporheic zone of a salmon river in Alaska. </w:t>
      </w:r>
      <w:r>
        <w:rPr>
          <w:i/>
          <w:iCs/>
        </w:rPr>
        <w:t>River Research and Applications</w:t>
      </w:r>
      <w:r>
        <w:t xml:space="preserve">, </w:t>
      </w:r>
      <w:r>
        <w:rPr>
          <w:i/>
          <w:iCs/>
        </w:rPr>
        <w:t>25</w:t>
      </w:r>
      <w:r>
        <w:t>(4), 367–375. https://doi.org/10.1002/rra.1164</w:t>
      </w:r>
    </w:p>
    <w:p w14:paraId="7F57E7A0" w14:textId="77777777" w:rsidR="00276430" w:rsidRDefault="00276430" w:rsidP="00276430">
      <w:pPr>
        <w:pStyle w:val="Bibliography"/>
      </w:pPr>
      <w:r>
        <w:t xml:space="preserve">Piorkowski, R. J. (1995). </w:t>
      </w:r>
      <w:r>
        <w:rPr>
          <w:i/>
          <w:iCs/>
        </w:rPr>
        <w:t>Ecological effects of spawning salmon on several southcentral Alaskan streams</w:t>
      </w:r>
      <w:r>
        <w:t xml:space="preserve"> [PhD Thesis].</w:t>
      </w:r>
    </w:p>
    <w:p w14:paraId="6A5DD331" w14:textId="77777777" w:rsidR="00276430" w:rsidRDefault="00276430" w:rsidP="00276430">
      <w:pPr>
        <w:pStyle w:val="Bibliography"/>
      </w:pPr>
      <w:r>
        <w:t xml:space="preserve">Polis, G. A., Anderson, W. B., &amp; Holt, R. D. (1997). Toward an Integration of Landscape and Food Web Ecology: The Dynamics of Spatially Subsidized Food Webs. </w:t>
      </w:r>
      <w:r>
        <w:rPr>
          <w:i/>
          <w:iCs/>
        </w:rPr>
        <w:t>Annual Review of Ecology and Systematics</w:t>
      </w:r>
      <w:r>
        <w:t xml:space="preserve">, </w:t>
      </w:r>
      <w:r>
        <w:rPr>
          <w:i/>
          <w:iCs/>
        </w:rPr>
        <w:t>28</w:t>
      </w:r>
      <w:r>
        <w:t>, 289–316.</w:t>
      </w:r>
    </w:p>
    <w:p w14:paraId="2C7BF890" w14:textId="77777777" w:rsidR="00276430" w:rsidRDefault="00276430" w:rsidP="00276430">
      <w:pPr>
        <w:pStyle w:val="Bibliography"/>
      </w:pPr>
      <w:r>
        <w:t xml:space="preserve">Pomeroy, J. A. (1980). </w:t>
      </w:r>
      <w:r>
        <w:rPr>
          <w:i/>
          <w:iCs/>
        </w:rPr>
        <w:t>Bella Bella: Settlement and subsistence</w:t>
      </w:r>
      <w:r>
        <w:t xml:space="preserve"> [Thesis, Simon Fraser University. Theses (Dept. of Archaeology)]. http://summit.sfu.ca/item/3334</w:t>
      </w:r>
    </w:p>
    <w:p w14:paraId="2AFB6629" w14:textId="77777777" w:rsidR="00276430" w:rsidRDefault="00276430" w:rsidP="00276430">
      <w:pPr>
        <w:pStyle w:val="Bibliography"/>
      </w:pPr>
      <w:r>
        <w:t xml:space="preserve">Poos, M. S., &amp; Jackson, D. A. (2012). Addressing the removal of rare species in multivariate bioassessments: The impact of methodological choices. </w:t>
      </w:r>
      <w:r>
        <w:rPr>
          <w:i/>
          <w:iCs/>
        </w:rPr>
        <w:t>Ecological Indicators</w:t>
      </w:r>
      <w:r>
        <w:t xml:space="preserve">, </w:t>
      </w:r>
      <w:r>
        <w:rPr>
          <w:i/>
          <w:iCs/>
        </w:rPr>
        <w:t>18</w:t>
      </w:r>
      <w:r>
        <w:t>, 82–90.</w:t>
      </w:r>
    </w:p>
    <w:p w14:paraId="098AEF11" w14:textId="77777777" w:rsidR="00276430" w:rsidRDefault="00276430" w:rsidP="00276430">
      <w:pPr>
        <w:pStyle w:val="Bibliography"/>
      </w:pPr>
      <w:r>
        <w:t xml:space="preserve">Post, W. M., Pastor, J., Zinke, P. J., &amp; Stangenberger, A. G. (1985). Global patterns of soil nitrogen storage. </w:t>
      </w:r>
      <w:r>
        <w:rPr>
          <w:i/>
          <w:iCs/>
        </w:rPr>
        <w:t>Nature</w:t>
      </w:r>
      <w:r>
        <w:t xml:space="preserve">, </w:t>
      </w:r>
      <w:r>
        <w:rPr>
          <w:i/>
          <w:iCs/>
        </w:rPr>
        <w:t>317</w:t>
      </w:r>
      <w:r>
        <w:t>(6038), 613. https://doi.org/10.1038/317613a0</w:t>
      </w:r>
    </w:p>
    <w:p w14:paraId="32020D2F" w14:textId="77777777" w:rsidR="00276430" w:rsidRDefault="00276430" w:rsidP="00276430">
      <w:pPr>
        <w:pStyle w:val="Bibliography"/>
      </w:pPr>
      <w:r>
        <w:t xml:space="preserve">Powell, M. (2012). Divided waters: Heiltsuk spatial management of herring fisheries and the politics of native sovereignty. </w:t>
      </w:r>
      <w:r>
        <w:rPr>
          <w:i/>
          <w:iCs/>
        </w:rPr>
        <w:t>Western Historical Quarterly</w:t>
      </w:r>
      <w:r>
        <w:t xml:space="preserve">, </w:t>
      </w:r>
      <w:r>
        <w:rPr>
          <w:i/>
          <w:iCs/>
        </w:rPr>
        <w:t>43</w:t>
      </w:r>
      <w:r>
        <w:t>(4), 463–484.</w:t>
      </w:r>
    </w:p>
    <w:p w14:paraId="13C08BC9" w14:textId="77777777" w:rsidR="00276430" w:rsidRDefault="00276430" w:rsidP="00276430">
      <w:pPr>
        <w:pStyle w:val="Bibliography"/>
      </w:pPr>
      <w:r>
        <w:t xml:space="preserve">Pozo, M. J., Jung, S. C., López-Ráez, J. A., &amp; Azcón-Aguilar, C. (2010). Impact of Arbuscular Mycorrhizal Symbiosis on Plant Response to Biotic Stress: The Role of Plant Defence Mechanisms. In H. Koltai &amp; Y. Kapulnik (Eds.), </w:t>
      </w:r>
      <w:r>
        <w:rPr>
          <w:i/>
          <w:iCs/>
        </w:rPr>
        <w:t>Arbuscular Mycorrhizas: Physiology and Function</w:t>
      </w:r>
      <w:r>
        <w:t xml:space="preserve"> (pp. 193–207). Springer Netherlands. http://link.springer.com.ezproxy.library.ubc.ca/chapter/10.1007/978-90-481-9489-6_9</w:t>
      </w:r>
    </w:p>
    <w:p w14:paraId="5CBF4AFA" w14:textId="77777777" w:rsidR="00276430" w:rsidRDefault="00276430" w:rsidP="00276430">
      <w:pPr>
        <w:pStyle w:val="Bibliography"/>
      </w:pPr>
      <w:r>
        <w:t xml:space="preserve">Pozo, M. J., López-Ráez, J. A., Azcón-Aguilar, C., &amp; García-Garrido, J. M. (2015). Phytohormones as integrators of environmental signals in the regulation of mycorrhizal symbioses. </w:t>
      </w:r>
      <w:r>
        <w:rPr>
          <w:i/>
          <w:iCs/>
        </w:rPr>
        <w:t>New Phytologist</w:t>
      </w:r>
      <w:r>
        <w:t xml:space="preserve">, </w:t>
      </w:r>
      <w:r>
        <w:rPr>
          <w:i/>
          <w:iCs/>
        </w:rPr>
        <w:t>205</w:t>
      </w:r>
      <w:r>
        <w:t>(4), 1431–1436. https://doi.org/10.1111/nph.13252</w:t>
      </w:r>
    </w:p>
    <w:p w14:paraId="31AC3210" w14:textId="77777777" w:rsidR="00276430" w:rsidRDefault="00276430" w:rsidP="00276430">
      <w:pPr>
        <w:pStyle w:val="Bibliography"/>
      </w:pPr>
      <w:r>
        <w:t xml:space="preserve">Prendergast-Miller, M. T., Baggs, E. M., &amp; Johnson, D. (2011). Nitrous oxide production by the ectomycorrhizal fungi Paxillus involutus and Tylospora fibrillosa. </w:t>
      </w:r>
      <w:r>
        <w:rPr>
          <w:i/>
          <w:iCs/>
        </w:rPr>
        <w:t>FEMS Microbiology Letters</w:t>
      </w:r>
      <w:r>
        <w:t xml:space="preserve">, </w:t>
      </w:r>
      <w:r>
        <w:rPr>
          <w:i/>
          <w:iCs/>
        </w:rPr>
        <w:t>316</w:t>
      </w:r>
      <w:r>
        <w:t>(1), 31–35. https://doi.org/10.1111/j.1574-6968.2010.02187.x</w:t>
      </w:r>
    </w:p>
    <w:p w14:paraId="3609501A" w14:textId="77777777" w:rsidR="00276430" w:rsidRDefault="00276430" w:rsidP="00276430">
      <w:pPr>
        <w:pStyle w:val="Bibliography"/>
      </w:pPr>
      <w:r>
        <w:t xml:space="preserve">Prescott, C. (1997). </w:t>
      </w:r>
      <w:r>
        <w:rPr>
          <w:i/>
          <w:iCs/>
        </w:rPr>
        <w:t>SCHIRP – Salal Cedar Hemlock Integrated Research Program. Research Update #1: December 1996</w:t>
      </w:r>
      <w:r>
        <w:t>. https://cfs.nrcan.gc.ca/publications?id=4717</w:t>
      </w:r>
    </w:p>
    <w:p w14:paraId="1E52C971" w14:textId="77777777" w:rsidR="00276430" w:rsidRDefault="00276430" w:rsidP="00276430">
      <w:pPr>
        <w:pStyle w:val="Bibliography"/>
      </w:pPr>
      <w:r>
        <w:t xml:space="preserve">Prescott, C. (2002). The influence of the forest canopy on nutrient cycling. </w:t>
      </w:r>
      <w:r>
        <w:rPr>
          <w:i/>
          <w:iCs/>
        </w:rPr>
        <w:t>Tree Physiology</w:t>
      </w:r>
      <w:r>
        <w:t xml:space="preserve">, </w:t>
      </w:r>
      <w:r>
        <w:rPr>
          <w:i/>
          <w:iCs/>
        </w:rPr>
        <w:t>22</w:t>
      </w:r>
      <w:r>
        <w:t>(15–16), 1193–1200. https://doi.org/10.1093/treephys/22.15-16.1193</w:t>
      </w:r>
    </w:p>
    <w:p w14:paraId="6906BF47" w14:textId="77777777" w:rsidR="00276430" w:rsidRDefault="00276430" w:rsidP="00276430">
      <w:pPr>
        <w:pStyle w:val="Bibliography"/>
      </w:pPr>
      <w:r>
        <w:t xml:space="preserve">Prescott, C., &amp; Grayston, S. J. (2013). Tree species influence on microbial communities in litter and soil: Current knowledge and research needs. </w:t>
      </w:r>
      <w:r>
        <w:rPr>
          <w:i/>
          <w:iCs/>
        </w:rPr>
        <w:t>Forest Ecology and Management</w:t>
      </w:r>
      <w:r>
        <w:t xml:space="preserve">, </w:t>
      </w:r>
      <w:r>
        <w:rPr>
          <w:i/>
          <w:iCs/>
        </w:rPr>
        <w:t>309</w:t>
      </w:r>
      <w:r>
        <w:t>, 19–27. https://doi.org/10.1016/j.foreco.2013.02.034</w:t>
      </w:r>
    </w:p>
    <w:p w14:paraId="42E4EEB8" w14:textId="77777777" w:rsidR="00276430" w:rsidRDefault="00276430" w:rsidP="00276430">
      <w:pPr>
        <w:pStyle w:val="Bibliography"/>
      </w:pPr>
      <w:r>
        <w:t xml:space="preserve">Prescott, C., Nery, V., Niejenhuis, A. van, Sajedi, T., &amp; Marshall, P. (2013). Nutrition management of cedar and hemlock plantations in coastal British Columbia. </w:t>
      </w:r>
      <w:r>
        <w:rPr>
          <w:i/>
          <w:iCs/>
        </w:rPr>
        <w:t>New Forests</w:t>
      </w:r>
      <w:r>
        <w:t xml:space="preserve">, </w:t>
      </w:r>
      <w:r>
        <w:rPr>
          <w:i/>
          <w:iCs/>
        </w:rPr>
        <w:t>44</w:t>
      </w:r>
      <w:r>
        <w:t>(5), 769–784. https://doi.org/10.1007/s11056-013-9380-x</w:t>
      </w:r>
    </w:p>
    <w:p w14:paraId="63A6E035" w14:textId="77777777" w:rsidR="00276430" w:rsidRDefault="00276430" w:rsidP="00276430">
      <w:pPr>
        <w:pStyle w:val="Bibliography"/>
      </w:pPr>
      <w:r>
        <w:t xml:space="preserve">Price, K., Roburn, A., &amp; MacKinnon, A. (2009). Ecosystem-based management in the Great Bear Rainforest. </w:t>
      </w:r>
      <w:r>
        <w:rPr>
          <w:i/>
          <w:iCs/>
        </w:rPr>
        <w:t>Forest Ecology and Management</w:t>
      </w:r>
      <w:r>
        <w:t xml:space="preserve">, </w:t>
      </w:r>
      <w:r>
        <w:rPr>
          <w:i/>
          <w:iCs/>
        </w:rPr>
        <w:t>258</w:t>
      </w:r>
      <w:r>
        <w:t>(4), 495–503. https://doi.org/10.1016/j.foreco.2008.10.010</w:t>
      </w:r>
    </w:p>
    <w:p w14:paraId="13F44984" w14:textId="77777777" w:rsidR="00276430" w:rsidRDefault="00276430" w:rsidP="00276430">
      <w:pPr>
        <w:pStyle w:val="Bibliography"/>
      </w:pPr>
      <w:r>
        <w:t xml:space="preserve">Price, M. H., English, K. K., Rosenberger, A. G., MacDuffee, M., &amp; Reynolds, J. D. (2017). Canada’s Wild Salmon Policy: An assessment of conservation progress in British Columbia. </w:t>
      </w:r>
      <w:r>
        <w:rPr>
          <w:i/>
          <w:iCs/>
        </w:rPr>
        <w:t>Canadian Journal of Fisheries and Aquatic Sciences</w:t>
      </w:r>
      <w:r>
        <w:t xml:space="preserve">, </w:t>
      </w:r>
      <w:r>
        <w:rPr>
          <w:i/>
          <w:iCs/>
        </w:rPr>
        <w:t>74</w:t>
      </w:r>
      <w:r>
        <w:t>(10), 1507–1518.</w:t>
      </w:r>
    </w:p>
    <w:p w14:paraId="1DB514E3" w14:textId="77777777" w:rsidR="00276430" w:rsidRDefault="00276430" w:rsidP="00276430">
      <w:pPr>
        <w:pStyle w:val="Bibliography"/>
      </w:pPr>
      <w:r>
        <w:t xml:space="preserve">Putnam, R. A., Nelson, J. O., &amp; Clark, J. M. (2003). The Persistence and Degradation of Chlorothalonil and Chlorpyrifos in a Cranberry Bog. </w:t>
      </w:r>
      <w:r>
        <w:rPr>
          <w:i/>
          <w:iCs/>
        </w:rPr>
        <w:t>Journal of Agricultural and Food Chemistry</w:t>
      </w:r>
      <w:r>
        <w:t xml:space="preserve">, </w:t>
      </w:r>
      <w:r>
        <w:rPr>
          <w:i/>
          <w:iCs/>
        </w:rPr>
        <w:t>51</w:t>
      </w:r>
      <w:r>
        <w:t>(1), 170–176. https://doi.org/10.1021/jf020744r</w:t>
      </w:r>
    </w:p>
    <w:p w14:paraId="46EF0A54" w14:textId="77777777" w:rsidR="00276430" w:rsidRDefault="00276430" w:rsidP="00276430">
      <w:pPr>
        <w:pStyle w:val="Bibliography"/>
      </w:pPr>
      <w:r>
        <w:t xml:space="preserve">Qin, H., Xing, X., Tang, Y., Hou, H., Yang, J., Shen, R., Zhang, W., Liu, Y., &amp; Wei, W. (2019). Linking soil N2O emissions with soil microbial community abundance and structure related to nitrogen cycle in two acid forest soils. </w:t>
      </w:r>
      <w:r>
        <w:rPr>
          <w:i/>
          <w:iCs/>
        </w:rPr>
        <w:t>Plant and Soil</w:t>
      </w:r>
      <w:r>
        <w:t xml:space="preserve">, </w:t>
      </w:r>
      <w:r>
        <w:rPr>
          <w:i/>
          <w:iCs/>
        </w:rPr>
        <w:t>435</w:t>
      </w:r>
      <w:r>
        <w:t>(1), 95–109. https://doi.org/10.1007/s11104-018-3863-7</w:t>
      </w:r>
    </w:p>
    <w:p w14:paraId="5B6C0564" w14:textId="77777777" w:rsidR="00276430" w:rsidRDefault="00276430" w:rsidP="00276430">
      <w:pPr>
        <w:pStyle w:val="Bibliography"/>
      </w:pPr>
      <w:r>
        <w:t xml:space="preserve">Qiu, Z., Wang, J., Delgado-Baquerizo, M., Trivedi, P., Egidi, E., Chen, Y.-M., Zhang, H., &amp; Singh, B. K. (2020). Plant Microbiomes: Do Different Preservation Approaches and Primer Sets Alter Our Capacity to Assess Microbial Diversity and Community Composition? </w:t>
      </w:r>
      <w:r>
        <w:rPr>
          <w:i/>
          <w:iCs/>
        </w:rPr>
        <w:t>Frontiers in Plant Science</w:t>
      </w:r>
      <w:r>
        <w:t xml:space="preserve">, </w:t>
      </w:r>
      <w:r>
        <w:rPr>
          <w:i/>
          <w:iCs/>
        </w:rPr>
        <w:t>11</w:t>
      </w:r>
      <w:r>
        <w:t>. https://doi.org/10.3389/fpls.2020.00993</w:t>
      </w:r>
    </w:p>
    <w:p w14:paraId="5A17B51A" w14:textId="77777777" w:rsidR="00276430" w:rsidRDefault="00276430" w:rsidP="00276430">
      <w:pPr>
        <w:pStyle w:val="Bibliography"/>
      </w:pPr>
      <w:r>
        <w:t xml:space="preserve">Quast, C., Pruesse, E., Yilmaz, P., Gerken, J., Schweer, T., Yarza, P., Peplies, J., &amp; Glöckner, F. O. (2013). The SILVA ribosomal RNA gene database project: Improved data processing and web-based tools. </w:t>
      </w:r>
      <w:r>
        <w:rPr>
          <w:i/>
          <w:iCs/>
        </w:rPr>
        <w:t>Nucleic Acids Research</w:t>
      </w:r>
      <w:r>
        <w:t xml:space="preserve">, </w:t>
      </w:r>
      <w:r>
        <w:rPr>
          <w:i/>
          <w:iCs/>
        </w:rPr>
        <w:t>41</w:t>
      </w:r>
      <w:r>
        <w:t>(D1), D590–D596. https://doi.org/10.1093/nar/gks1219</w:t>
      </w:r>
    </w:p>
    <w:p w14:paraId="5A8B963D" w14:textId="77777777" w:rsidR="00276430" w:rsidRDefault="00276430" w:rsidP="00276430">
      <w:pPr>
        <w:pStyle w:val="Bibliography"/>
      </w:pPr>
      <w:r>
        <w:t xml:space="preserve">Quinn, T. P. (2018). </w:t>
      </w:r>
      <w:r>
        <w:rPr>
          <w:i/>
          <w:iCs/>
        </w:rPr>
        <w:t>The behavior and ecology of Pacific salmon and trout</w:t>
      </w:r>
      <w:r>
        <w:t xml:space="preserve"> (2nd ed.). University of Washington press.</w:t>
      </w:r>
    </w:p>
    <w:p w14:paraId="380F7C4D" w14:textId="77777777" w:rsidR="00276430" w:rsidRDefault="00276430" w:rsidP="00276430">
      <w:pPr>
        <w:pStyle w:val="Bibliography"/>
      </w:pPr>
      <w:r>
        <w:t xml:space="preserve">Quinn, T. P., Carlson, S. M., Gende, S. M., &amp; Rich, Jr., Harry B. (2009). Transportation of Pacific salmon carcasses from streams to riparian forests by bears. </w:t>
      </w:r>
      <w:r>
        <w:rPr>
          <w:i/>
          <w:iCs/>
        </w:rPr>
        <w:t>Canadian Journal of Zoology</w:t>
      </w:r>
      <w:r>
        <w:t xml:space="preserve">, </w:t>
      </w:r>
      <w:r>
        <w:rPr>
          <w:i/>
          <w:iCs/>
        </w:rPr>
        <w:t>87</w:t>
      </w:r>
      <w:r>
        <w:t>(3), 195–203. https://doi.org/10.1139/Z09-004</w:t>
      </w:r>
    </w:p>
    <w:p w14:paraId="45205D28" w14:textId="77777777" w:rsidR="00276430" w:rsidRDefault="00276430" w:rsidP="00276430">
      <w:pPr>
        <w:pStyle w:val="Bibliography"/>
      </w:pPr>
      <w:r>
        <w:t xml:space="preserve">Quinn, T. P., Helfield, J. M., Austin, C. S., Hovel, R. A., &amp; Bunn, A. G. (2018). A multidecade experiment shows that fertilization by salmon carcasses enhanced tree growth in the riparian zone. </w:t>
      </w:r>
      <w:r>
        <w:rPr>
          <w:i/>
          <w:iCs/>
        </w:rPr>
        <w:t>Ecology</w:t>
      </w:r>
      <w:r>
        <w:t xml:space="preserve">, </w:t>
      </w:r>
      <w:r>
        <w:rPr>
          <w:i/>
          <w:iCs/>
        </w:rPr>
        <w:t>99</w:t>
      </w:r>
      <w:r>
        <w:t>(11), 2433–2441. https://doi.org/10.1002/ecy.2453</w:t>
      </w:r>
    </w:p>
    <w:p w14:paraId="05A29071" w14:textId="77777777" w:rsidR="00276430" w:rsidRDefault="00276430" w:rsidP="00276430">
      <w:pPr>
        <w:pStyle w:val="Bibliography"/>
      </w:pPr>
      <w:r>
        <w:t xml:space="preserve">R Core Team. (2019). </w:t>
      </w:r>
      <w:r>
        <w:rPr>
          <w:i/>
          <w:iCs/>
        </w:rPr>
        <w:t>R: A language and environment for statistical computing</w:t>
      </w:r>
      <w:r>
        <w:t>. R Foundation for Statistical Computing. https://www.R-project.org/</w:t>
      </w:r>
    </w:p>
    <w:p w14:paraId="488BE869" w14:textId="77777777" w:rsidR="00276430" w:rsidRDefault="00276430" w:rsidP="00276430">
      <w:pPr>
        <w:pStyle w:val="Bibliography"/>
      </w:pPr>
      <w:r>
        <w:t xml:space="preserve">Rainforest Solutions. (n.d.). </w:t>
      </w:r>
      <w:r>
        <w:rPr>
          <w:i/>
          <w:iCs/>
        </w:rPr>
        <w:t>Take It Taller: Save The Great Bear Rainforest</w:t>
      </w:r>
      <w:r>
        <w:t>. Take It Taller: Save The Great Bear Rainforest. Retrieved June 25, 2015, from http://savethegreatbear.org/takeittaller/support</w:t>
      </w:r>
    </w:p>
    <w:p w14:paraId="3A5FE82D" w14:textId="77777777" w:rsidR="00276430" w:rsidRDefault="00276430" w:rsidP="00276430">
      <w:pPr>
        <w:pStyle w:val="Bibliography"/>
      </w:pPr>
      <w:r>
        <w:t xml:space="preserve">Ray, P., Abraham, P. E., Guo, Y., Giannone, R. J., Engle, N. L., Yang, Z. K., Jacobson, D., Hettich, R. L., Tschaplinski, T. J., &amp; Craven, K. D. (2019). Scavenging organic nitrogen and remodelling lipid metabolism are key survival strategies adopted by the endophytic fungi, Serendipita vermifera and Serendipita bescii to alleviate nitrogen and phosphorous starvation in vitro. </w:t>
      </w:r>
      <w:r>
        <w:rPr>
          <w:i/>
          <w:iCs/>
        </w:rPr>
        <w:t>Environmental Microbiology Reports</w:t>
      </w:r>
      <w:r>
        <w:t xml:space="preserve">, </w:t>
      </w:r>
      <w:r>
        <w:rPr>
          <w:i/>
          <w:iCs/>
        </w:rPr>
        <w:t>11</w:t>
      </w:r>
      <w:r>
        <w:t>(4), 548–557. https://doi.org/10.1111/1758-2229.12757</w:t>
      </w:r>
    </w:p>
    <w:p w14:paraId="0C5ACCA2" w14:textId="77777777" w:rsidR="00276430" w:rsidRDefault="00276430" w:rsidP="00276430">
      <w:pPr>
        <w:pStyle w:val="Bibliography"/>
      </w:pPr>
      <w:r>
        <w:t xml:space="preserve">Redecker, D., Kodner, R., &amp; Graham, L. E. (2000). Glomalean Fungi from the Ordovician. </w:t>
      </w:r>
      <w:r>
        <w:rPr>
          <w:i/>
          <w:iCs/>
        </w:rPr>
        <w:t>Science</w:t>
      </w:r>
      <w:r>
        <w:t xml:space="preserve">, </w:t>
      </w:r>
      <w:r>
        <w:rPr>
          <w:i/>
          <w:iCs/>
        </w:rPr>
        <w:t>289</w:t>
      </w:r>
      <w:r>
        <w:t>(5486), 1920–1921. https://doi.org/10.1126/science.289.5486.1920</w:t>
      </w:r>
    </w:p>
    <w:p w14:paraId="126924DE" w14:textId="77777777" w:rsidR="00276430" w:rsidRDefault="00276430" w:rsidP="00276430">
      <w:pPr>
        <w:pStyle w:val="Bibliography"/>
      </w:pPr>
      <w:r>
        <w:t xml:space="preserve">Reid, A., Montigny, L. de, Prescott, C., &amp; Sajedi, T. (2017). A systematic review of forest fertilization research in interior British Columbia. </w:t>
      </w:r>
      <w:r>
        <w:rPr>
          <w:i/>
          <w:iCs/>
        </w:rPr>
        <w:t>Technical Report-Ministry of Forests, Lands and Natural Resource Operations, British Columbia</w:t>
      </w:r>
      <w:r>
        <w:t xml:space="preserve">, </w:t>
      </w:r>
      <w:r>
        <w:rPr>
          <w:i/>
          <w:iCs/>
        </w:rPr>
        <w:t>111</w:t>
      </w:r>
      <w:r>
        <w:t>.</w:t>
      </w:r>
    </w:p>
    <w:p w14:paraId="66B80D19" w14:textId="77777777" w:rsidR="00276430" w:rsidRDefault="00276430" w:rsidP="00276430">
      <w:pPr>
        <w:pStyle w:val="Bibliography"/>
      </w:pPr>
      <w:r>
        <w:t xml:space="preserve">Reimchen, T. E. (1994). </w:t>
      </w:r>
      <w:r>
        <w:rPr>
          <w:i/>
          <w:iCs/>
        </w:rPr>
        <w:t>Further studies of predator and scavenger use of chum salmon in stream and estuarine habitats at Bag Harbour, Gwaii Haanas</w:t>
      </w:r>
      <w:r>
        <w:t>. Islands Ecological Research Queen Charlotte City.</w:t>
      </w:r>
    </w:p>
    <w:p w14:paraId="3DDB579E" w14:textId="77777777" w:rsidR="00276430" w:rsidRDefault="00276430" w:rsidP="00276430">
      <w:pPr>
        <w:pStyle w:val="Bibliography"/>
      </w:pPr>
      <w:r>
        <w:t xml:space="preserve">Reimchen, T. E. (2000). Some ecological and evolutionary aspects of bear-salmon interactions in coastal British Columbia. </w:t>
      </w:r>
      <w:r>
        <w:rPr>
          <w:i/>
          <w:iCs/>
        </w:rPr>
        <w:t>Canadian Journal of Zoology</w:t>
      </w:r>
      <w:r>
        <w:t xml:space="preserve">, </w:t>
      </w:r>
      <w:r>
        <w:rPr>
          <w:i/>
          <w:iCs/>
        </w:rPr>
        <w:t>78</w:t>
      </w:r>
      <w:r>
        <w:t>(3), 448–457. https://doi.org/10.1139/z99-232</w:t>
      </w:r>
    </w:p>
    <w:p w14:paraId="22BD1294" w14:textId="77777777" w:rsidR="00276430" w:rsidRDefault="00276430" w:rsidP="00276430">
      <w:pPr>
        <w:pStyle w:val="Bibliography"/>
      </w:pPr>
      <w:r>
        <w:t xml:space="preserve">Reimchen, T. E. (2017). Diverse Ecological Pathways of Salmon Nutrients Through an Intact Marine-terrestrial Interface. </w:t>
      </w:r>
      <w:r>
        <w:rPr>
          <w:i/>
          <w:iCs/>
        </w:rPr>
        <w:t>Canadian Field Naturalist</w:t>
      </w:r>
      <w:r>
        <w:t>. https://pubag.nal.usda.gov/catalog/6040059</w:t>
      </w:r>
    </w:p>
    <w:p w14:paraId="4A7E8ADC" w14:textId="77777777" w:rsidR="00276430" w:rsidRDefault="00276430" w:rsidP="00276430">
      <w:pPr>
        <w:pStyle w:val="Bibliography"/>
      </w:pPr>
      <w:r>
        <w:t xml:space="preserve">Reimchen, T. E., &amp; Arbellay, E. (2018). Intra-annual variability in isotopic and total nitrogen in tree rings of old growth Sitka spruce from coastal British Columbia. </w:t>
      </w:r>
      <w:r>
        <w:rPr>
          <w:i/>
          <w:iCs/>
        </w:rPr>
        <w:t>Botany</w:t>
      </w:r>
      <w:r>
        <w:t xml:space="preserve">, </w:t>
      </w:r>
      <w:r>
        <w:rPr>
          <w:i/>
          <w:iCs/>
        </w:rPr>
        <w:t>96</w:t>
      </w:r>
      <w:r>
        <w:t>(12), 851–857. https://doi.org/10.1139/cjb-2018-0112</w:t>
      </w:r>
    </w:p>
    <w:p w14:paraId="73A2049E" w14:textId="77777777" w:rsidR="00276430" w:rsidRDefault="00276430" w:rsidP="00276430">
      <w:pPr>
        <w:pStyle w:val="Bibliography"/>
      </w:pPr>
      <w:r>
        <w:t xml:space="preserve">Reimchen, T. E., &amp; Fox, C. H. (2013). Fine-scale spatiotemporal influences of salmon on growth and nitrogen signatures of Sitka spruce tree rings. </w:t>
      </w:r>
      <w:r>
        <w:rPr>
          <w:i/>
          <w:iCs/>
        </w:rPr>
        <w:t>BMC Ecology</w:t>
      </w:r>
      <w:r>
        <w:t xml:space="preserve">, </w:t>
      </w:r>
      <w:r>
        <w:rPr>
          <w:i/>
          <w:iCs/>
        </w:rPr>
        <w:t>13</w:t>
      </w:r>
      <w:r>
        <w:t>(1), 1–13. https://doi.org/10.1186/1472-6785-13-38</w:t>
      </w:r>
    </w:p>
    <w:p w14:paraId="2998146A" w14:textId="77777777" w:rsidR="00276430" w:rsidRDefault="00276430" w:rsidP="00276430">
      <w:pPr>
        <w:pStyle w:val="Bibliography"/>
      </w:pPr>
      <w:r>
        <w:t xml:space="preserve">Reimchen, T. E., Mathewson, D. D., Hocking, M. D., Moran, J., &amp; Harris, D. (2003). Isotopic evidence for enrichment of salmon-derived nutrients in vegetation, soil, and insects in riparian zones in coastal British Columbia. </w:t>
      </w:r>
      <w:r>
        <w:rPr>
          <w:i/>
          <w:iCs/>
        </w:rPr>
        <w:t>American Fisheries Society Symposium</w:t>
      </w:r>
      <w:r>
        <w:t>, 59–70.</w:t>
      </w:r>
    </w:p>
    <w:p w14:paraId="4A53F974" w14:textId="77777777" w:rsidR="00276430" w:rsidRDefault="00276430" w:rsidP="00276430">
      <w:pPr>
        <w:pStyle w:val="Bibliography"/>
      </w:pPr>
      <w:r>
        <w:t xml:space="preserve">Richardson, S. J., Peltzer, D. A., Allen, R. B., McGlone, M. S., &amp; Parfitt, R. L. (2004). Rapid development of phosphorus limitation in temperate rainforest along the Franz Josef soil chronosequence. </w:t>
      </w:r>
      <w:r>
        <w:rPr>
          <w:i/>
          <w:iCs/>
        </w:rPr>
        <w:t>Oecologia</w:t>
      </w:r>
      <w:r>
        <w:t xml:space="preserve">, </w:t>
      </w:r>
      <w:r>
        <w:rPr>
          <w:i/>
          <w:iCs/>
        </w:rPr>
        <w:t>139</w:t>
      </w:r>
      <w:r>
        <w:t>(2), 267–276. https://doi.org/10.1007/s00442-004-1501-y</w:t>
      </w:r>
    </w:p>
    <w:p w14:paraId="1295B3E8" w14:textId="77777777" w:rsidR="00276430" w:rsidRDefault="00276430" w:rsidP="00276430">
      <w:pPr>
        <w:pStyle w:val="Bibliography"/>
      </w:pPr>
      <w:r>
        <w:t xml:space="preserve">Richey, J. E., Perkins, M. A., &amp; Goldman, C. R. (1975). Effects of Kokanee Salmon (Oncorhynchus nerka) Decomposition on the Ecology of a Subalpine Stream. </w:t>
      </w:r>
      <w:r>
        <w:rPr>
          <w:i/>
          <w:iCs/>
        </w:rPr>
        <w:t>Journal of the Fisheries Research Board of Canada</w:t>
      </w:r>
      <w:r>
        <w:t xml:space="preserve">, </w:t>
      </w:r>
      <w:r>
        <w:rPr>
          <w:i/>
          <w:iCs/>
        </w:rPr>
        <w:t>32</w:t>
      </w:r>
      <w:r>
        <w:t>(6), 817–820. https://doi.org/10.1139/f75-109</w:t>
      </w:r>
    </w:p>
    <w:p w14:paraId="142379D1" w14:textId="77777777" w:rsidR="00276430" w:rsidRDefault="00276430" w:rsidP="00276430">
      <w:pPr>
        <w:pStyle w:val="Bibliography"/>
      </w:pPr>
      <w:r>
        <w:t xml:space="preserve">Rinella, D. J., Wipfli, M. S., Walker, C. M., Stricker, C. A., &amp; Heintz, R. A. (2013). Seasonal persistence of marine-derived nutrients in south-central Alaskan salmon streams. </w:t>
      </w:r>
      <w:r>
        <w:rPr>
          <w:i/>
          <w:iCs/>
        </w:rPr>
        <w:t>Ecosphere</w:t>
      </w:r>
      <w:r>
        <w:t xml:space="preserve">, </w:t>
      </w:r>
      <w:r>
        <w:rPr>
          <w:i/>
          <w:iCs/>
        </w:rPr>
        <w:t>4</w:t>
      </w:r>
      <w:r>
        <w:t>(10), 1–18. https://doi.org/10.1890/ES13-00112.1</w:t>
      </w:r>
    </w:p>
    <w:p w14:paraId="3004F2AF" w14:textId="77777777" w:rsidR="00276430" w:rsidRDefault="00276430" w:rsidP="00276430">
      <w:pPr>
        <w:pStyle w:val="Bibliography"/>
      </w:pPr>
      <w:r>
        <w:t xml:space="preserve">Rivers, A. R., Weber, K. C., Gardner, T. G., Liu, S., &amp; Armstrong, S. D. (2018). ITSxpress: Software to rapidly trim internally transcribed spacer sequences with quality scores for marker gene analysis. </w:t>
      </w:r>
      <w:r>
        <w:rPr>
          <w:i/>
          <w:iCs/>
        </w:rPr>
        <w:t>F1000Research</w:t>
      </w:r>
      <w:r>
        <w:t xml:space="preserve">, </w:t>
      </w:r>
      <w:r>
        <w:rPr>
          <w:i/>
          <w:iCs/>
        </w:rPr>
        <w:t>7</w:t>
      </w:r>
      <w:r>
        <w:t>, 1418. https://doi.org/10.12688/f1000research.15704.1</w:t>
      </w:r>
    </w:p>
    <w:p w14:paraId="48DF0069" w14:textId="77777777" w:rsidR="00276430" w:rsidRDefault="00276430" w:rsidP="00276430">
      <w:pPr>
        <w:pStyle w:val="Bibliography"/>
      </w:pPr>
      <w:r>
        <w:t xml:space="preserve">Rog, I., Rosenstock, N. P., Körner, C., &amp; Klein, T. (2020). Share the wealth: Trees with greater ectomycorrhizal species overlap share more carbon. </w:t>
      </w:r>
      <w:r>
        <w:rPr>
          <w:i/>
          <w:iCs/>
        </w:rPr>
        <w:t>Molecular Ecology</w:t>
      </w:r>
      <w:r>
        <w:t xml:space="preserve">, </w:t>
      </w:r>
      <w:r>
        <w:rPr>
          <w:i/>
          <w:iCs/>
        </w:rPr>
        <w:t>29</w:t>
      </w:r>
      <w:r>
        <w:t>(13), 2321–2333. https://doi.org/10.1111/mec.15351</w:t>
      </w:r>
    </w:p>
    <w:p w14:paraId="2E1F9802" w14:textId="77777777" w:rsidR="00276430" w:rsidRDefault="00276430" w:rsidP="00276430">
      <w:pPr>
        <w:pStyle w:val="Bibliography"/>
      </w:pPr>
      <w:r>
        <w:t xml:space="preserve">Ross, D. S., Matschonat, G., &amp; Skyllberg, U. (2008). Cation exchange in forest soils: The need for a new perspective. </w:t>
      </w:r>
      <w:r>
        <w:rPr>
          <w:i/>
          <w:iCs/>
        </w:rPr>
        <w:t>European Journal of Soil Science</w:t>
      </w:r>
      <w:r>
        <w:t xml:space="preserve">, </w:t>
      </w:r>
      <w:r>
        <w:rPr>
          <w:i/>
          <w:iCs/>
        </w:rPr>
        <w:t>59</w:t>
      </w:r>
      <w:r>
        <w:t>(6), 1141–1159. https://doi.org/10.1111/j.1365-2389.2008.01069.x</w:t>
      </w:r>
    </w:p>
    <w:p w14:paraId="0D1752BB" w14:textId="77777777" w:rsidR="00276430" w:rsidRDefault="00276430" w:rsidP="00276430">
      <w:pPr>
        <w:pStyle w:val="Bibliography"/>
      </w:pPr>
      <w:r>
        <w:t xml:space="preserve">Rowley, M. C., Grand, S., &amp; Verrecchia, É. P. (2018). Calcium-mediated stabilisation of soil organic carbon. </w:t>
      </w:r>
      <w:r>
        <w:rPr>
          <w:i/>
          <w:iCs/>
        </w:rPr>
        <w:t>Biogeochemistry</w:t>
      </w:r>
      <w:r>
        <w:t xml:space="preserve">, </w:t>
      </w:r>
      <w:r>
        <w:rPr>
          <w:i/>
          <w:iCs/>
        </w:rPr>
        <w:t>137</w:t>
      </w:r>
      <w:r>
        <w:t>(1), 27–49. https://doi.org/10.1007/s10533-017-0410-1</w:t>
      </w:r>
    </w:p>
    <w:p w14:paraId="52CD86C8" w14:textId="77777777" w:rsidR="00276430" w:rsidRDefault="00276430" w:rsidP="00276430">
      <w:pPr>
        <w:pStyle w:val="Bibliography"/>
      </w:pPr>
      <w:r>
        <w:t xml:space="preserve">Rüegg, J., Chaloner, D. T., Ballantyne, F., Levi, P. S., Song, C., Tank, J. L., Tiegs, S. D., &amp; Lamberti, G. A. (2020). Understanding the Relative Roles of Salmon Spawner Enrichment and Disturbance: A High-Frequency, Multi-Habitat Field and Modeling Approach. </w:t>
      </w:r>
      <w:r>
        <w:rPr>
          <w:i/>
          <w:iCs/>
        </w:rPr>
        <w:t>Frontiers in Ecology and Evolution</w:t>
      </w:r>
      <w:r>
        <w:t xml:space="preserve">, </w:t>
      </w:r>
      <w:r>
        <w:rPr>
          <w:i/>
          <w:iCs/>
        </w:rPr>
        <w:t>8</w:t>
      </w:r>
      <w:r>
        <w:t>. https://doi.org/10.3389/fevo.2020.00019</w:t>
      </w:r>
    </w:p>
    <w:p w14:paraId="31B87EFF" w14:textId="77777777" w:rsidR="00276430" w:rsidRDefault="00276430" w:rsidP="00276430">
      <w:pPr>
        <w:pStyle w:val="Bibliography"/>
      </w:pPr>
      <w:r>
        <w:t xml:space="preserve">Rüegg, J., Chaloner, D. T., Levi, P. S., Tank, J. L., Tiegs, S. D., &amp; Lamberti, G. A. (2012). Environmental variability and the ecological effects of spawning Pacific salmon on stream biofilm. </w:t>
      </w:r>
      <w:r>
        <w:rPr>
          <w:i/>
          <w:iCs/>
        </w:rPr>
        <w:t>Freshwater Biology</w:t>
      </w:r>
      <w:r>
        <w:t xml:space="preserve">, </w:t>
      </w:r>
      <w:r>
        <w:rPr>
          <w:i/>
          <w:iCs/>
        </w:rPr>
        <w:t>57</w:t>
      </w:r>
      <w:r>
        <w:t>(1), 129–142. https://doi.org/10.1111/j.1365-2427.2011.02703.x</w:t>
      </w:r>
    </w:p>
    <w:p w14:paraId="0DECDC66" w14:textId="77777777" w:rsidR="00276430" w:rsidRDefault="00276430" w:rsidP="00276430">
      <w:pPr>
        <w:pStyle w:val="Bibliography"/>
      </w:pPr>
      <w:r>
        <w:t xml:space="preserve">Rütting, T., Boeckx, P., Müller, C., &amp; Klemedtsson, L. (2011). Assessment of the importance of dissimilatory nitrate reduction to ammonium for the terrestrial nitrogen cycle. </w:t>
      </w:r>
      <w:r>
        <w:rPr>
          <w:i/>
          <w:iCs/>
        </w:rPr>
        <w:t>BIOGEOSCIENCES</w:t>
      </w:r>
      <w:r>
        <w:t xml:space="preserve">, </w:t>
      </w:r>
      <w:r>
        <w:rPr>
          <w:i/>
          <w:iCs/>
        </w:rPr>
        <w:t>8</w:t>
      </w:r>
      <w:r>
        <w:t>(7), 1779–1791. https://doi.org/10.5194/bg-8-1779-2011</w:t>
      </w:r>
    </w:p>
    <w:p w14:paraId="52CFEDC6" w14:textId="77777777" w:rsidR="00276430" w:rsidRDefault="00276430" w:rsidP="00276430">
      <w:pPr>
        <w:pStyle w:val="Bibliography"/>
      </w:pPr>
      <w:r>
        <w:t xml:space="preserve">Ryan, T. L. (2014). </w:t>
      </w:r>
      <w:r>
        <w:rPr>
          <w:i/>
          <w:iCs/>
        </w:rPr>
        <w:t>Territorial jurisdiction: The cultural and economic significance of eulachon Thaleichthys pacificus in the north-central coast region of British Columbia</w:t>
      </w:r>
      <w:r>
        <w:t xml:space="preserve"> [University of British Columbia]. https://open.library.ubc.ca/collections/ubctheses/24/items/1.0167417</w:t>
      </w:r>
    </w:p>
    <w:p w14:paraId="0DE1B207" w14:textId="77777777" w:rsidR="00276430" w:rsidRDefault="00276430" w:rsidP="00276430">
      <w:pPr>
        <w:pStyle w:val="Bibliography"/>
      </w:pPr>
      <w:r>
        <w:t xml:space="preserve">Sagara, N. (1975). </w:t>
      </w:r>
      <w:r>
        <w:rPr>
          <w:i/>
          <w:iCs/>
        </w:rPr>
        <w:t>Ammonia fungi: A chemoecological grouping of terrestrial fungi</w:t>
      </w:r>
      <w:r>
        <w:t>.</w:t>
      </w:r>
    </w:p>
    <w:p w14:paraId="26777C01" w14:textId="77777777" w:rsidR="00276430" w:rsidRDefault="00276430" w:rsidP="00276430">
      <w:pPr>
        <w:pStyle w:val="Bibliography"/>
      </w:pPr>
      <w:r>
        <w:t xml:space="preserve">Sagara, N. (1995). Association of ectomycorrhizal fungi with decomposed animal wastes in forest habitats: A cleaning symbiosis? </w:t>
      </w:r>
      <w:r>
        <w:rPr>
          <w:i/>
          <w:iCs/>
        </w:rPr>
        <w:t>Canadian Journal of Botany</w:t>
      </w:r>
      <w:r>
        <w:t xml:space="preserve">, </w:t>
      </w:r>
      <w:r>
        <w:rPr>
          <w:i/>
          <w:iCs/>
        </w:rPr>
        <w:t>73</w:t>
      </w:r>
      <w:r>
        <w:t>(S1), 1423–1433. https://doi.org/10.1139/b95-406</w:t>
      </w:r>
    </w:p>
    <w:p w14:paraId="50DCF473" w14:textId="77777777" w:rsidR="00276430" w:rsidRDefault="00276430" w:rsidP="00276430">
      <w:pPr>
        <w:pStyle w:val="Bibliography"/>
      </w:pPr>
      <w:r>
        <w:t xml:space="preserve">Saleem, M., Hu, J., &amp; Jousset, A. (2019). More than the sum of its parts: Microbiome biodiversity as a driver of plant growth and soil health. </w:t>
      </w:r>
      <w:r>
        <w:rPr>
          <w:i/>
          <w:iCs/>
        </w:rPr>
        <w:t>Annual Review of Ecology, Evolution, and Systematics</w:t>
      </w:r>
      <w:r>
        <w:t xml:space="preserve">, </w:t>
      </w:r>
      <w:r>
        <w:rPr>
          <w:i/>
          <w:iCs/>
        </w:rPr>
        <w:t>50</w:t>
      </w:r>
      <w:r>
        <w:t>, 145–168.</w:t>
      </w:r>
    </w:p>
    <w:p w14:paraId="479AC18F" w14:textId="77777777" w:rsidR="00276430" w:rsidRDefault="00276430" w:rsidP="00276430">
      <w:pPr>
        <w:pStyle w:val="Bibliography"/>
      </w:pPr>
      <w:r>
        <w:t xml:space="preserve">Santos-González, J. C., Finlay, R. D., &amp; Tehler, A. (2007). Seasonal Dynamics of Arbuscular Mycorrhizal Fungal Communities in Roots in a Seminatural Grassland. </w:t>
      </w:r>
      <w:r>
        <w:rPr>
          <w:i/>
          <w:iCs/>
        </w:rPr>
        <w:t>Appl. Environ. Microbiol.</w:t>
      </w:r>
      <w:r>
        <w:t xml:space="preserve">, </w:t>
      </w:r>
      <w:r>
        <w:rPr>
          <w:i/>
          <w:iCs/>
        </w:rPr>
        <w:t>73</w:t>
      </w:r>
      <w:r>
        <w:t>(17), 5613–5623. https://doi.org/10.1128/AEM.00262-07</w:t>
      </w:r>
    </w:p>
    <w:p w14:paraId="1700665D" w14:textId="77777777" w:rsidR="00276430" w:rsidRDefault="00276430" w:rsidP="00276430">
      <w:pPr>
        <w:pStyle w:val="Bibliography"/>
      </w:pPr>
      <w:r>
        <w:t xml:space="preserve">Santoyo, G., Pacheco, C. H., Salmerón, J. H., &amp; León, R. H. (2017). The role of abiotic factors modulating the plant-microbe-soil interactions: Toward sustainable agriculture. A review. </w:t>
      </w:r>
      <w:r>
        <w:rPr>
          <w:i/>
          <w:iCs/>
        </w:rPr>
        <w:t>Spanish Journal of Agricultural Research</w:t>
      </w:r>
      <w:r>
        <w:t xml:space="preserve">, </w:t>
      </w:r>
      <w:r>
        <w:rPr>
          <w:i/>
          <w:iCs/>
        </w:rPr>
        <w:t>15</w:t>
      </w:r>
      <w:r>
        <w:t>(1), 13.</w:t>
      </w:r>
    </w:p>
    <w:p w14:paraId="0563C858" w14:textId="77777777" w:rsidR="00276430" w:rsidRDefault="00276430" w:rsidP="00276430">
      <w:pPr>
        <w:pStyle w:val="Bibliography"/>
      </w:pPr>
      <w:r>
        <w:t xml:space="preserve">Sarica, J., Amyot, M., Hare, L., Doyon, M.-R., &amp; Stanfield, L. W. (2004). Salmon-derived mercury and nutrients in a Lake Ontario spawning stream. </w:t>
      </w:r>
      <w:r>
        <w:rPr>
          <w:i/>
          <w:iCs/>
        </w:rPr>
        <w:t>Limnology and Oceanography</w:t>
      </w:r>
      <w:r>
        <w:t xml:space="preserve">, </w:t>
      </w:r>
      <w:r>
        <w:rPr>
          <w:i/>
          <w:iCs/>
        </w:rPr>
        <w:t>49</w:t>
      </w:r>
      <w:r>
        <w:t>(4), 891–899.</w:t>
      </w:r>
    </w:p>
    <w:p w14:paraId="6009812D" w14:textId="77777777" w:rsidR="00276430" w:rsidRDefault="00276430" w:rsidP="00276430">
      <w:pPr>
        <w:pStyle w:val="Bibliography"/>
      </w:pPr>
      <w:r>
        <w:t xml:space="preserve">Sato, T., El‐Sabaawi, R. W., Campbell, K., Ohta, T., &amp; Richardson, J. S. (2016). A test of the effects of timing of a pulsed resource subsidy on stream ecosystems. </w:t>
      </w:r>
      <w:r>
        <w:rPr>
          <w:i/>
          <w:iCs/>
        </w:rPr>
        <w:t>Journal of Animal Ecology</w:t>
      </w:r>
      <w:r>
        <w:t xml:space="preserve">, </w:t>
      </w:r>
      <w:r>
        <w:rPr>
          <w:i/>
          <w:iCs/>
        </w:rPr>
        <w:t>85</w:t>
      </w:r>
      <w:r>
        <w:t>(5), 1136–1146. https://doi.org/10.1111/1365-2656.12516</w:t>
      </w:r>
    </w:p>
    <w:p w14:paraId="67AD97CD" w14:textId="77777777" w:rsidR="00276430" w:rsidRDefault="00276430" w:rsidP="00276430">
      <w:pPr>
        <w:pStyle w:val="Bibliography"/>
      </w:pPr>
      <w:r>
        <w:t xml:space="preserve">Sawyer, Y. E., MacDonald, S. O., Lessa, E. P., &amp; Cook, J. A. (2019). Living on the edge: Exploring the role of coastal refugia in the Alexander Archipelago of Alaska. </w:t>
      </w:r>
      <w:r>
        <w:rPr>
          <w:i/>
          <w:iCs/>
        </w:rPr>
        <w:t>Ecology and Evolution</w:t>
      </w:r>
      <w:r>
        <w:t xml:space="preserve">, </w:t>
      </w:r>
      <w:r>
        <w:rPr>
          <w:i/>
          <w:iCs/>
        </w:rPr>
        <w:t>9</w:t>
      </w:r>
      <w:r>
        <w:t>(4), 1777–1797. https://doi.org/10.1002/ece3.4861</w:t>
      </w:r>
    </w:p>
    <w:p w14:paraId="09A5885D" w14:textId="77777777" w:rsidR="00276430" w:rsidRDefault="00276430" w:rsidP="00276430">
      <w:pPr>
        <w:pStyle w:val="Bibliography"/>
      </w:pPr>
      <w:r>
        <w:t xml:space="preserve">Sayer, A. M. (2008). </w:t>
      </w:r>
      <w:r>
        <w:rPr>
          <w:i/>
          <w:iCs/>
        </w:rPr>
        <w:t>Marine derived nitrogen use by Kenai Peninsula riparian plants: Effects on mineral nutrition and growth</w:t>
      </w:r>
      <w:r>
        <w:t xml:space="preserve"> [M.S., University of Alaska Anchorage]. http://search.proquest.com/docview/304337010/abstract/C7CCAEBBB7F540B2PQ/1</w:t>
      </w:r>
    </w:p>
    <w:p w14:paraId="2E6D190D" w14:textId="77777777" w:rsidR="00276430" w:rsidRDefault="00276430" w:rsidP="00276430">
      <w:pPr>
        <w:pStyle w:val="Bibliography"/>
      </w:pPr>
      <w:r>
        <w:t xml:space="preserve">Schechter, S., &amp; Branco, S. (2014). The Ecology and Evolution of Mycorrhizal Fungi in Extreme Soils. In N. Rajakaruna, R. S. Boyd, &amp; T. B. Harris (Eds.), </w:t>
      </w:r>
      <w:r>
        <w:rPr>
          <w:i/>
          <w:iCs/>
        </w:rPr>
        <w:t>Plant Ecology and Evolution in Harsh Environments</w:t>
      </w:r>
      <w:r>
        <w:t xml:space="preserve"> (pp. 33–52). Nova Publishers.</w:t>
      </w:r>
    </w:p>
    <w:p w14:paraId="2A66C338" w14:textId="77777777" w:rsidR="00276430" w:rsidRDefault="00276430" w:rsidP="00276430">
      <w:pPr>
        <w:pStyle w:val="Bibliography"/>
      </w:pPr>
      <w:r>
        <w:t xml:space="preserve">Scheinin, I., Kalimeri, M., Jagerroos, V., Parkkinen, J., Tikkanen, E., Würtz, P., &amp; Kangas, A. (2021). </w:t>
      </w:r>
      <w:r>
        <w:rPr>
          <w:i/>
          <w:iCs/>
        </w:rPr>
        <w:t>ggforestplot: Forestplots of Measures of Effects and Their Confidence Intervals</w:t>
      </w:r>
      <w:r>
        <w:t>.</w:t>
      </w:r>
    </w:p>
    <w:p w14:paraId="435BF75D" w14:textId="77777777" w:rsidR="00276430" w:rsidRDefault="00276430" w:rsidP="00276430">
      <w:pPr>
        <w:pStyle w:val="Bibliography"/>
      </w:pPr>
      <w:r>
        <w:t xml:space="preserve">Schindler, D. E., &amp; Smits, A. P. (2017). Subsidies of Aquatic Resources in Terrestrial Ecosystems. </w:t>
      </w:r>
      <w:r>
        <w:rPr>
          <w:i/>
          <w:iCs/>
        </w:rPr>
        <w:t>Ecosystems</w:t>
      </w:r>
      <w:r>
        <w:t xml:space="preserve">, </w:t>
      </w:r>
      <w:r>
        <w:rPr>
          <w:i/>
          <w:iCs/>
        </w:rPr>
        <w:t>20</w:t>
      </w:r>
      <w:r>
        <w:t>(1), 78–93. https://doi.org/10.1007/s10021-016-0050-7</w:t>
      </w:r>
    </w:p>
    <w:p w14:paraId="3A2D7138" w14:textId="77777777" w:rsidR="00276430" w:rsidRDefault="00276430" w:rsidP="00276430">
      <w:pPr>
        <w:pStyle w:val="Bibliography"/>
      </w:pPr>
      <w:r>
        <w:t xml:space="preserve">Schmidt, M. W. I., Torn, M. S., Abiven, S., Dittmar, T., Guggenberger, G., Janssens, I. A., Kleber, M., Kögel-Knabner, I., Lehmann, J., Manning, D. A. C., Nannipieri, P., Rasse, D. P., Weiner, S., &amp; Trumbore, S. E. (2011). Persistence of soil organic matter as an ecosystem property. </w:t>
      </w:r>
      <w:r>
        <w:rPr>
          <w:i/>
          <w:iCs/>
        </w:rPr>
        <w:t>Nature</w:t>
      </w:r>
      <w:r>
        <w:t xml:space="preserve">, </w:t>
      </w:r>
      <w:r>
        <w:rPr>
          <w:i/>
          <w:iCs/>
        </w:rPr>
        <w:t>478</w:t>
      </w:r>
      <w:r>
        <w:t>(7367), 49–56. https://doi.org/10.1038/nature10386</w:t>
      </w:r>
    </w:p>
    <w:p w14:paraId="7C5D414A" w14:textId="77777777" w:rsidR="00276430" w:rsidRDefault="00276430" w:rsidP="00276430">
      <w:pPr>
        <w:pStyle w:val="Bibliography"/>
      </w:pPr>
      <w:r>
        <w:t xml:space="preserve">Schoen, E. R., Wipfli, M. S., Trammell, E. J., Rinella, D. J., Floyd, A. L., Grunblatt, J., McCarthy, M. D., Meyer, B. E., Morton, J. M., Powell, J. E., Prakash, A., Reimer, M. N., Stuefer, S. L., Toniolo, H., Wells, B. M., &amp; Witmer, F. D. W. (2017). Future of Pacific Salmon in the Face of Environmental Change: Lessons from One of the World’s Remaining Productive Salmon Regions. </w:t>
      </w:r>
      <w:r>
        <w:rPr>
          <w:i/>
          <w:iCs/>
        </w:rPr>
        <w:t>Fisheries</w:t>
      </w:r>
      <w:r>
        <w:t xml:space="preserve">, </w:t>
      </w:r>
      <w:r>
        <w:rPr>
          <w:i/>
          <w:iCs/>
        </w:rPr>
        <w:t>42</w:t>
      </w:r>
      <w:r>
        <w:t>(10), 538–553. https://doi.org/10.1080/03632415.2017.1374251</w:t>
      </w:r>
    </w:p>
    <w:p w14:paraId="209EACD2" w14:textId="77777777" w:rsidR="00276430" w:rsidRDefault="00276430" w:rsidP="00276430">
      <w:pPr>
        <w:pStyle w:val="Bibliography"/>
      </w:pPr>
      <w:r>
        <w:t xml:space="preserve">Schweiger, R., Padilla-Arizmendi, F., Nogueira-López, G., Rostás, M., Lawry, R., Brown, C., Hampton, J., Steyaert, J. M., Müller, C., &amp; Mendoza-Mendoza, A. (2021). Insights into Metabolic Changes Caused by the Trichoderma virens–Maize Root Interaction. </w:t>
      </w:r>
      <w:r>
        <w:rPr>
          <w:i/>
          <w:iCs/>
        </w:rPr>
        <w:t>Molecular Plant-Microbe Interactions®</w:t>
      </w:r>
      <w:r>
        <w:t xml:space="preserve">, </w:t>
      </w:r>
      <w:r>
        <w:rPr>
          <w:i/>
          <w:iCs/>
        </w:rPr>
        <w:t>34</w:t>
      </w:r>
      <w:r>
        <w:t>(5), 524–537. https://doi.org/10.1094/MPMI-04-20-0081-R</w:t>
      </w:r>
    </w:p>
    <w:p w14:paraId="0258AE5D" w14:textId="77777777" w:rsidR="00276430" w:rsidRDefault="00276430" w:rsidP="00276430">
      <w:pPr>
        <w:pStyle w:val="Bibliography"/>
      </w:pPr>
      <w:r>
        <w:t xml:space="preserve">Scott, E. E., Perakis, S. S., &amp; Hibbs, D. E. (2008). Δ15N Patterns of Douglas-Fir and Red Alder Riparian Forests in the Oregon Coast Range. </w:t>
      </w:r>
      <w:r>
        <w:rPr>
          <w:i/>
          <w:iCs/>
        </w:rPr>
        <w:t>Forest Science</w:t>
      </w:r>
      <w:r>
        <w:t xml:space="preserve">, </w:t>
      </w:r>
      <w:r>
        <w:rPr>
          <w:i/>
          <w:iCs/>
        </w:rPr>
        <w:t>54</w:t>
      </w:r>
      <w:r>
        <w:t>(2), 140–147. https://doi.org/10.1093/forestscience/54.2.140</w:t>
      </w:r>
    </w:p>
    <w:p w14:paraId="1F25D07F" w14:textId="77777777" w:rsidR="00276430" w:rsidRDefault="00276430" w:rsidP="00276430">
      <w:pPr>
        <w:pStyle w:val="Bibliography"/>
      </w:pPr>
      <w:r>
        <w:t xml:space="preserve">Selosse, M.-A., Richard, F., He, X., &amp; Simard, S. W. (2006). Mycorrhizal networks: Des liaisons dangereuses? </w:t>
      </w:r>
      <w:r>
        <w:rPr>
          <w:i/>
          <w:iCs/>
        </w:rPr>
        <w:t>Trends in Ecology &amp; Evolution</w:t>
      </w:r>
      <w:r>
        <w:t xml:space="preserve">, </w:t>
      </w:r>
      <w:r>
        <w:rPr>
          <w:i/>
          <w:iCs/>
        </w:rPr>
        <w:t>21</w:t>
      </w:r>
      <w:r>
        <w:t>(11), 621–628. https://doi.org/10.1016/j.tree.2006.07.003</w:t>
      </w:r>
    </w:p>
    <w:p w14:paraId="08BC6026" w14:textId="77777777" w:rsidR="00276430" w:rsidRDefault="00276430" w:rsidP="00276430">
      <w:pPr>
        <w:pStyle w:val="Bibliography"/>
      </w:pPr>
      <w:r>
        <w:t xml:space="preserve">Shakeri, Y. N., White, K. S., &amp; Levi, T. (2018). Salmon-supported bears, seed dispersal, and extensive resource subsidies to granivores. </w:t>
      </w:r>
      <w:r>
        <w:rPr>
          <w:i/>
          <w:iCs/>
        </w:rPr>
        <w:t>Ecosphere</w:t>
      </w:r>
      <w:r>
        <w:t xml:space="preserve">, </w:t>
      </w:r>
      <w:r>
        <w:rPr>
          <w:i/>
          <w:iCs/>
        </w:rPr>
        <w:t>9</w:t>
      </w:r>
      <w:r>
        <w:t>(6), e02297. https://doi.org/10.1002/ecs2.2297</w:t>
      </w:r>
    </w:p>
    <w:p w14:paraId="3DC14B46" w14:textId="77777777" w:rsidR="00276430" w:rsidRDefault="00276430" w:rsidP="00276430">
      <w:pPr>
        <w:pStyle w:val="Bibliography"/>
      </w:pPr>
      <w:r>
        <w:t xml:space="preserve">Shanley, C. S., Pyare, S., Goldstein, M. I., Alaback, P. B., Albert, D. M., Beier, C. M., Brinkman, T. J., Edwards, R. T., Hood, E., MacKinnon, A., McPhee, M. V., Patterson, T. M., Suring, L. H., Tallmon, D. A., &amp; Wipfli, M. S. (2015). Climate change implications in the northern coastal temperate rainforest of North America. </w:t>
      </w:r>
      <w:r>
        <w:rPr>
          <w:i/>
          <w:iCs/>
        </w:rPr>
        <w:t>Climatic Change</w:t>
      </w:r>
      <w:r>
        <w:t xml:space="preserve">, </w:t>
      </w:r>
      <w:r>
        <w:rPr>
          <w:i/>
          <w:iCs/>
        </w:rPr>
        <w:t>130</w:t>
      </w:r>
      <w:r>
        <w:t>(2), 155–170. https://doi.org/10.1007/s10584-015-1355-9</w:t>
      </w:r>
    </w:p>
    <w:p w14:paraId="3B71A27C" w14:textId="77777777" w:rsidR="00276430" w:rsidRDefault="00276430" w:rsidP="00276430">
      <w:pPr>
        <w:pStyle w:val="Bibliography"/>
      </w:pPr>
      <w:r>
        <w:t xml:space="preserve">Shardlow, T. F., &amp; Hyatt, K. D. (2013). Quantifying associations of large vertebrates with salmon in riparian areas of British Columbia streams by means of camera-traps, bait stations, and hair samples. </w:t>
      </w:r>
      <w:r>
        <w:rPr>
          <w:i/>
          <w:iCs/>
        </w:rPr>
        <w:t>Ecological Indicators</w:t>
      </w:r>
      <w:r>
        <w:t xml:space="preserve">, </w:t>
      </w:r>
      <w:r>
        <w:rPr>
          <w:i/>
          <w:iCs/>
        </w:rPr>
        <w:t>27</w:t>
      </w:r>
      <w:r>
        <w:t>, 97–107.</w:t>
      </w:r>
    </w:p>
    <w:p w14:paraId="117331A9" w14:textId="77777777" w:rsidR="00276430" w:rsidRDefault="00276430" w:rsidP="00276430">
      <w:pPr>
        <w:pStyle w:val="Bibliography"/>
      </w:pPr>
      <w:r>
        <w:t xml:space="preserve">Shaul, L., Weitkamp, L., Simpson, K., &amp; Sawada, J. (2007). Trends in abundance and size of coho salmon in the Pacific Rim. </w:t>
      </w:r>
      <w:r>
        <w:rPr>
          <w:i/>
          <w:iCs/>
        </w:rPr>
        <w:t>North Pacific Anadromous Fish Commission Bulletin</w:t>
      </w:r>
      <w:r>
        <w:t xml:space="preserve">, </w:t>
      </w:r>
      <w:r>
        <w:rPr>
          <w:i/>
          <w:iCs/>
        </w:rPr>
        <w:t>4</w:t>
      </w:r>
      <w:r>
        <w:t>, 93–104.</w:t>
      </w:r>
    </w:p>
    <w:p w14:paraId="0B44E63B" w14:textId="77777777" w:rsidR="00276430" w:rsidRDefault="00276430" w:rsidP="00276430">
      <w:pPr>
        <w:pStyle w:val="Bibliography"/>
      </w:pPr>
      <w:r>
        <w:t xml:space="preserve">Shi, Y., Lalande, R., Hamel, C., Ziadi, N., Gagnon, B., &amp; Hu, Z. (2013). Seasonal variation of microbial biomass, activity, and community structure in soil under different tillage and phosphorus management practices. </w:t>
      </w:r>
      <w:r>
        <w:rPr>
          <w:i/>
          <w:iCs/>
        </w:rPr>
        <w:t>Biology and Fertility of Soils</w:t>
      </w:r>
      <w:r>
        <w:t xml:space="preserve">, </w:t>
      </w:r>
      <w:r>
        <w:rPr>
          <w:i/>
          <w:iCs/>
        </w:rPr>
        <w:t>49</w:t>
      </w:r>
      <w:r>
        <w:t>(7), 803–818. https://doi.org/10.1007/s00374-013-0773-y</w:t>
      </w:r>
    </w:p>
    <w:p w14:paraId="6D4123FF" w14:textId="77777777" w:rsidR="00276430" w:rsidRDefault="00276430" w:rsidP="00276430">
      <w:pPr>
        <w:pStyle w:val="Bibliography"/>
      </w:pPr>
      <w:r>
        <w:t xml:space="preserve">Shuman, R. F. (1950). Bear depredations on red salmon spawning populations in the Karluk River system, 1947. </w:t>
      </w:r>
      <w:r>
        <w:rPr>
          <w:i/>
          <w:iCs/>
        </w:rPr>
        <w:t>The Journal of Wildlife Management</w:t>
      </w:r>
      <w:r>
        <w:t xml:space="preserve">, </w:t>
      </w:r>
      <w:r>
        <w:rPr>
          <w:i/>
          <w:iCs/>
        </w:rPr>
        <w:t>14</w:t>
      </w:r>
      <w:r>
        <w:t>(1), 1–9.</w:t>
      </w:r>
    </w:p>
    <w:p w14:paraId="770EE12C" w14:textId="77777777" w:rsidR="00276430" w:rsidRDefault="00276430" w:rsidP="00276430">
      <w:pPr>
        <w:pStyle w:val="Bibliography"/>
      </w:pPr>
      <w:r>
        <w:t>Siemens, L. D., Dennert, A. M., Obrist, D. S., &amp; Reynolds, J. D. (2020). Spawning salmon density influences fruit production of salmonberry (</w:t>
      </w:r>
      <w:r>
        <w:rPr>
          <w:i/>
          <w:iCs/>
        </w:rPr>
        <w:t>Rubus spectabilis</w:t>
      </w:r>
      <w:r>
        <w:t xml:space="preserve">). </w:t>
      </w:r>
      <w:r>
        <w:rPr>
          <w:i/>
          <w:iCs/>
        </w:rPr>
        <w:t>Ecosphere</w:t>
      </w:r>
      <w:r>
        <w:t xml:space="preserve">, </w:t>
      </w:r>
      <w:r>
        <w:rPr>
          <w:i/>
          <w:iCs/>
        </w:rPr>
        <w:t>11</w:t>
      </w:r>
      <w:r>
        <w:t>(11), e03282.</w:t>
      </w:r>
    </w:p>
    <w:p w14:paraId="10E158C9" w14:textId="77777777" w:rsidR="00276430" w:rsidRDefault="00276430" w:rsidP="00276430">
      <w:pPr>
        <w:pStyle w:val="Bibliography"/>
      </w:pPr>
      <w:r>
        <w:t xml:space="preserve">Sigler, W. V., &amp; Turco, R. F. (2002). The impact of chlorothalonil application on soil bacterial and fungal populations as assessed by denaturing gradient gel electrophoresis. </w:t>
      </w:r>
      <w:r>
        <w:rPr>
          <w:i/>
          <w:iCs/>
        </w:rPr>
        <w:t>Applied Soil Ecology</w:t>
      </w:r>
      <w:r>
        <w:t xml:space="preserve">, </w:t>
      </w:r>
      <w:r>
        <w:rPr>
          <w:i/>
          <w:iCs/>
        </w:rPr>
        <w:t>21</w:t>
      </w:r>
      <w:r>
        <w:t>(2), 107–118. https://doi.org/10.1016/S0929-1393(02)00088-4</w:t>
      </w:r>
    </w:p>
    <w:p w14:paraId="3017DDFA" w14:textId="77777777" w:rsidR="00276430" w:rsidRDefault="00276430" w:rsidP="00276430">
      <w:pPr>
        <w:pStyle w:val="Bibliography"/>
      </w:pPr>
      <w:r>
        <w:t xml:space="preserve">Simard, S. W. (2018). Mycorrhizal networks facilitate tree communication, learning, and memory. In </w:t>
      </w:r>
      <w:r>
        <w:rPr>
          <w:i/>
          <w:iCs/>
        </w:rPr>
        <w:t>Memory and learning in plants</w:t>
      </w:r>
      <w:r>
        <w:t xml:space="preserve"> (pp. 191–213). Springer.</w:t>
      </w:r>
    </w:p>
    <w:p w14:paraId="1EAB9A30" w14:textId="77777777" w:rsidR="00276430" w:rsidRDefault="00276430" w:rsidP="00276430">
      <w:pPr>
        <w:pStyle w:val="Bibliography"/>
      </w:pPr>
      <w:r>
        <w:t xml:space="preserve">Simard, S. W., Asay, A., Beiler, K., Bingham, M., Deslippe, J., He, X., Philip, L., Song, Y., &amp; Teste, F. (2015). </w:t>
      </w:r>
      <w:r>
        <w:rPr>
          <w:i/>
          <w:iCs/>
        </w:rPr>
        <w:t>Resource transfer between plants through ectomycorrhizal fungal networks</w:t>
      </w:r>
      <w:r>
        <w:t>. http://www.researchgate.net/profile/Xinhua_He3/publication/272567309_Resource_transfer_between_plants_through_ectomycorrhizal_fungal_networks/links/54e98e850cf25ba91c7f21ba.pdf</w:t>
      </w:r>
    </w:p>
    <w:p w14:paraId="3846D929" w14:textId="77777777" w:rsidR="00276430" w:rsidRDefault="00276430" w:rsidP="00276430">
      <w:pPr>
        <w:pStyle w:val="Bibliography"/>
      </w:pPr>
      <w:r>
        <w:t xml:space="preserve">Simard, S. W., Beiler, K. J., Bingham, M. A., Deslippe, J. R., Philip, L. J., &amp; Teste, F. P. (2012). Mycorrhizal networks: Mechanisms, ecology and modelling. </w:t>
      </w:r>
      <w:r>
        <w:rPr>
          <w:i/>
          <w:iCs/>
        </w:rPr>
        <w:t>Fungal Biology Reviews</w:t>
      </w:r>
      <w:r>
        <w:t xml:space="preserve">, </w:t>
      </w:r>
      <w:r>
        <w:rPr>
          <w:i/>
          <w:iCs/>
        </w:rPr>
        <w:t>26</w:t>
      </w:r>
      <w:r>
        <w:t>(1), 39–60. https://doi.org/10.1016/j.fbr.2012.01.001</w:t>
      </w:r>
    </w:p>
    <w:p w14:paraId="1105DCCE" w14:textId="77777777" w:rsidR="00276430" w:rsidRDefault="00276430" w:rsidP="00276430">
      <w:pPr>
        <w:pStyle w:val="Bibliography"/>
      </w:pPr>
      <w:r>
        <w:t xml:space="preserve">Simard, S. W., Jones, M. D., &amp; Durall, D. M. (2003). Carbon and nutrient fluxes within and between mycorrhizal plants. In </w:t>
      </w:r>
      <w:r>
        <w:rPr>
          <w:i/>
          <w:iCs/>
        </w:rPr>
        <w:t>Mycorrhizal ecology</w:t>
      </w:r>
      <w:r>
        <w:t xml:space="preserve"> (pp. 33–74). Springer.</w:t>
      </w:r>
    </w:p>
    <w:p w14:paraId="28F47552" w14:textId="77777777" w:rsidR="00276430" w:rsidRDefault="00276430" w:rsidP="00276430">
      <w:pPr>
        <w:pStyle w:val="Bibliography"/>
      </w:pPr>
      <w:r>
        <w:t xml:space="preserve">Simard, S. W., Martin, K., Vyse, A., Larson, B., Messier, C., Puettmann, K. J., &amp; Coates, K. D. (2013). Meta-networks of fungi, fauna and flora as agents of complex adaptive systems. </w:t>
      </w:r>
      <w:r>
        <w:rPr>
          <w:i/>
          <w:iCs/>
        </w:rPr>
        <w:t>Managing Forests as Complex Adaptive Systems: Building Resilience to the Challenge of Global Change. C. Messier, KJ Puettmann, &amp; KD Coates (Editors). Routledge, New York, NY</w:t>
      </w:r>
      <w:r>
        <w:t>, 133–164.</w:t>
      </w:r>
    </w:p>
    <w:p w14:paraId="4545A441" w14:textId="77777777" w:rsidR="00276430" w:rsidRDefault="00276430" w:rsidP="00276430">
      <w:pPr>
        <w:pStyle w:val="Bibliography"/>
      </w:pPr>
      <w:r>
        <w:t xml:space="preserve">Simon, L., Lalonde, M., &amp; Bruns, T. D. (1992). Specific amplification of 18S fungal ribosomal genes from vesicular-arbuscular endomycorrhizal fungi colonizing roots. </w:t>
      </w:r>
      <w:r>
        <w:rPr>
          <w:i/>
          <w:iCs/>
        </w:rPr>
        <w:t>Applied and Environmental Microbiology</w:t>
      </w:r>
      <w:r>
        <w:t xml:space="preserve">, </w:t>
      </w:r>
      <w:r>
        <w:rPr>
          <w:i/>
          <w:iCs/>
        </w:rPr>
        <w:t>58</w:t>
      </w:r>
      <w:r>
        <w:t>(1), 291–295.</w:t>
      </w:r>
    </w:p>
    <w:p w14:paraId="1BBB26CF" w14:textId="77777777" w:rsidR="00276430" w:rsidRDefault="00276430" w:rsidP="00276430">
      <w:pPr>
        <w:pStyle w:val="Bibliography"/>
      </w:pPr>
      <w:r>
        <w:t xml:space="preserve">Singer, M. A. (2002). Vampire bat, shrew, and bear: Comparative physiology and chronic renal failure. </w:t>
      </w:r>
      <w:r>
        <w:rPr>
          <w:i/>
          <w:iCs/>
        </w:rPr>
        <w:t>American Journal of Physiology-Regulatory, Integrative and Comparative Physiology</w:t>
      </w:r>
      <w:r>
        <w:t xml:space="preserve">, </w:t>
      </w:r>
      <w:r>
        <w:rPr>
          <w:i/>
          <w:iCs/>
        </w:rPr>
        <w:t>282</w:t>
      </w:r>
      <w:r>
        <w:t>(6), R1583–R1592. https://doi.org/10.1152/ajpregu.00711.2001</w:t>
      </w:r>
    </w:p>
    <w:p w14:paraId="75CC9AD4" w14:textId="77777777" w:rsidR="00276430" w:rsidRDefault="00276430" w:rsidP="00276430">
      <w:pPr>
        <w:pStyle w:val="Bibliography"/>
      </w:pPr>
      <w:r>
        <w:t xml:space="preserve">Smethurst, N. H. (2014). </w:t>
      </w:r>
      <w:r>
        <w:rPr>
          <w:i/>
          <w:iCs/>
        </w:rPr>
        <w:t>Inscribed on the landscape: Stories of stone traps and fishing in Laxyuup Gitxaała</w:t>
      </w:r>
      <w:r>
        <w:t xml:space="preserve"> [University of British Columbia]. https://doi.org/10.14288/1.0167319</w:t>
      </w:r>
    </w:p>
    <w:p w14:paraId="455CA9BB" w14:textId="77777777" w:rsidR="00276430" w:rsidRDefault="00276430" w:rsidP="00276430">
      <w:pPr>
        <w:pStyle w:val="Bibliography"/>
      </w:pPr>
      <w:r>
        <w:t xml:space="preserve">Smith, M., Sterritt, A., &amp; Armstrong, P. (2007). From conflict to collaboration: The story of the Great Bear Rainforest. </w:t>
      </w:r>
      <w:r>
        <w:rPr>
          <w:i/>
          <w:iCs/>
        </w:rPr>
        <w:t>Online at Http://Www. Forestethics. Org/Downloads/WWFpaper. Pdf, Accessed February</w:t>
      </w:r>
      <w:r>
        <w:t xml:space="preserve">, </w:t>
      </w:r>
      <w:r>
        <w:rPr>
          <w:i/>
          <w:iCs/>
        </w:rPr>
        <w:t>26</w:t>
      </w:r>
      <w:r>
        <w:t>, 2008.</w:t>
      </w:r>
    </w:p>
    <w:p w14:paraId="0EE8485F" w14:textId="77777777" w:rsidR="00276430" w:rsidRDefault="00276430" w:rsidP="00276430">
      <w:pPr>
        <w:pStyle w:val="Bibliography"/>
      </w:pPr>
      <w:r>
        <w:t xml:space="preserve">Smith, M., Sterritt, A., &amp; Armstrong, P. (2016). </w:t>
      </w:r>
      <w:r>
        <w:rPr>
          <w:i/>
          <w:iCs/>
        </w:rPr>
        <w:t>From Conflict to Collaboration: The Story of the Great Bear Rainforest</w:t>
      </w:r>
      <w:r>
        <w:t>.</w:t>
      </w:r>
    </w:p>
    <w:p w14:paraId="002D2B66" w14:textId="77777777" w:rsidR="00276430" w:rsidRDefault="00276430" w:rsidP="00276430">
      <w:pPr>
        <w:pStyle w:val="Bibliography"/>
      </w:pPr>
      <w:r>
        <w:t xml:space="preserve">Smith, S. (1967). Carbohydrate Translocation in Orchid Mycorrhizas. </w:t>
      </w:r>
      <w:r>
        <w:rPr>
          <w:i/>
          <w:iCs/>
        </w:rPr>
        <w:t>New Phytologist</w:t>
      </w:r>
      <w:r>
        <w:t xml:space="preserve">, </w:t>
      </w:r>
      <w:r>
        <w:rPr>
          <w:i/>
          <w:iCs/>
        </w:rPr>
        <w:t>66</w:t>
      </w:r>
      <w:r>
        <w:t>(3), 371–378. https://doi.org/10.1111/j.1469-8137.1967.tb06016.x</w:t>
      </w:r>
    </w:p>
    <w:p w14:paraId="5FE69516" w14:textId="77777777" w:rsidR="00276430" w:rsidRDefault="00276430" w:rsidP="00276430">
      <w:pPr>
        <w:pStyle w:val="Bibliography"/>
      </w:pPr>
      <w:r>
        <w:t xml:space="preserve">Smith, S. E., &amp; Read, D. J. (2008). </w:t>
      </w:r>
      <w:r>
        <w:rPr>
          <w:i/>
          <w:iCs/>
        </w:rPr>
        <w:t>Mycorrhizal Symbiosis, Third Edition</w:t>
      </w:r>
      <w:r>
        <w:t xml:space="preserve"> (3 edition). Academic Press.</w:t>
      </w:r>
    </w:p>
    <w:p w14:paraId="2BF24D34" w14:textId="77777777" w:rsidR="00276430" w:rsidRDefault="00276430" w:rsidP="00276430">
      <w:pPr>
        <w:pStyle w:val="Bibliography"/>
      </w:pPr>
      <w:r>
        <w:t xml:space="preserve">Snyder, S. (2014). Bristol Bay wild salmon, Pebble Mine, and intractable conflict: Lessons for environmental studies and sciences. </w:t>
      </w:r>
      <w:r>
        <w:rPr>
          <w:i/>
          <w:iCs/>
        </w:rPr>
        <w:t>Environment: Science and Policy for Sustainable Development</w:t>
      </w:r>
      <w:r>
        <w:t xml:space="preserve">, </w:t>
      </w:r>
      <w:r>
        <w:rPr>
          <w:i/>
          <w:iCs/>
        </w:rPr>
        <w:t>56</w:t>
      </w:r>
      <w:r>
        <w:t>(2), 17–26.</w:t>
      </w:r>
    </w:p>
    <w:p w14:paraId="09888E73" w14:textId="77777777" w:rsidR="00276430" w:rsidRDefault="00276430" w:rsidP="00276430">
      <w:pPr>
        <w:pStyle w:val="Bibliography"/>
      </w:pPr>
      <w:r>
        <w:t xml:space="preserve">Solly, E. F., Weber, V., Zimmermann, S., Walthert, L., Hagedorn, F., &amp; Schmidt, M. W. I. (2020). A Critical Evaluation of the Relationship Between the Effective Cation Exchange Capacity and Soil Organic Carbon Content in Swiss Forest Soils. </w:t>
      </w:r>
      <w:r>
        <w:rPr>
          <w:i/>
          <w:iCs/>
        </w:rPr>
        <w:t>Frontiers in Forests and Global Change</w:t>
      </w:r>
      <w:r>
        <w:t xml:space="preserve">, </w:t>
      </w:r>
      <w:r>
        <w:rPr>
          <w:i/>
          <w:iCs/>
        </w:rPr>
        <w:t>3</w:t>
      </w:r>
      <w:r>
        <w:t>. https://doi.org/10.3389/ffgc.2020.00098</w:t>
      </w:r>
    </w:p>
    <w:p w14:paraId="56CD7AFD" w14:textId="77777777" w:rsidR="00276430" w:rsidRDefault="00276430" w:rsidP="00276430">
      <w:pPr>
        <w:pStyle w:val="Bibliography"/>
      </w:pPr>
      <w:r>
        <w:t xml:space="preserve">Song, Y. Y., Simard, S. W., Carroll, A., Mohn, W. W., &amp; Zeng, R. S. (2015). Defoliation of interior Douglas-fir elicits carbon transfer and stress signalling to ponderosa pine neighbors through ectomycorrhizal networks. </w:t>
      </w:r>
      <w:r>
        <w:rPr>
          <w:i/>
          <w:iCs/>
        </w:rPr>
        <w:t>Scientific Reports</w:t>
      </w:r>
      <w:r>
        <w:t xml:space="preserve">, </w:t>
      </w:r>
      <w:r>
        <w:rPr>
          <w:i/>
          <w:iCs/>
        </w:rPr>
        <w:t>5</w:t>
      </w:r>
      <w:r>
        <w:t>. https://doi.org/10.1038/srep08495</w:t>
      </w:r>
    </w:p>
    <w:p w14:paraId="23F41201" w14:textId="77777777" w:rsidR="00276430" w:rsidRDefault="00276430" w:rsidP="00276430">
      <w:pPr>
        <w:pStyle w:val="Bibliography"/>
      </w:pPr>
      <w:r>
        <w:t xml:space="preserve">Song, Y. Y., Zeng, R. S., Xu, J. F., Li, J., Shen, X., &amp; Yihdego, W. G. (2010). Interplant Communication of Tomato Plants through Underground Common Mycorrhizal Networks. </w:t>
      </w:r>
      <w:r>
        <w:rPr>
          <w:i/>
          <w:iCs/>
        </w:rPr>
        <w:t>PLoS ONE</w:t>
      </w:r>
      <w:r>
        <w:t xml:space="preserve">, </w:t>
      </w:r>
      <w:r>
        <w:rPr>
          <w:i/>
          <w:iCs/>
        </w:rPr>
        <w:t>5</w:t>
      </w:r>
      <w:r>
        <w:t>(10), e13324. https://doi.org/10.1371/journal.pone.0013324</w:t>
      </w:r>
    </w:p>
    <w:p w14:paraId="65637EE3" w14:textId="77777777" w:rsidR="00276430" w:rsidRDefault="00276430" w:rsidP="00276430">
      <w:pPr>
        <w:pStyle w:val="Bibliography"/>
      </w:pPr>
      <w:r>
        <w:t xml:space="preserve">Soudzilovskaia, N. A., Vaessen, S., Barcelo, M., He, J., Rahimlou, S., Abarenkov, K., Brundrett, M. C., Gomes, S. I. F., Merckx, V., &amp; Tedersoo, L. (2020). FungalRoot: Global online database of plant mycorrhizal associations. </w:t>
      </w:r>
      <w:r>
        <w:rPr>
          <w:i/>
          <w:iCs/>
        </w:rPr>
        <w:t>New Phytologist</w:t>
      </w:r>
      <w:r>
        <w:t xml:space="preserve">, </w:t>
      </w:r>
      <w:r>
        <w:rPr>
          <w:i/>
          <w:iCs/>
        </w:rPr>
        <w:t>227</w:t>
      </w:r>
      <w:r>
        <w:t>(3), 955–966. https://doi.org/10.1111/nph.16569</w:t>
      </w:r>
    </w:p>
    <w:p w14:paraId="3507B217" w14:textId="77777777" w:rsidR="00276430" w:rsidRDefault="00276430" w:rsidP="00276430">
      <w:pPr>
        <w:pStyle w:val="Bibliography"/>
      </w:pPr>
      <w:r>
        <w:t xml:space="preserve">Souther, J. G. (1986). The western Anahim Belt: Root zone of a peralkaline magma system. </w:t>
      </w:r>
      <w:r>
        <w:rPr>
          <w:i/>
          <w:iCs/>
        </w:rPr>
        <w:t>Canadian Journal of Earth Sciences</w:t>
      </w:r>
      <w:r>
        <w:t xml:space="preserve">, </w:t>
      </w:r>
      <w:r>
        <w:rPr>
          <w:i/>
          <w:iCs/>
        </w:rPr>
        <w:t>23</w:t>
      </w:r>
      <w:r>
        <w:t>(6), 895–908. https://doi.org/10.1139/e86-091</w:t>
      </w:r>
    </w:p>
    <w:p w14:paraId="0347FE37" w14:textId="77777777" w:rsidR="00276430" w:rsidRDefault="00276430" w:rsidP="00276430">
      <w:pPr>
        <w:pStyle w:val="Bibliography"/>
      </w:pPr>
      <w:r>
        <w:t xml:space="preserve">Stendahl, J., Berg, B., &amp; Lindahl, B. D. (2017). Manganese availability is negatively associated with carbon storage in northern coniferous forest humus layers. </w:t>
      </w:r>
      <w:r>
        <w:rPr>
          <w:i/>
          <w:iCs/>
        </w:rPr>
        <w:t>Scientific Reports</w:t>
      </w:r>
      <w:r>
        <w:t xml:space="preserve">, </w:t>
      </w:r>
      <w:r>
        <w:rPr>
          <w:i/>
          <w:iCs/>
        </w:rPr>
        <w:t>7</w:t>
      </w:r>
      <w:r>
        <w:t>(1), 15487. https://doi.org/10.1038/s41598-017-15801-y</w:t>
      </w:r>
    </w:p>
    <w:p w14:paraId="7BF03FFF" w14:textId="77777777" w:rsidR="00276430" w:rsidRDefault="00276430" w:rsidP="00276430">
      <w:pPr>
        <w:pStyle w:val="Bibliography"/>
      </w:pPr>
      <w:r>
        <w:t xml:space="preserve">Stewart, J., Cichowski, E., Vanwieren, C., Spence, P., Wilcox, K., &amp; Davidson, L. (2019). </w:t>
      </w:r>
      <w:r>
        <w:rPr>
          <w:i/>
          <w:iCs/>
        </w:rPr>
        <w:t>Long-Term Effects of Salmon Subsidies on Terrestrial and Freshwater Invertebrate Communities</w:t>
      </w:r>
      <w:r>
        <w:t>.</w:t>
      </w:r>
    </w:p>
    <w:p w14:paraId="4AD4066F" w14:textId="77777777" w:rsidR="00276430" w:rsidRDefault="00276430" w:rsidP="00276430">
      <w:pPr>
        <w:pStyle w:val="Bibliography"/>
      </w:pPr>
      <w:r>
        <w:t xml:space="preserve">Stockner, J. G., &amp; MacIsaac, E. A. (1996). British Columbia lake enrichment programme: Two decades of habitat enhancement for sockeye salmon. </w:t>
      </w:r>
      <w:r>
        <w:rPr>
          <w:i/>
          <w:iCs/>
        </w:rPr>
        <w:t>Regulated Rivers: Research &amp; Management</w:t>
      </w:r>
      <w:r>
        <w:t xml:space="preserve">, </w:t>
      </w:r>
      <w:r>
        <w:rPr>
          <w:i/>
          <w:iCs/>
        </w:rPr>
        <w:t>12</w:t>
      </w:r>
      <w:r>
        <w:t>(4–5), 547–561.</w:t>
      </w:r>
    </w:p>
    <w:p w14:paraId="4307B75A" w14:textId="77777777" w:rsidR="00276430" w:rsidRDefault="00276430" w:rsidP="00276430">
      <w:pPr>
        <w:pStyle w:val="Bibliography"/>
      </w:pPr>
      <w:r>
        <w:t xml:space="preserve">Stokes, K. L., Forbes, S. L., Benninger, L. A., Carter, D. O., &amp; Tibbett, M. (2009). Decomposition Studies Using Animal Models in Contrasting Environments: Evidence from Temporal Changes in Soil Chemistry and Microbial Activity. In K. Ritz, L. Dawson, &amp; D. Miller (Eds.), </w:t>
      </w:r>
      <w:r>
        <w:rPr>
          <w:i/>
          <w:iCs/>
        </w:rPr>
        <w:t>Criminal and Environmental Soil Forensics</w:t>
      </w:r>
      <w:r>
        <w:t xml:space="preserve"> (pp. 357–377). Springer Netherlands. https://doi.org/10.1007/978-1-4020-9204-6_23</w:t>
      </w:r>
    </w:p>
    <w:p w14:paraId="1A11C82C" w14:textId="77777777" w:rsidR="00276430" w:rsidRDefault="00276430" w:rsidP="00276430">
      <w:pPr>
        <w:pStyle w:val="Bibliography"/>
      </w:pPr>
      <w:r>
        <w:t xml:space="preserve">Strawn, D. G., Bohn, H. L., &amp; O’Connor, G. A. (2020). </w:t>
      </w:r>
      <w:r>
        <w:rPr>
          <w:i/>
          <w:iCs/>
        </w:rPr>
        <w:t>Soil Chemistry, 5th edition</w:t>
      </w:r>
      <w:r>
        <w:t xml:space="preserve"> (5 edition). Wiley-Blackwell.</w:t>
      </w:r>
    </w:p>
    <w:p w14:paraId="3738F69C" w14:textId="77777777" w:rsidR="00276430" w:rsidRDefault="00276430" w:rsidP="00276430">
      <w:pPr>
        <w:pStyle w:val="Bibliography"/>
      </w:pPr>
      <w:r>
        <w:t xml:space="preserve">Subalusky, A. L., &amp; Post, D. M. (2019). Context dependency of animal resource subsidies. </w:t>
      </w:r>
      <w:r>
        <w:rPr>
          <w:i/>
          <w:iCs/>
        </w:rPr>
        <w:t>Biological Reviews</w:t>
      </w:r>
      <w:r>
        <w:t xml:space="preserve">, </w:t>
      </w:r>
      <w:r>
        <w:rPr>
          <w:i/>
          <w:iCs/>
        </w:rPr>
        <w:t>94</w:t>
      </w:r>
      <w:r>
        <w:t>(2), 517–538. https://doi.org/10.1111/brv.12465</w:t>
      </w:r>
    </w:p>
    <w:p w14:paraId="1F59821C" w14:textId="77777777" w:rsidR="00276430" w:rsidRDefault="00276430" w:rsidP="00276430">
      <w:pPr>
        <w:pStyle w:val="Bibliography"/>
      </w:pPr>
      <w:r>
        <w:t xml:space="preserve">Swain, N. R., Hocking, M. D., Harding, J. N., &amp; Reynolds, J. D. (2013). Effects of salmon on the diet and condition of stream-resident sculpins. </w:t>
      </w:r>
      <w:r>
        <w:rPr>
          <w:i/>
          <w:iCs/>
        </w:rPr>
        <w:t>Canadian Journal of Fisheries and Aquatic Sciences</w:t>
      </w:r>
      <w:r>
        <w:t xml:space="preserve">, </w:t>
      </w:r>
      <w:r>
        <w:rPr>
          <w:i/>
          <w:iCs/>
        </w:rPr>
        <w:t>71</w:t>
      </w:r>
      <w:r>
        <w:t>(4), 521–532. https://doi.org/10.1139/cjfas-2013-0159</w:t>
      </w:r>
    </w:p>
    <w:p w14:paraId="47E131EE" w14:textId="77777777" w:rsidR="00276430" w:rsidRDefault="00276430" w:rsidP="00276430">
      <w:pPr>
        <w:pStyle w:val="Bibliography"/>
      </w:pPr>
      <w:r>
        <w:t xml:space="preserve">Swain, N. R., &amp; Reynolds, J. D. (2015). Effects of Salmon-Derived Nutrients and Habitat Characteristics on Population Densities of Stream-Resident Sculpins. </w:t>
      </w:r>
      <w:r>
        <w:rPr>
          <w:i/>
          <w:iCs/>
        </w:rPr>
        <w:t>PLOS ONE</w:t>
      </w:r>
      <w:r>
        <w:t xml:space="preserve">, </w:t>
      </w:r>
      <w:r>
        <w:rPr>
          <w:i/>
          <w:iCs/>
        </w:rPr>
        <w:t>10</w:t>
      </w:r>
      <w:r>
        <w:t>(6), e0116090. https://doi.org/10.1371/journal.pone.0116090</w:t>
      </w:r>
    </w:p>
    <w:p w14:paraId="2545556C" w14:textId="77777777" w:rsidR="00276430" w:rsidRDefault="00276430" w:rsidP="00276430">
      <w:pPr>
        <w:pStyle w:val="Bibliography"/>
      </w:pPr>
      <w:r>
        <w:t xml:space="preserve">Takebayashi, Y., Koba, K., Sasaki, Y., Fang, Y., &amp; Yoh, M. (2010). The natural abundance of 15N in plant and soil-available N indicates a shift of main plant N resources to NO 3− from NH 4+ along the N leaching gradient. </w:t>
      </w:r>
      <w:r>
        <w:rPr>
          <w:i/>
          <w:iCs/>
        </w:rPr>
        <w:t>Rapid Communications in Mass Spectrometry</w:t>
      </w:r>
      <w:r>
        <w:t xml:space="preserve">, </w:t>
      </w:r>
      <w:r>
        <w:rPr>
          <w:i/>
          <w:iCs/>
        </w:rPr>
        <w:t>24</w:t>
      </w:r>
      <w:r>
        <w:t>(7), 1001–1008. https://doi.org/10.1002/rcm.4469</w:t>
      </w:r>
    </w:p>
    <w:p w14:paraId="6FEAE187" w14:textId="77777777" w:rsidR="00276430" w:rsidRDefault="00276430" w:rsidP="00276430">
      <w:pPr>
        <w:pStyle w:val="Bibliography"/>
      </w:pPr>
      <w:r>
        <w:t xml:space="preserve">Taylor, A. F. S., &amp; Alexander, I. J. (1991). Ectomycorrhizal synthesis with Tylospora fibrillosa, a member of the Corticiaceae. </w:t>
      </w:r>
      <w:r>
        <w:rPr>
          <w:i/>
          <w:iCs/>
        </w:rPr>
        <w:t>Mycological Research</w:t>
      </w:r>
      <w:r>
        <w:t xml:space="preserve">, </w:t>
      </w:r>
      <w:r>
        <w:rPr>
          <w:i/>
          <w:iCs/>
        </w:rPr>
        <w:t>95</w:t>
      </w:r>
      <w:r>
        <w:t>(3), 381–384. https://doi.org/10.1016/S0953-7562(09)81256-2</w:t>
      </w:r>
    </w:p>
    <w:p w14:paraId="20DAFB52" w14:textId="77777777" w:rsidR="00276430" w:rsidRDefault="00276430" w:rsidP="00276430">
      <w:pPr>
        <w:pStyle w:val="Bibliography"/>
      </w:pPr>
      <w:r>
        <w:t xml:space="preserve">Taylor, A., Fransson, P. M., Högberg, P., Högberg, M. N., &amp; Plamboeck, A. H. (2003). Species level patterns in 13C and 15N abundance of ectomycorrhizal and saprotrophic fungal sporocarps. </w:t>
      </w:r>
      <w:r>
        <w:rPr>
          <w:i/>
          <w:iCs/>
        </w:rPr>
        <w:t>New Phytologist</w:t>
      </w:r>
      <w:r>
        <w:t xml:space="preserve">, </w:t>
      </w:r>
      <w:r>
        <w:rPr>
          <w:i/>
          <w:iCs/>
        </w:rPr>
        <w:t>159</w:t>
      </w:r>
      <w:r>
        <w:t>(3), 757–774. https://doi.org/10.1046/j.1469-8137.2003.00838.x</w:t>
      </w:r>
    </w:p>
    <w:p w14:paraId="0BE83542" w14:textId="77777777" w:rsidR="00276430" w:rsidRDefault="00276430" w:rsidP="00276430">
      <w:pPr>
        <w:pStyle w:val="Bibliography"/>
      </w:pPr>
      <w:r>
        <w:t xml:space="preserve">Taylor, A., Högbom, L., Högberg, M., Lyon, A. J., Näsholm, T., &amp; Högberg, P. (1997). Natural 15N abundance in fruit bodies of ectomycorrhizal fungi from boreal forests. </w:t>
      </w:r>
      <w:r>
        <w:rPr>
          <w:i/>
          <w:iCs/>
        </w:rPr>
        <w:t>New Phytologist</w:t>
      </w:r>
      <w:r>
        <w:t xml:space="preserve">, </w:t>
      </w:r>
      <w:r>
        <w:rPr>
          <w:i/>
          <w:iCs/>
        </w:rPr>
        <w:t>136</w:t>
      </w:r>
      <w:r>
        <w:t>(4), 713–720.</w:t>
      </w:r>
    </w:p>
    <w:p w14:paraId="664FEEDB" w14:textId="77777777" w:rsidR="00276430" w:rsidRDefault="00276430" w:rsidP="00276430">
      <w:pPr>
        <w:pStyle w:val="Bibliography"/>
      </w:pPr>
      <w:r>
        <w:t xml:space="preserve">Taylor, J. E. (2009). </w:t>
      </w:r>
      <w:r>
        <w:rPr>
          <w:i/>
          <w:iCs/>
        </w:rPr>
        <w:t>Making Salmon: An Environmental History of the Northwest Fisheries Crisis</w:t>
      </w:r>
      <w:r>
        <w:t>. University of Washington Press.</w:t>
      </w:r>
    </w:p>
    <w:p w14:paraId="238B2525" w14:textId="77777777" w:rsidR="00276430" w:rsidRDefault="00276430" w:rsidP="00276430">
      <w:pPr>
        <w:pStyle w:val="Bibliography"/>
      </w:pPr>
      <w:r>
        <w:t xml:space="preserve">Taylor, W. W., &amp; Leonard, N. J. (2007). The influence of globalization on the sustainability of the North American Pacific salmon fisheries. </w:t>
      </w:r>
      <w:r>
        <w:rPr>
          <w:i/>
          <w:iCs/>
        </w:rPr>
        <w:t>Globalization: Effects on Fisheries Resources</w:t>
      </w:r>
      <w:r>
        <w:t>, 291.</w:t>
      </w:r>
    </w:p>
    <w:p w14:paraId="2C1CD143" w14:textId="77777777" w:rsidR="00276430" w:rsidRDefault="00276430" w:rsidP="00276430">
      <w:pPr>
        <w:pStyle w:val="Bibliography"/>
      </w:pPr>
      <w:r>
        <w:t xml:space="preserve">Tedersoo, L., Anslan, S., Bahram, M., Drenkhan, R., Pritsch, K., Buegger, F., Padari, A., Hagh-Doust, N., Mikryukov, V., Gohar, D., Amiri, R., Hiiesalu, I., Lutter, R., Rosenvald, R., Rähn, E., Adamson, K., Drenkhan, T., Tullus, H., Jürimaa, K., … Abarenkov, K. (2020). Regional-Scale In-Depth Analysis of Soil Fungal Diversity Reveals Strong pH and Plant Species Effects in Northern Europe. </w:t>
      </w:r>
      <w:r>
        <w:rPr>
          <w:i/>
          <w:iCs/>
        </w:rPr>
        <w:t>Frontiers in Microbiology</w:t>
      </w:r>
      <w:r>
        <w:t xml:space="preserve">, </w:t>
      </w:r>
      <w:r>
        <w:rPr>
          <w:i/>
          <w:iCs/>
        </w:rPr>
        <w:t>11</w:t>
      </w:r>
      <w:r>
        <w:t>. https://doi.org/10.3389/fmicb.2020.01953</w:t>
      </w:r>
    </w:p>
    <w:p w14:paraId="6894C27E" w14:textId="77777777" w:rsidR="00276430" w:rsidRDefault="00276430" w:rsidP="00276430">
      <w:pPr>
        <w:pStyle w:val="Bibliography"/>
      </w:pPr>
      <w:r>
        <w:t xml:space="preserve">Teotia, P., Kumar, V., Kumar, M., Prasad, R., &amp; Sharma, S. (2017). Probiotic Microbiome: Potassium Solubilization and Plant Productivity. In V. Kumar, M. Kumar, S. Sharma, &amp; R. Prasad (Eds.), </w:t>
      </w:r>
      <w:r>
        <w:rPr>
          <w:i/>
          <w:iCs/>
        </w:rPr>
        <w:t>Probiotics in Agroecosystem</w:t>
      </w:r>
      <w:r>
        <w:t xml:space="preserve"> (pp. 451–467). Springer. https://doi.org/10.1007/978-981-10-4059-7_24</w:t>
      </w:r>
    </w:p>
    <w:p w14:paraId="2DF63CBB" w14:textId="77777777" w:rsidR="00276430" w:rsidRDefault="00276430" w:rsidP="00276430">
      <w:pPr>
        <w:pStyle w:val="Bibliography"/>
      </w:pPr>
      <w:r>
        <w:t xml:space="preserve">Teste, F. P., Karst, J., Jones, M. D., Simard, S. W., &amp; Durall, D. M. (2006). Methods to control ectomycorrhizal colonization: Effectiveness of chemical and physical barriers. </w:t>
      </w:r>
      <w:r>
        <w:rPr>
          <w:i/>
          <w:iCs/>
        </w:rPr>
        <w:t>Mycorrhiza</w:t>
      </w:r>
      <w:r>
        <w:t xml:space="preserve">, </w:t>
      </w:r>
      <w:r>
        <w:rPr>
          <w:i/>
          <w:iCs/>
        </w:rPr>
        <w:t>17</w:t>
      </w:r>
      <w:r>
        <w:t>(1), 51–65. https://doi.org/10.1007/s00572-006-0083-4</w:t>
      </w:r>
    </w:p>
    <w:p w14:paraId="5A84AD6B" w14:textId="77777777" w:rsidR="00276430" w:rsidRDefault="00276430" w:rsidP="00276430">
      <w:pPr>
        <w:pStyle w:val="Bibliography"/>
      </w:pPr>
      <w:r>
        <w:t xml:space="preserve">Thakur, M. P., Phillips, H. R. P., Brose, U., Vries, F. T. D., Lavelle, P., Loreau, M., Mathieu, J., Mulder, C., Putten, W. H. V. der, Rillig, M. C., Wardle, D. A., Bach, E. M., Bartz, M. L. C., Bennett, J. M., Briones, M. J. I., Brown, G., Decaëns, T., Eisenhauer, N., Ferlian, O., … Cameron, E. K. (2020). Towards an integrative understanding of soil biodiversity. </w:t>
      </w:r>
      <w:r>
        <w:rPr>
          <w:i/>
          <w:iCs/>
        </w:rPr>
        <w:t>Biological Reviews</w:t>
      </w:r>
      <w:r>
        <w:t xml:space="preserve">, </w:t>
      </w:r>
      <w:r>
        <w:rPr>
          <w:i/>
          <w:iCs/>
        </w:rPr>
        <w:t>95</w:t>
      </w:r>
      <w:r>
        <w:t>(2), 350–364. https://doi.org/10.1111/brv.12567</w:t>
      </w:r>
    </w:p>
    <w:p w14:paraId="2EFDD9C2" w14:textId="77777777" w:rsidR="00276430" w:rsidRDefault="00276430" w:rsidP="00276430">
      <w:pPr>
        <w:pStyle w:val="Bibliography"/>
      </w:pPr>
      <w:r>
        <w:t xml:space="preserve">Tharanathan, R. N., &amp; Kittur, F. S. (2003). Chitin—The Undisputed Biomolecule of Great Potential. </w:t>
      </w:r>
      <w:r>
        <w:rPr>
          <w:i/>
          <w:iCs/>
        </w:rPr>
        <w:t>Critical Reviews in Food Science and Nutrition</w:t>
      </w:r>
      <w:r>
        <w:t xml:space="preserve">, </w:t>
      </w:r>
      <w:r>
        <w:rPr>
          <w:i/>
          <w:iCs/>
        </w:rPr>
        <w:t>43</w:t>
      </w:r>
      <w:r>
        <w:t>(1), 61–87. https://doi.org/10.1080/10408690390826455</w:t>
      </w:r>
    </w:p>
    <w:p w14:paraId="5B97B2EE" w14:textId="77777777" w:rsidR="00276430" w:rsidRDefault="00276430" w:rsidP="00276430">
      <w:pPr>
        <w:pStyle w:val="Bibliography"/>
      </w:pPr>
      <w:r>
        <w:t xml:space="preserve">Thorne, K., MacDonald, G., Guntenspergen, G., Ambrose, R., Buffington, K., Dugger, B., Freeman, C., Janousek, C., Brown, L., Rosencranz, J., Holmquist, J., Smol, J., Hargan, K., &amp; Takekawa, J. (2018). U.S. Pacific coastal wetland resilience and vulnerability to sea-level rise. </w:t>
      </w:r>
      <w:r>
        <w:rPr>
          <w:i/>
          <w:iCs/>
        </w:rPr>
        <w:t>Science Advances</w:t>
      </w:r>
      <w:r>
        <w:t xml:space="preserve">, </w:t>
      </w:r>
      <w:r>
        <w:rPr>
          <w:i/>
          <w:iCs/>
        </w:rPr>
        <w:t>4</w:t>
      </w:r>
      <w:r>
        <w:t>(2), eaao3270. https://doi.org/10.1126/sciadv.aao3270</w:t>
      </w:r>
    </w:p>
    <w:p w14:paraId="65B82AED" w14:textId="77777777" w:rsidR="00276430" w:rsidRDefault="00276430" w:rsidP="00276430">
      <w:pPr>
        <w:pStyle w:val="Bibliography"/>
      </w:pPr>
      <w:r>
        <w:t xml:space="preserve">Tian, D., Du, E., Jiang, L., Ma, S., Zeng, W., Zou, A., Feng, C., Xu, L., Xing, A., Wang, W., Zheng, C., Ji, C., Shen, H., &amp; Fang, J. (2018). Responses of forest ecosystems to increasing N deposition in China: A critical review. </w:t>
      </w:r>
      <w:r>
        <w:rPr>
          <w:i/>
          <w:iCs/>
        </w:rPr>
        <w:t>Environmental Pollution</w:t>
      </w:r>
      <w:r>
        <w:t xml:space="preserve">, </w:t>
      </w:r>
      <w:r>
        <w:rPr>
          <w:i/>
          <w:iCs/>
        </w:rPr>
        <w:t>243</w:t>
      </w:r>
      <w:r>
        <w:t>, 75–86. https://doi.org/10.1016/j.envpol.2018.08.010</w:t>
      </w:r>
    </w:p>
    <w:p w14:paraId="6553B776" w14:textId="77777777" w:rsidR="00276430" w:rsidRDefault="00276430" w:rsidP="00276430">
      <w:pPr>
        <w:pStyle w:val="Bibliography"/>
      </w:pPr>
      <w:r>
        <w:t xml:space="preserve">Tian, D., &amp; Niu, S. (2015). A global analysis of soil acidification caused by nitrogen addition. </w:t>
      </w:r>
      <w:r>
        <w:rPr>
          <w:i/>
          <w:iCs/>
        </w:rPr>
        <w:t>Environmental Research Letters</w:t>
      </w:r>
      <w:r>
        <w:t xml:space="preserve">, </w:t>
      </w:r>
      <w:r>
        <w:rPr>
          <w:i/>
          <w:iCs/>
        </w:rPr>
        <w:t>10</w:t>
      </w:r>
      <w:r>
        <w:t>(2), 024019. https://doi.org/10.1088/1748-9326/10/2/024019</w:t>
      </w:r>
    </w:p>
    <w:p w14:paraId="57B22340" w14:textId="77777777" w:rsidR="00276430" w:rsidRDefault="00276430" w:rsidP="00276430">
      <w:pPr>
        <w:pStyle w:val="Bibliography"/>
      </w:pPr>
      <w:r>
        <w:t xml:space="preserve">Tian, Z., Zhao, H., Peter, K. T., Gonzalez, M., Wetzel, J., Wu, C., Hu, X., Prat, J., Mudrock, E., Hettinger, R., Cortina, A. E., Biswas, R. G., Kock, F. V. C., Soong, R., Jenne, A., Du, B., Hou, F., He, H., Lundeen, R., … Kolodziej, E. P. (2021). A ubiquitous tire rubber–derived chemical induces acute mortality in coho salmon. </w:t>
      </w:r>
      <w:r>
        <w:rPr>
          <w:i/>
          <w:iCs/>
        </w:rPr>
        <w:t>Science</w:t>
      </w:r>
      <w:r>
        <w:t xml:space="preserve">, </w:t>
      </w:r>
      <w:r>
        <w:rPr>
          <w:i/>
          <w:iCs/>
        </w:rPr>
        <w:t>371</w:t>
      </w:r>
      <w:r>
        <w:t>(6525), 185–189. https://doi.org/10.1126/science.abd6951</w:t>
      </w:r>
    </w:p>
    <w:p w14:paraId="67FF31FA" w14:textId="77777777" w:rsidR="00276430" w:rsidRDefault="00276430" w:rsidP="00276430">
      <w:pPr>
        <w:pStyle w:val="Bibliography"/>
      </w:pPr>
      <w:r>
        <w:t xml:space="preserve">Tibbett, M., &amp; Carter, D. O. (2003). Mushrooms and taphonomy: The fungi that mark woodland graves. </w:t>
      </w:r>
      <w:r>
        <w:rPr>
          <w:i/>
          <w:iCs/>
        </w:rPr>
        <w:t>Mycologist</w:t>
      </w:r>
      <w:r>
        <w:t xml:space="preserve">, </w:t>
      </w:r>
      <w:r>
        <w:rPr>
          <w:i/>
          <w:iCs/>
        </w:rPr>
        <w:t>17</w:t>
      </w:r>
      <w:r>
        <w:t>(1), 20–24. https://doi.org/10.1017/S0269-915X(03)00115-0</w:t>
      </w:r>
    </w:p>
    <w:p w14:paraId="442D3AF5" w14:textId="77777777" w:rsidR="00276430" w:rsidRDefault="00276430" w:rsidP="00276430">
      <w:pPr>
        <w:pStyle w:val="Bibliography"/>
      </w:pPr>
      <w:r>
        <w:t xml:space="preserve">Tiegs, S. D., Chaloner, D. T., Levi, P., Rüegg, J., Tank, J. L., &amp; Lamberti, G. A. (2008). Timber Harvest Transforms Ecological Roles of Salmon in Southeast Alaska Rain Forest Streams. </w:t>
      </w:r>
      <w:r>
        <w:rPr>
          <w:i/>
          <w:iCs/>
        </w:rPr>
        <w:t>Ecological Applications</w:t>
      </w:r>
      <w:r>
        <w:t xml:space="preserve">, </w:t>
      </w:r>
      <w:r>
        <w:rPr>
          <w:i/>
          <w:iCs/>
        </w:rPr>
        <w:t>18</w:t>
      </w:r>
      <w:r>
        <w:t>(1), 4–11. https://doi.org/10.1890/07-0655.1</w:t>
      </w:r>
    </w:p>
    <w:p w14:paraId="163B9B81" w14:textId="77777777" w:rsidR="00276430" w:rsidRDefault="00276430" w:rsidP="00276430">
      <w:pPr>
        <w:pStyle w:val="Bibliography"/>
      </w:pPr>
      <w:r>
        <w:t xml:space="preserve">Tiessen, H., Cuevas, E., &amp; Chacon, P. (1994). The role of soil organic matter in sustaining soil fertility. </w:t>
      </w:r>
      <w:r>
        <w:rPr>
          <w:i/>
          <w:iCs/>
        </w:rPr>
        <w:t>Nature</w:t>
      </w:r>
      <w:r>
        <w:t xml:space="preserve">, </w:t>
      </w:r>
      <w:r>
        <w:rPr>
          <w:i/>
          <w:iCs/>
        </w:rPr>
        <w:t>371</w:t>
      </w:r>
      <w:r>
        <w:t>(6500), 783–785. https://doi.org/10.1038/371783a0</w:t>
      </w:r>
    </w:p>
    <w:p w14:paraId="07C956D1" w14:textId="77777777" w:rsidR="00276430" w:rsidRDefault="00276430" w:rsidP="00276430">
      <w:pPr>
        <w:pStyle w:val="Bibliography"/>
      </w:pPr>
      <w:r>
        <w:t xml:space="preserve">Trant, A. J., Nijland, W., Hoffman, K. M., Mathews, D. L., McLaren, D., Nelson, T. A., &amp; Starzomski, B. M. (2016). Intertidal resource use over millennia enhances forest productivity. </w:t>
      </w:r>
      <w:r>
        <w:rPr>
          <w:i/>
          <w:iCs/>
        </w:rPr>
        <w:t>Nature Communications</w:t>
      </w:r>
      <w:r>
        <w:t xml:space="preserve">, </w:t>
      </w:r>
      <w:r>
        <w:rPr>
          <w:i/>
          <w:iCs/>
        </w:rPr>
        <w:t>7</w:t>
      </w:r>
      <w:r>
        <w:t>, 12491. https://doi.org/10.1038/ncomms12491</w:t>
      </w:r>
    </w:p>
    <w:p w14:paraId="5214572F" w14:textId="77777777" w:rsidR="00276430" w:rsidRDefault="00276430" w:rsidP="00276430">
      <w:pPr>
        <w:pStyle w:val="Bibliography"/>
      </w:pPr>
      <w:r>
        <w:t xml:space="preserve">Treseder, K. K. (2008). Nitrogen additions and microbial biomass: A meta-analysis of ecosystem studies. </w:t>
      </w:r>
      <w:r>
        <w:rPr>
          <w:i/>
          <w:iCs/>
        </w:rPr>
        <w:t>Ecology Letters</w:t>
      </w:r>
      <w:r>
        <w:t xml:space="preserve">, </w:t>
      </w:r>
      <w:r>
        <w:rPr>
          <w:i/>
          <w:iCs/>
        </w:rPr>
        <w:t>11</w:t>
      </w:r>
      <w:r>
        <w:t>(10), 1111–1120. https://doi.org/10.1111/j.1461-0248.2008.01230.x</w:t>
      </w:r>
    </w:p>
    <w:p w14:paraId="716175F2" w14:textId="77777777" w:rsidR="00276430" w:rsidRDefault="00276430" w:rsidP="00276430">
      <w:pPr>
        <w:pStyle w:val="Bibliography"/>
      </w:pPr>
      <w:r>
        <w:t xml:space="preserve">Turner, B. L., &amp; Blackwell, M. S. A. (2013). Isolating the influence of pH on the amounts and forms of soil organic phosphorus. </w:t>
      </w:r>
      <w:r>
        <w:rPr>
          <w:i/>
          <w:iCs/>
        </w:rPr>
        <w:t>European Journal of Soil Science</w:t>
      </w:r>
      <w:r>
        <w:t xml:space="preserve">, </w:t>
      </w:r>
      <w:r>
        <w:rPr>
          <w:i/>
          <w:iCs/>
        </w:rPr>
        <w:t>64</w:t>
      </w:r>
      <w:r>
        <w:t>(2), 249–259. https://doi.org/10.1111/ejss.12026</w:t>
      </w:r>
    </w:p>
    <w:p w14:paraId="42F6B6E1" w14:textId="77777777" w:rsidR="00276430" w:rsidRDefault="00276430" w:rsidP="00276430">
      <w:pPr>
        <w:pStyle w:val="Bibliography"/>
      </w:pPr>
      <w:r>
        <w:t xml:space="preserve">Turner, J., &amp; Turner, S. (2015). </w:t>
      </w:r>
      <w:r>
        <w:rPr>
          <w:i/>
          <w:iCs/>
        </w:rPr>
        <w:t>Spirit Bear Family</w:t>
      </w:r>
      <w:r>
        <w:t>. CBC The Nature of Things.</w:t>
      </w:r>
    </w:p>
    <w:p w14:paraId="0DD2BA38" w14:textId="77777777" w:rsidR="00276430" w:rsidRDefault="00276430" w:rsidP="00276430">
      <w:pPr>
        <w:pStyle w:val="Bibliography"/>
      </w:pPr>
      <w:r>
        <w:t xml:space="preserve">Underwood, C. (2001). </w:t>
      </w:r>
      <w:r>
        <w:rPr>
          <w:i/>
          <w:iCs/>
        </w:rPr>
        <w:t>The Salmon Forest</w:t>
      </w:r>
      <w:r>
        <w:t>. CBC The Nature of Things.</w:t>
      </w:r>
    </w:p>
    <w:p w14:paraId="683EC012" w14:textId="77777777" w:rsidR="00276430" w:rsidRDefault="00276430" w:rsidP="00276430">
      <w:pPr>
        <w:pStyle w:val="Bibliography"/>
      </w:pPr>
      <w:r>
        <w:t xml:space="preserve">van den Top, G. G., Reynolds, J. D., Prins, H. H., Mattsson, J., Green, D. J., &amp; Ydenberg, R. C. (2018). From salmon to salmonberry: The effects of salmon-derived nutrients on the stomatal density of leaves of the nitriphilic shrub </w:t>
      </w:r>
      <w:r>
        <w:rPr>
          <w:i/>
          <w:iCs/>
        </w:rPr>
        <w:t>Rubus spectabilis</w:t>
      </w:r>
      <w:r>
        <w:t xml:space="preserve">. </w:t>
      </w:r>
      <w:r>
        <w:rPr>
          <w:i/>
          <w:iCs/>
        </w:rPr>
        <w:t>Functional Ecology</w:t>
      </w:r>
      <w:r>
        <w:t xml:space="preserve">, </w:t>
      </w:r>
      <w:r>
        <w:rPr>
          <w:i/>
          <w:iCs/>
        </w:rPr>
        <w:t>32</w:t>
      </w:r>
      <w:r>
        <w:t>(11), 2625–2633.</w:t>
      </w:r>
    </w:p>
    <w:p w14:paraId="4A5B688D" w14:textId="77777777" w:rsidR="00276430" w:rsidRDefault="00276430" w:rsidP="00276430">
      <w:pPr>
        <w:pStyle w:val="Bibliography"/>
      </w:pPr>
      <w:r>
        <w:t xml:space="preserve">Van Der Heijden, M. G. A., Bardgett, R. D., &amp; Van Straalen, N. M. (2008). The unseen majority: Soil microbes as drivers of plant diversity and productivity in terrestrial ecosystems. </w:t>
      </w:r>
      <w:r>
        <w:rPr>
          <w:i/>
          <w:iCs/>
        </w:rPr>
        <w:t>Ecology Letters</w:t>
      </w:r>
      <w:r>
        <w:t xml:space="preserve">, </w:t>
      </w:r>
      <w:r>
        <w:rPr>
          <w:i/>
          <w:iCs/>
        </w:rPr>
        <w:t>11</w:t>
      </w:r>
      <w:r>
        <w:t>(3), 296–310. https://doi.org/10.1111/j.1461-0248.2007.01139.x</w:t>
      </w:r>
    </w:p>
    <w:p w14:paraId="2FC6C649" w14:textId="77777777" w:rsidR="00276430" w:rsidRDefault="00276430" w:rsidP="00276430">
      <w:pPr>
        <w:pStyle w:val="Bibliography"/>
      </w:pPr>
      <w:r>
        <w:t xml:space="preserve">Van Scoy, A. R., &amp; Tjeerdema, R. S. (2014). Environmental fate and toxicology of chlorothalonil. </w:t>
      </w:r>
      <w:r>
        <w:rPr>
          <w:i/>
          <w:iCs/>
        </w:rPr>
        <w:t>Reviews of Environmental Contamination and Toxicology Volume 232</w:t>
      </w:r>
      <w:r>
        <w:t>, 89–105.</w:t>
      </w:r>
    </w:p>
    <w:p w14:paraId="77B1A8EC" w14:textId="77777777" w:rsidR="00276430" w:rsidRDefault="00276430" w:rsidP="00276430">
      <w:pPr>
        <w:pStyle w:val="Bibliography"/>
      </w:pPr>
      <w:r>
        <w:t xml:space="preserve">Vandenkoornhuyse, P., Quaiser, A., Duhamel, M., Le Van, A., &amp; Dufresne, A. (2015). The importance of the microbiome of the plant holobiont. </w:t>
      </w:r>
      <w:r>
        <w:rPr>
          <w:i/>
          <w:iCs/>
        </w:rPr>
        <w:t>New Phytologist</w:t>
      </w:r>
      <w:r>
        <w:t xml:space="preserve">, </w:t>
      </w:r>
      <w:r>
        <w:rPr>
          <w:i/>
          <w:iCs/>
        </w:rPr>
        <w:t>206</w:t>
      </w:r>
      <w:r>
        <w:t>(4), 1196–1206. https://doi.org/10.1111/nph.13312</w:t>
      </w:r>
    </w:p>
    <w:p w14:paraId="75AA4DBB" w14:textId="77777777" w:rsidR="00276430" w:rsidRDefault="00276430" w:rsidP="00276430">
      <w:pPr>
        <w:pStyle w:val="Bibliography"/>
      </w:pPr>
      <w:r>
        <w:t xml:space="preserve">Veneault-Fourrey, C., &amp; Martin, F. (2013). 10 New Insights into Ectomycorrhizal Symbiosis Evolution and Function. In F. Kempken (Ed.), </w:t>
      </w:r>
      <w:r>
        <w:rPr>
          <w:i/>
          <w:iCs/>
        </w:rPr>
        <w:t>Agricultural Applications</w:t>
      </w:r>
      <w:r>
        <w:t xml:space="preserve"> (pp. 273–293). Springer Berlin Heidelberg. http://link.springer.com.ezproxy.library.ubc.ca/chapter/10.1007/978-3-642-36821-9_10</w:t>
      </w:r>
    </w:p>
    <w:p w14:paraId="217503A2" w14:textId="77777777" w:rsidR="00276430" w:rsidRDefault="00276430" w:rsidP="00276430">
      <w:pPr>
        <w:pStyle w:val="Bibliography"/>
      </w:pPr>
      <w:r>
        <w:t xml:space="preserve">Vermes, J.-F., &amp; Myrold, D. D. (1992). Denitrification in forest soils of Oregon. </w:t>
      </w:r>
      <w:r>
        <w:rPr>
          <w:i/>
          <w:iCs/>
        </w:rPr>
        <w:t>Canadian Journal of Forest Research</w:t>
      </w:r>
      <w:r>
        <w:t xml:space="preserve">, </w:t>
      </w:r>
      <w:r>
        <w:rPr>
          <w:i/>
          <w:iCs/>
        </w:rPr>
        <w:t>22</w:t>
      </w:r>
      <w:r>
        <w:t>(4), 504–512. https://doi.org/10.1139/x92-066</w:t>
      </w:r>
    </w:p>
    <w:p w14:paraId="21192BB4" w14:textId="77777777" w:rsidR="00276430" w:rsidRDefault="00276430" w:rsidP="00276430">
      <w:pPr>
        <w:pStyle w:val="Bibliography"/>
      </w:pPr>
      <w:r>
        <w:t xml:space="preserve">Verspoor, J. J., Braun, D. C., &amp; Reynolds, J. D. (2010). Quantitative Links Between Pacific Salmon and Stream Periphyton. </w:t>
      </w:r>
      <w:r>
        <w:rPr>
          <w:i/>
          <w:iCs/>
        </w:rPr>
        <w:t>Ecosystems</w:t>
      </w:r>
      <w:r>
        <w:t xml:space="preserve">, </w:t>
      </w:r>
      <w:r>
        <w:rPr>
          <w:i/>
          <w:iCs/>
        </w:rPr>
        <w:t>13</w:t>
      </w:r>
      <w:r>
        <w:t>(7), 1020–1034. https://doi.org/10.1007/s10021-010-9371-0</w:t>
      </w:r>
    </w:p>
    <w:p w14:paraId="5DAE67AA" w14:textId="77777777" w:rsidR="00276430" w:rsidRDefault="00276430" w:rsidP="00276430">
      <w:pPr>
        <w:pStyle w:val="Bibliography"/>
      </w:pPr>
      <w:r>
        <w:t xml:space="preserve">Verspoor, J. J., Braun, D. C., Stubbs, M. M., &amp; Reynolds, J. D. (2011). Persistent ecological effects of a salmon-derived nutrient pulse on stream invertebrate communities. </w:t>
      </w:r>
      <w:r>
        <w:rPr>
          <w:i/>
          <w:iCs/>
        </w:rPr>
        <w:t>Ecosphere</w:t>
      </w:r>
      <w:r>
        <w:t xml:space="preserve">, </w:t>
      </w:r>
      <w:r>
        <w:rPr>
          <w:i/>
          <w:iCs/>
        </w:rPr>
        <w:t>2</w:t>
      </w:r>
      <w:r>
        <w:t>(2), art18. https://doi.org/10.1890/ES10-00011.1</w:t>
      </w:r>
    </w:p>
    <w:p w14:paraId="06CBC558" w14:textId="77777777" w:rsidR="00276430" w:rsidRDefault="00276430" w:rsidP="00276430">
      <w:pPr>
        <w:pStyle w:val="Bibliography"/>
      </w:pPr>
      <w:r>
        <w:t xml:space="preserve">Vinale, F., Sivasithamparam, K., Ghisalberti, E. L., Ruocco, M., Woo, S., &amp; Lorito, M. (2012). Trichoderma Secondary Metabolites that Affect Plant Metabolism. </w:t>
      </w:r>
      <w:r>
        <w:rPr>
          <w:i/>
          <w:iCs/>
        </w:rPr>
        <w:t>Natural Product Communications</w:t>
      </w:r>
      <w:r>
        <w:t xml:space="preserve">, </w:t>
      </w:r>
      <w:r>
        <w:rPr>
          <w:i/>
          <w:iCs/>
        </w:rPr>
        <w:t>7</w:t>
      </w:r>
      <w:r>
        <w:t>(11), 1934578X1200701133. https://doi.org/10.1177/1934578X1200701133</w:t>
      </w:r>
    </w:p>
    <w:p w14:paraId="525E799D" w14:textId="77777777" w:rsidR="00276430" w:rsidRDefault="00276430" w:rsidP="00276430">
      <w:pPr>
        <w:pStyle w:val="Bibliography"/>
      </w:pPr>
      <w:r>
        <w:t xml:space="preserve">Vizza, C., Sanderson, B. L., Coe, H. J., &amp; Chaloner, D. T. (2017). Evaluating the consequences of salmon nutrients for riparian organisms: Linking condition metrics to stable isotopes. </w:t>
      </w:r>
      <w:r>
        <w:rPr>
          <w:i/>
          <w:iCs/>
        </w:rPr>
        <w:t>Ecology and Evolution</w:t>
      </w:r>
      <w:r>
        <w:t xml:space="preserve">, </w:t>
      </w:r>
      <w:r>
        <w:rPr>
          <w:i/>
          <w:iCs/>
        </w:rPr>
        <w:t>7</w:t>
      </w:r>
      <w:r>
        <w:t>(5), 1313–1324. https://doi.org/10.1002/ece3.2697</w:t>
      </w:r>
    </w:p>
    <w:p w14:paraId="0D6C622A" w14:textId="77777777" w:rsidR="00276430" w:rsidRDefault="00276430" w:rsidP="00276430">
      <w:pPr>
        <w:pStyle w:val="Bibliography"/>
      </w:pPr>
      <w:r>
        <w:t xml:space="preserve">Vogue, P., Kerle, E., &amp; Jenkins, J. (1994). </w:t>
      </w:r>
      <w:r>
        <w:rPr>
          <w:i/>
          <w:iCs/>
        </w:rPr>
        <w:t>OSU Extension Pesticide Properties Database</w:t>
      </w:r>
      <w:r>
        <w:t>. http://npic.orst.edu/ingred/ppdmove.htm</w:t>
      </w:r>
    </w:p>
    <w:p w14:paraId="11FEAED7" w14:textId="77777777" w:rsidR="00276430" w:rsidRDefault="00276430" w:rsidP="00276430">
      <w:pPr>
        <w:pStyle w:val="Bibliography"/>
      </w:pPr>
      <w:r>
        <w:t xml:space="preserve">Vohník, M., Pánek, M., Fehrer, J., &amp; Selosse, M.-A. (2016). Experimental evidence of ericoid mycorrhizal potential within Serendipitaceae (Sebacinales). </w:t>
      </w:r>
      <w:r>
        <w:rPr>
          <w:i/>
          <w:iCs/>
        </w:rPr>
        <w:t>Mycorrhiza</w:t>
      </w:r>
      <w:r>
        <w:t xml:space="preserve">, </w:t>
      </w:r>
      <w:r>
        <w:rPr>
          <w:i/>
          <w:iCs/>
        </w:rPr>
        <w:t>26</w:t>
      </w:r>
      <w:r>
        <w:t>(8), 831–846. https://doi.org/10.1007/s00572-016-0717-0</w:t>
      </w:r>
    </w:p>
    <w:p w14:paraId="72862FD1" w14:textId="77777777" w:rsidR="00276430" w:rsidRDefault="00276430" w:rsidP="00276430">
      <w:pPr>
        <w:pStyle w:val="Bibliography"/>
      </w:pPr>
      <w:r>
        <w:t xml:space="preserve">von Biela, V. R., Bowen, L., McCormick, S. D., Carey, M. P., Donnelly, D. S., Waters, S., Regish, A. M., Laske, S. M., Brown, R. J., Larson, S., Zuray, S., &amp; Zimmerman, C. E. (2020). Evidence of prevalent heat stress in Yukon River Chinook salmon. </w:t>
      </w:r>
      <w:r>
        <w:rPr>
          <w:i/>
          <w:iCs/>
        </w:rPr>
        <w:t>Canadian Journal of Fisheries and Aquatic Sciences</w:t>
      </w:r>
      <w:r>
        <w:t xml:space="preserve">, </w:t>
      </w:r>
      <w:r>
        <w:rPr>
          <w:i/>
          <w:iCs/>
        </w:rPr>
        <w:t>77</w:t>
      </w:r>
      <w:r>
        <w:t>(12), 1878–1892. https://doi.org/10.1139/cjfas-2020-0209</w:t>
      </w:r>
    </w:p>
    <w:p w14:paraId="20E54A3B" w14:textId="77777777" w:rsidR="00276430" w:rsidRDefault="00276430" w:rsidP="00276430">
      <w:pPr>
        <w:pStyle w:val="Bibliography"/>
      </w:pPr>
      <w:r>
        <w:t xml:space="preserve">Vries, F. T. de, Manning, P., Tallowin, J. R. B., Mortimer, S. R., Pilgrim, E. S., Harrison, K. A., Hobbs, P. J., Quirk, H., Shipley, B., Cornelissen, J. H. C., Kattge, J., &amp; Bardgett, R. D. (2012). Abiotic drivers and plant traits explain landscape-scale patterns in soil microbial communities. </w:t>
      </w:r>
      <w:r>
        <w:rPr>
          <w:i/>
          <w:iCs/>
        </w:rPr>
        <w:t>Ecology Letters</w:t>
      </w:r>
      <w:r>
        <w:t xml:space="preserve">, </w:t>
      </w:r>
      <w:r>
        <w:rPr>
          <w:i/>
          <w:iCs/>
        </w:rPr>
        <w:t>15</w:t>
      </w:r>
      <w:r>
        <w:t>(11), 1230–1239. https://doi.org/10.1111/j.1461-0248.2012.01844.x</w:t>
      </w:r>
    </w:p>
    <w:p w14:paraId="175D8317" w14:textId="77777777" w:rsidR="00276430" w:rsidRDefault="00276430" w:rsidP="00276430">
      <w:pPr>
        <w:pStyle w:val="Bibliography"/>
      </w:pPr>
      <w:r>
        <w:t xml:space="preserve">Wagg, C., Bender, S. F., Widmer, F., &amp; Heijden, M. G. A. van der. (2014). Soil biodiversity and soil community composition determine ecosystem multifunctionality. </w:t>
      </w:r>
      <w:r>
        <w:rPr>
          <w:i/>
          <w:iCs/>
        </w:rPr>
        <w:t>Proceedings of the National Academy of Sciences</w:t>
      </w:r>
      <w:r>
        <w:t xml:space="preserve">, </w:t>
      </w:r>
      <w:r>
        <w:rPr>
          <w:i/>
          <w:iCs/>
        </w:rPr>
        <w:t>111</w:t>
      </w:r>
      <w:r>
        <w:t>(14), 5266–5270. https://doi.org/10.1073/pnas.1320054111</w:t>
      </w:r>
    </w:p>
    <w:p w14:paraId="797AD208" w14:textId="77777777" w:rsidR="00276430" w:rsidRDefault="00276430" w:rsidP="00276430">
      <w:pPr>
        <w:pStyle w:val="Bibliography"/>
      </w:pPr>
      <w:r>
        <w:t xml:space="preserve">Wagner, M. A., &amp; Reynolds, J. D. (2019). Salmon increase forest bird abundance and diversity. </w:t>
      </w:r>
      <w:r>
        <w:rPr>
          <w:i/>
          <w:iCs/>
        </w:rPr>
        <w:t>PLOS ONE</w:t>
      </w:r>
      <w:r>
        <w:t xml:space="preserve">, </w:t>
      </w:r>
      <w:r>
        <w:rPr>
          <w:i/>
          <w:iCs/>
        </w:rPr>
        <w:t>14</w:t>
      </w:r>
      <w:r>
        <w:t>(2), e0210031. https://doi.org/10.1371/journal.pone.0210031</w:t>
      </w:r>
    </w:p>
    <w:p w14:paraId="77D88473" w14:textId="77777777" w:rsidR="00276430" w:rsidRDefault="00276430" w:rsidP="00276430">
      <w:pPr>
        <w:pStyle w:val="Bibliography"/>
      </w:pPr>
      <w:r>
        <w:t xml:space="preserve">Walia, A., Guy, R. D., &amp; White, B. (2010). Carbon isotope discrimination in western hemlock and its relationship to mineral nutrition and growth. </w:t>
      </w:r>
      <w:r>
        <w:rPr>
          <w:i/>
          <w:iCs/>
        </w:rPr>
        <w:t>Tree Physiology</w:t>
      </w:r>
      <w:r>
        <w:t xml:space="preserve">, </w:t>
      </w:r>
      <w:r>
        <w:rPr>
          <w:i/>
          <w:iCs/>
        </w:rPr>
        <w:t>30</w:t>
      </w:r>
      <w:r>
        <w:t>(6), 728–740. https://doi.org/10.1093/treephys/tpq020</w:t>
      </w:r>
    </w:p>
    <w:p w14:paraId="485E203F" w14:textId="77777777" w:rsidR="00276430" w:rsidRDefault="00276430" w:rsidP="00276430">
      <w:pPr>
        <w:pStyle w:val="Bibliography"/>
      </w:pPr>
      <w:r>
        <w:t xml:space="preserve">Wallander, H., Ekblad, A., Godbold, D. L., Johnson, D., Bahr, A., Baldrian, P., Björk, R. G., Kieliszewska-Rokicka, B., Kjøller, R., Kraigher, H., Plassard, C., &amp; Rudawska, M. (2013). Evaluation of methods to estimate production, biomass and turnover of ectomycorrhizal mycelium in forests soils – A review. </w:t>
      </w:r>
      <w:r>
        <w:rPr>
          <w:i/>
          <w:iCs/>
        </w:rPr>
        <w:t>Soil Biology and Biochemistry</w:t>
      </w:r>
      <w:r>
        <w:t xml:space="preserve">, </w:t>
      </w:r>
      <w:r>
        <w:rPr>
          <w:i/>
          <w:iCs/>
        </w:rPr>
        <w:t>57</w:t>
      </w:r>
      <w:r>
        <w:t>, 1034–1047. https://doi.org/10.1016/j.soilbio.2012.08.027</w:t>
      </w:r>
    </w:p>
    <w:p w14:paraId="5E07DD16" w14:textId="77777777" w:rsidR="00276430" w:rsidRDefault="00276430" w:rsidP="00276430">
      <w:pPr>
        <w:pStyle w:val="Bibliography"/>
      </w:pPr>
      <w:r>
        <w:t xml:space="preserve">Wallenda, T., &amp; Kottke, I. (1998). Nitrogen deposition and ectomycorrhizas. </w:t>
      </w:r>
      <w:r>
        <w:rPr>
          <w:i/>
          <w:iCs/>
        </w:rPr>
        <w:t>The New Phytologist</w:t>
      </w:r>
      <w:r>
        <w:t xml:space="preserve">, </w:t>
      </w:r>
      <w:r>
        <w:rPr>
          <w:i/>
          <w:iCs/>
        </w:rPr>
        <w:t>139</w:t>
      </w:r>
      <w:r>
        <w:t>(1), 169–187. https://doi.org/10.1046/j.1469-8137.1998.00176.x</w:t>
      </w:r>
    </w:p>
    <w:p w14:paraId="6EB98AC7" w14:textId="77777777" w:rsidR="00276430" w:rsidRDefault="00276430" w:rsidP="00276430">
      <w:pPr>
        <w:pStyle w:val="Bibliography"/>
      </w:pPr>
      <w:r>
        <w:t xml:space="preserve">Wallenstein, M. D., McNulty, S., Fernandez, I. J., Boggs, J., &amp; Schlesinger, W. H. (2006). Nitrogen fertilization decreases forest soil fungal and bacterial biomass in three long-term experiments. </w:t>
      </w:r>
      <w:r>
        <w:rPr>
          <w:i/>
          <w:iCs/>
        </w:rPr>
        <w:t>Forest Ecology and Management</w:t>
      </w:r>
      <w:r>
        <w:t xml:space="preserve">, </w:t>
      </w:r>
      <w:r>
        <w:rPr>
          <w:i/>
          <w:iCs/>
        </w:rPr>
        <w:t>222</w:t>
      </w:r>
      <w:r>
        <w:t>(1–3), 459–468. https://doi.org/10.1016/j.foreco.2005.11.002</w:t>
      </w:r>
    </w:p>
    <w:p w14:paraId="5F0DE2D0" w14:textId="77777777" w:rsidR="00276430" w:rsidRDefault="00276430" w:rsidP="00276430">
      <w:pPr>
        <w:pStyle w:val="Bibliography"/>
      </w:pPr>
      <w:r>
        <w:t xml:space="preserve">Walsh, J. C., Connors, K., Hertz, E., Kehoe, L., Martin, T. G., Connors, B., Bradford, M. J., Freshwater, C., Frid, A., Halverson, J., Moore, J. W., Price, M. H. H., &amp; Reynolds, J. D. (2020). Prioritizing conservation actions for Pacific salmon in Canada. </w:t>
      </w:r>
      <w:r>
        <w:rPr>
          <w:i/>
          <w:iCs/>
        </w:rPr>
        <w:t>Journal of Applied Ecology</w:t>
      </w:r>
      <w:r>
        <w:t xml:space="preserve">, </w:t>
      </w:r>
      <w:r>
        <w:rPr>
          <w:i/>
          <w:iCs/>
        </w:rPr>
        <w:t>57</w:t>
      </w:r>
      <w:r>
        <w:t>(9), 1688–1699. https://doi.org/10.1111/1365-2664.13646</w:t>
      </w:r>
    </w:p>
    <w:p w14:paraId="32C31C68" w14:textId="77777777" w:rsidR="00276430" w:rsidRDefault="00276430" w:rsidP="00276430">
      <w:pPr>
        <w:pStyle w:val="Bibliography"/>
      </w:pPr>
      <w:r>
        <w:t xml:space="preserve">Walsh, J. C., Pendray, J. E., Godwin, S. C., Artelle, K. A., Kindsvater, H. K., Field, R. D., Harding, J. N., Swain, N. R., &amp; Reynolds, J. D. (2020). Relationships between Pacific salmon and aquatic and terrestrial ecosystems: Implications for ecosystem-based management. </w:t>
      </w:r>
      <w:r>
        <w:rPr>
          <w:i/>
          <w:iCs/>
        </w:rPr>
        <w:t>Ecology</w:t>
      </w:r>
      <w:r>
        <w:t xml:space="preserve">, </w:t>
      </w:r>
      <w:r>
        <w:rPr>
          <w:i/>
          <w:iCs/>
        </w:rPr>
        <w:t>101</w:t>
      </w:r>
      <w:r>
        <w:t>(9), e03060. https://doi.org/10.1002/ecy.3060</w:t>
      </w:r>
    </w:p>
    <w:p w14:paraId="02258944" w14:textId="77777777" w:rsidR="00276430" w:rsidRDefault="00276430" w:rsidP="00276430">
      <w:pPr>
        <w:pStyle w:val="Bibliography"/>
      </w:pPr>
      <w:r>
        <w:t xml:space="preserve">Walsh, J., Pendray, J., Godwin, S., Artelle, K., Kindsvater, H., Field, R., Harding, J., Swain, N., &amp; Reynolds, J. (in prep). </w:t>
      </w:r>
      <w:r>
        <w:rPr>
          <w:i/>
          <w:iCs/>
        </w:rPr>
        <w:t>A quantitative review of relationships between Pacific salmon and aquatic and terrestrial ecosystems</w:t>
      </w:r>
      <w:r>
        <w:t>.</w:t>
      </w:r>
    </w:p>
    <w:p w14:paraId="750FB41E" w14:textId="77777777" w:rsidR="00276430" w:rsidRDefault="00276430" w:rsidP="00276430">
      <w:pPr>
        <w:pStyle w:val="Bibliography"/>
      </w:pPr>
      <w:r>
        <w:t xml:space="preserve">Walters, C., English, K., Korman, J., &amp; Hilborn, R. (2019). The managed decline of British Columbia’s commercial salmon fishery. </w:t>
      </w:r>
      <w:r>
        <w:rPr>
          <w:i/>
          <w:iCs/>
        </w:rPr>
        <w:t>Marine Policy</w:t>
      </w:r>
      <w:r>
        <w:t xml:space="preserve">, </w:t>
      </w:r>
      <w:r>
        <w:rPr>
          <w:i/>
          <w:iCs/>
        </w:rPr>
        <w:t>101</w:t>
      </w:r>
      <w:r>
        <w:t>, 25–32. https://doi.org/10.1016/j.marpol.2018.12.014</w:t>
      </w:r>
    </w:p>
    <w:p w14:paraId="767DC880" w14:textId="77777777" w:rsidR="00276430" w:rsidRDefault="00276430" w:rsidP="00276430">
      <w:pPr>
        <w:pStyle w:val="Bibliography"/>
      </w:pPr>
      <w:r>
        <w:t xml:space="preserve">Wang, B., &amp; Allison, S. D. (2019). Emergent properties of organic matter decomposition by soil enzymes. </w:t>
      </w:r>
      <w:r>
        <w:rPr>
          <w:i/>
          <w:iCs/>
        </w:rPr>
        <w:t>Soil Biology and Biochemistry</w:t>
      </w:r>
      <w:r>
        <w:t xml:space="preserve">, </w:t>
      </w:r>
      <w:r>
        <w:rPr>
          <w:i/>
          <w:iCs/>
        </w:rPr>
        <w:t>136</w:t>
      </w:r>
      <w:r>
        <w:t>, 107522. https://doi.org/10.1016/j.soilbio.2019.107522</w:t>
      </w:r>
    </w:p>
    <w:p w14:paraId="5281D31B" w14:textId="77777777" w:rsidR="00276430" w:rsidRDefault="00276430" w:rsidP="00276430">
      <w:pPr>
        <w:pStyle w:val="Bibliography"/>
      </w:pPr>
      <w:r>
        <w:t xml:space="preserve">Wang, X., Zhang, W., Shao, Y., Zhao, J., Zhou, L., Zou, X., &amp; Fu, S. (2019). Fungi to bacteria ratio: Historical misinterpretations and potential implications. </w:t>
      </w:r>
      <w:r>
        <w:rPr>
          <w:i/>
          <w:iCs/>
        </w:rPr>
        <w:t>Acta Oecologica</w:t>
      </w:r>
      <w:r>
        <w:t xml:space="preserve">, </w:t>
      </w:r>
      <w:r>
        <w:rPr>
          <w:i/>
          <w:iCs/>
        </w:rPr>
        <w:t>95</w:t>
      </w:r>
      <w:r>
        <w:t>, 1–11. https://doi.org/10.1016/j.actao.2018.10.003</w:t>
      </w:r>
    </w:p>
    <w:p w14:paraId="598C8F58" w14:textId="77777777" w:rsidR="00276430" w:rsidRDefault="00276430" w:rsidP="00276430">
      <w:pPr>
        <w:pStyle w:val="Bibliography"/>
      </w:pPr>
      <w:r>
        <w:t xml:space="preserve">Waples, R. S., Pess, G. R., &amp; Beechie, T. (2008). Evolutionary history of Pacific salmon in dynamic environments. </w:t>
      </w:r>
      <w:r>
        <w:rPr>
          <w:i/>
          <w:iCs/>
        </w:rPr>
        <w:t>Evolutionary Applications</w:t>
      </w:r>
      <w:r>
        <w:t xml:space="preserve">, </w:t>
      </w:r>
      <w:r>
        <w:rPr>
          <w:i/>
          <w:iCs/>
        </w:rPr>
        <w:t>1</w:t>
      </w:r>
      <w:r>
        <w:t>(2), 189–206. https://doi.org/10.1111/j.1752-4571.2008.00023.x</w:t>
      </w:r>
    </w:p>
    <w:p w14:paraId="00640953" w14:textId="77777777" w:rsidR="00276430" w:rsidRDefault="00276430" w:rsidP="00276430">
      <w:pPr>
        <w:pStyle w:val="Bibliography"/>
      </w:pPr>
      <w:r>
        <w:t xml:space="preserve">Weber, M. J., &amp; Brown, M. L. (2013). Continuous, pulsed and disrupted nutrient subsidy effects on ecosystem productivity, stability, and energy flow. </w:t>
      </w:r>
      <w:r>
        <w:rPr>
          <w:i/>
          <w:iCs/>
        </w:rPr>
        <w:t>Ecosphere</w:t>
      </w:r>
      <w:r>
        <w:t xml:space="preserve">, </w:t>
      </w:r>
      <w:r>
        <w:rPr>
          <w:i/>
          <w:iCs/>
        </w:rPr>
        <w:t>4</w:t>
      </w:r>
      <w:r>
        <w:t>(2), art27. https://doi.org/10.1890/ES12-00354.1</w:t>
      </w:r>
    </w:p>
    <w:p w14:paraId="18C66D47" w14:textId="77777777" w:rsidR="00276430" w:rsidRDefault="00276430" w:rsidP="00276430">
      <w:pPr>
        <w:pStyle w:val="Bibliography"/>
      </w:pPr>
      <w:r>
        <w:t xml:space="preserve">Weetman, G. F., &amp; Prescott, C. (2000). The structure, functioning and management of old-growth cedar-hemlock-fir forests on Vancouver Island, British Columbia. </w:t>
      </w:r>
      <w:r>
        <w:rPr>
          <w:i/>
          <w:iCs/>
        </w:rPr>
        <w:t>The Forests Handbook</w:t>
      </w:r>
      <w:r>
        <w:t xml:space="preserve">, </w:t>
      </w:r>
      <w:r>
        <w:rPr>
          <w:i/>
          <w:iCs/>
        </w:rPr>
        <w:t>2</w:t>
      </w:r>
      <w:r>
        <w:t>, 275–287.</w:t>
      </w:r>
    </w:p>
    <w:p w14:paraId="0F5AF226" w14:textId="77777777" w:rsidR="00276430" w:rsidRDefault="00276430" w:rsidP="00276430">
      <w:pPr>
        <w:pStyle w:val="Bibliography"/>
      </w:pPr>
      <w:r>
        <w:t xml:space="preserve">Werner, S., Peršoh, D., &amp; Rambold, G. (2016). New aspects of the biology of Mortierella alliacea. </w:t>
      </w:r>
      <w:r>
        <w:rPr>
          <w:i/>
          <w:iCs/>
        </w:rPr>
        <w:t>Mycological Progress</w:t>
      </w:r>
      <w:r>
        <w:t xml:space="preserve">, </w:t>
      </w:r>
      <w:r>
        <w:rPr>
          <w:i/>
          <w:iCs/>
        </w:rPr>
        <w:t>15</w:t>
      </w:r>
      <w:r>
        <w:t>(12), 1293–1301.</w:t>
      </w:r>
    </w:p>
    <w:p w14:paraId="2F0843E0" w14:textId="77777777" w:rsidR="00276430" w:rsidRDefault="00276430" w:rsidP="00276430">
      <w:pPr>
        <w:pStyle w:val="Bibliography"/>
      </w:pPr>
      <w:r>
        <w:t xml:space="preserve">Werth, M., &amp; Kuzyakov, Y. (2010). 13C fractionation at the root–microorganisms–soil interface: A review and outlook for partitioning studies. </w:t>
      </w:r>
      <w:r>
        <w:rPr>
          <w:i/>
          <w:iCs/>
        </w:rPr>
        <w:t>Soil Biology and Biochemistry</w:t>
      </w:r>
      <w:r>
        <w:t xml:space="preserve">, </w:t>
      </w:r>
      <w:r>
        <w:rPr>
          <w:i/>
          <w:iCs/>
        </w:rPr>
        <w:t>42</w:t>
      </w:r>
      <w:r>
        <w:t>(9), 1372–1384. https://doi.org/10.1016/j.soilbio.2010.04.009</w:t>
      </w:r>
    </w:p>
    <w:p w14:paraId="6B20AA84" w14:textId="77777777" w:rsidR="00276430" w:rsidRDefault="00276430" w:rsidP="00276430">
      <w:pPr>
        <w:pStyle w:val="Bibliography"/>
      </w:pPr>
      <w:r>
        <w:t xml:space="preserve">Whalen, E. D., Smith, R. G., Grandy, A. S., &amp; Frey, S. D. (2018). Manganese limitation as a mechanism for reduced decomposition in soils under atmospheric nitrogen deposition. </w:t>
      </w:r>
      <w:r>
        <w:rPr>
          <w:i/>
          <w:iCs/>
        </w:rPr>
        <w:t>Soil Biology and Biochemistry</w:t>
      </w:r>
      <w:r>
        <w:t xml:space="preserve">, </w:t>
      </w:r>
      <w:r>
        <w:rPr>
          <w:i/>
          <w:iCs/>
        </w:rPr>
        <w:t>127</w:t>
      </w:r>
      <w:r>
        <w:t>, 252–263. https://doi.org/10.1016/j.soilbio.2018.09.025</w:t>
      </w:r>
    </w:p>
    <w:p w14:paraId="5F3A7A92" w14:textId="77777777" w:rsidR="00276430" w:rsidRDefault="00276430" w:rsidP="00276430">
      <w:pPr>
        <w:pStyle w:val="Bibliography"/>
      </w:pPr>
      <w:r>
        <w:t xml:space="preserve">Wheeler, K., Miller, S. W., &amp; Crowl, T. A. (2015). Migratory fish excretion as a nutrient subsidy to recipient stream ecosystems. </w:t>
      </w:r>
      <w:r>
        <w:rPr>
          <w:i/>
          <w:iCs/>
        </w:rPr>
        <w:t>Freshwater Biology</w:t>
      </w:r>
      <w:r>
        <w:t xml:space="preserve">, </w:t>
      </w:r>
      <w:r>
        <w:rPr>
          <w:i/>
          <w:iCs/>
        </w:rPr>
        <w:t>60</w:t>
      </w:r>
      <w:r>
        <w:t>(3), 537–550. https://doi.org/10.1111/fwb.12495</w:t>
      </w:r>
    </w:p>
    <w:p w14:paraId="617D0D2D" w14:textId="77777777" w:rsidR="00276430" w:rsidRDefault="00276430" w:rsidP="00276430">
      <w:pPr>
        <w:pStyle w:val="Bibliography"/>
      </w:pPr>
      <w:r>
        <w:t xml:space="preserve">Wheeler, T. A., &amp; Kavanagh, K. L. (2017). Soil biogeochemical responses to the deposition of anadromous fish carcasses in inland riparian forests of the Pacific Northwest, USA. </w:t>
      </w:r>
      <w:r>
        <w:rPr>
          <w:i/>
          <w:iCs/>
        </w:rPr>
        <w:t>Canadian Journal of Forest Research</w:t>
      </w:r>
      <w:r>
        <w:t xml:space="preserve">, </w:t>
      </w:r>
      <w:r>
        <w:rPr>
          <w:i/>
          <w:iCs/>
        </w:rPr>
        <w:t>47</w:t>
      </w:r>
      <w:r>
        <w:t>(11), 1506–1516. https://doi.org/10.1139/cjfr-2017-0194</w:t>
      </w:r>
    </w:p>
    <w:p w14:paraId="156F64E5" w14:textId="77777777" w:rsidR="00276430" w:rsidRDefault="00276430" w:rsidP="00276430">
      <w:pPr>
        <w:pStyle w:val="Bibliography"/>
      </w:pPr>
      <w:r>
        <w:t xml:space="preserve">Wheeler, T. A., Kavanagh, K. L., &amp; Daanen, S. A. (2014). Terrestrial Salmon Carcass Decomposition: Nutrient and Isotopic Dynamics in Central Idaho. </w:t>
      </w:r>
      <w:r>
        <w:rPr>
          <w:i/>
          <w:iCs/>
        </w:rPr>
        <w:t>Northwest Science</w:t>
      </w:r>
      <w:r>
        <w:t xml:space="preserve">, </w:t>
      </w:r>
      <w:r>
        <w:rPr>
          <w:i/>
          <w:iCs/>
        </w:rPr>
        <w:t>88</w:t>
      </w:r>
      <w:r>
        <w:t>(2), 106–119. https://doi.org/10.3955/046.088.0206</w:t>
      </w:r>
    </w:p>
    <w:p w14:paraId="6D7E6E18" w14:textId="77777777" w:rsidR="00276430" w:rsidRDefault="00276430" w:rsidP="00276430">
      <w:pPr>
        <w:pStyle w:val="Bibliography"/>
      </w:pPr>
      <w:r>
        <w:t xml:space="preserve">White, T. J., Bruns, T., Lee, S., &amp; Taylor, J. W. (1990). Amplification and direct sequencing of fungal ribosomal RNA genes for phylogenetics. </w:t>
      </w:r>
      <w:r>
        <w:rPr>
          <w:i/>
          <w:iCs/>
        </w:rPr>
        <w:t>PCR Protocols: A Guide to Methods and Applications</w:t>
      </w:r>
      <w:r>
        <w:t xml:space="preserve">, </w:t>
      </w:r>
      <w:r>
        <w:rPr>
          <w:i/>
          <w:iCs/>
        </w:rPr>
        <w:t>18</w:t>
      </w:r>
      <w:r>
        <w:t>(1), 315–322.</w:t>
      </w:r>
    </w:p>
    <w:p w14:paraId="265284CF" w14:textId="77777777" w:rsidR="00276430" w:rsidRDefault="00276430" w:rsidP="00276430">
      <w:pPr>
        <w:pStyle w:val="Bibliography"/>
      </w:pPr>
      <w:r>
        <w:t xml:space="preserve">White (Xanius), E. (2006). </w:t>
      </w:r>
      <w:r>
        <w:rPr>
          <w:i/>
          <w:iCs/>
        </w:rPr>
        <w:t>Heiltsuk stone fish traps: Products of my ancestors’ labour</w:t>
      </w:r>
      <w:r>
        <w:t xml:space="preserve"> [Thesis, Department of Archaeology - Simon Fraser University]. http://summit.sfu.ca/item/4240</w:t>
      </w:r>
    </w:p>
    <w:p w14:paraId="46BDB6DD" w14:textId="77777777" w:rsidR="00276430" w:rsidRDefault="00276430" w:rsidP="00276430">
      <w:pPr>
        <w:pStyle w:val="Bibliography"/>
      </w:pPr>
      <w:r>
        <w:t xml:space="preserve">Wickham, H. (2016). </w:t>
      </w:r>
      <w:r>
        <w:rPr>
          <w:i/>
          <w:iCs/>
        </w:rPr>
        <w:t>ggplot2: Elegant Graphics for Data Analysis</w:t>
      </w:r>
      <w:r>
        <w:t>. Springer-Verlag New York. https://ggplot2.tidyverse.org</w:t>
      </w:r>
    </w:p>
    <w:p w14:paraId="771D28EE" w14:textId="77777777" w:rsidR="00276430" w:rsidRDefault="00276430" w:rsidP="00276430">
      <w:pPr>
        <w:pStyle w:val="Bibliography"/>
      </w:pPr>
      <w:r>
        <w:t xml:space="preserve">Wilkinson, C. E., Hocking, M. D., &amp; Reimchen, T. E. (2005). Uptake of salmon-derived nitrogen by mosses and liverworts in coastal British Columbia. </w:t>
      </w:r>
      <w:r>
        <w:rPr>
          <w:i/>
          <w:iCs/>
        </w:rPr>
        <w:t>Oikos</w:t>
      </w:r>
      <w:r>
        <w:t xml:space="preserve">, </w:t>
      </w:r>
      <w:r>
        <w:rPr>
          <w:i/>
          <w:iCs/>
        </w:rPr>
        <w:t>108</w:t>
      </w:r>
      <w:r>
        <w:t>(1), 85–98. https://doi.org/10.1111/j.0030-1299.2005.13277.x</w:t>
      </w:r>
    </w:p>
    <w:p w14:paraId="34B81AD6" w14:textId="77777777" w:rsidR="00276430" w:rsidRDefault="00276430" w:rsidP="00276430">
      <w:pPr>
        <w:pStyle w:val="Bibliography"/>
      </w:pPr>
      <w:r>
        <w:t xml:space="preserve">Wilkinson, D. M., &amp; Mitchell, E. A. D. (2010). Testate Amoebae and Nutrient Cycling with Particular Reference to Soils. </w:t>
      </w:r>
      <w:r>
        <w:rPr>
          <w:i/>
          <w:iCs/>
        </w:rPr>
        <w:t>Geomicrobiology Journal</w:t>
      </w:r>
      <w:r>
        <w:t xml:space="preserve">, </w:t>
      </w:r>
      <w:r>
        <w:rPr>
          <w:i/>
          <w:iCs/>
        </w:rPr>
        <w:t>27</w:t>
      </w:r>
      <w:r>
        <w:t>(6–7), 520–533. https://doi.org/10.1080/01490451003702925</w:t>
      </w:r>
    </w:p>
    <w:p w14:paraId="15EA5EA2" w14:textId="77777777" w:rsidR="00276430" w:rsidRDefault="00276430" w:rsidP="00276430">
      <w:pPr>
        <w:pStyle w:val="Bibliography"/>
      </w:pPr>
      <w:r>
        <w:t xml:space="preserve">Willson, M. F., &amp; Halupka, K. C. (1995). Anadromous Fish as Keystone Species in Vertebrate Communities. </w:t>
      </w:r>
      <w:r>
        <w:rPr>
          <w:i/>
          <w:iCs/>
        </w:rPr>
        <w:t>Conservation Biology</w:t>
      </w:r>
      <w:r>
        <w:t xml:space="preserve">, </w:t>
      </w:r>
      <w:r>
        <w:rPr>
          <w:i/>
          <w:iCs/>
        </w:rPr>
        <w:t>9</w:t>
      </w:r>
      <w:r>
        <w:t>(3), 489–497. https://doi.org/10.1046/j.1523-1739.1995.09030489.x</w:t>
      </w:r>
    </w:p>
    <w:p w14:paraId="5B3D2CFD" w14:textId="77777777" w:rsidR="00276430" w:rsidRDefault="00276430" w:rsidP="00276430">
      <w:pPr>
        <w:pStyle w:val="Bibliography"/>
      </w:pPr>
      <w:r>
        <w:t xml:space="preserve">Wipfli, M. S., Hudson, J., &amp; Caouette, J. (1998). Influence of salmon carcasses on stream productivity: Response of biofilm and benthic macroinvertebrates in southeastern Alaska, U.S.A. </w:t>
      </w:r>
      <w:r>
        <w:rPr>
          <w:i/>
          <w:iCs/>
        </w:rPr>
        <w:t>Canadian Journal of Fisheries and Aquatic Sciences</w:t>
      </w:r>
      <w:r>
        <w:t xml:space="preserve">, </w:t>
      </w:r>
      <w:r>
        <w:rPr>
          <w:i/>
          <w:iCs/>
        </w:rPr>
        <w:t>55</w:t>
      </w:r>
      <w:r>
        <w:t>(6), 1503–1511. https://doi.org/10.1139/f98-031</w:t>
      </w:r>
    </w:p>
    <w:p w14:paraId="54F3D255" w14:textId="77777777" w:rsidR="00276430" w:rsidRDefault="00276430" w:rsidP="00276430">
      <w:pPr>
        <w:pStyle w:val="Bibliography"/>
      </w:pPr>
      <w:r>
        <w:t xml:space="preserve">Wipfli, M. S., Hudson, J. P., Caouette, J. P., &amp; Chaloner, D. T. (2003). Marine Subsidies in Freshwater Ecosystems: Salmon Carcasses Increase the Growth Rates of Stream-Resident Salmonids. </w:t>
      </w:r>
      <w:r>
        <w:rPr>
          <w:i/>
          <w:iCs/>
        </w:rPr>
        <w:t>Transactions of the American Fisheries Society</w:t>
      </w:r>
      <w:r>
        <w:t xml:space="preserve">, </w:t>
      </w:r>
      <w:r>
        <w:rPr>
          <w:i/>
          <w:iCs/>
        </w:rPr>
        <w:t>132</w:t>
      </w:r>
      <w:r>
        <w:t>(2), 371–381. https://doi.org/10.1577/1548-8659(2003)132&lt;0371:MSIFES&gt;2.0.CO;2</w:t>
      </w:r>
    </w:p>
    <w:p w14:paraId="28D8DA5A" w14:textId="77777777" w:rsidR="00276430" w:rsidRDefault="00276430" w:rsidP="00276430">
      <w:pPr>
        <w:pStyle w:val="Bibliography"/>
      </w:pPr>
      <w:r>
        <w:t xml:space="preserve">Yang, S., Zhang, Z., Cong, L., Wang, X., &amp; Shi, S. (2013). Effect of fulvic acid on the phosphorus availability in acid soil. </w:t>
      </w:r>
      <w:r>
        <w:rPr>
          <w:i/>
          <w:iCs/>
        </w:rPr>
        <w:t>Journal of Soil Science and Plant Nutrition</w:t>
      </w:r>
      <w:r>
        <w:t xml:space="preserve">, </w:t>
      </w:r>
      <w:r>
        <w:rPr>
          <w:i/>
          <w:iCs/>
        </w:rPr>
        <w:t>13</w:t>
      </w:r>
      <w:r>
        <w:t>(3), 526–533. https://doi.org/10.4067/S0718-95162013005000041</w:t>
      </w:r>
    </w:p>
    <w:p w14:paraId="223D6F83" w14:textId="77777777" w:rsidR="00276430" w:rsidRDefault="00276430" w:rsidP="00276430">
      <w:pPr>
        <w:pStyle w:val="Bibliography"/>
      </w:pPr>
      <w:r>
        <w:t xml:space="preserve">Yeates, G. W. (2007). Abundance, diversity, and resilience of nematode assemblages in forest soils. </w:t>
      </w:r>
      <w:r>
        <w:rPr>
          <w:i/>
          <w:iCs/>
        </w:rPr>
        <w:t>Canadian Journal of Forest Research</w:t>
      </w:r>
      <w:r>
        <w:t xml:space="preserve">, </w:t>
      </w:r>
      <w:r>
        <w:rPr>
          <w:i/>
          <w:iCs/>
        </w:rPr>
        <w:t>37</w:t>
      </w:r>
      <w:r>
        <w:t>(2), 216–225.</w:t>
      </w:r>
    </w:p>
    <w:p w14:paraId="29EBACA3" w14:textId="77777777" w:rsidR="00276430" w:rsidRDefault="00276430" w:rsidP="00276430">
      <w:pPr>
        <w:pStyle w:val="Bibliography"/>
      </w:pPr>
      <w:r>
        <w:t xml:space="preserve">Zang, H., Wang, J., &amp; Kuzyakov, Y. (2016). N fertilization decreases soil organic matter decomposition in the rhizosphere. </w:t>
      </w:r>
      <w:r>
        <w:rPr>
          <w:i/>
          <w:iCs/>
        </w:rPr>
        <w:t>Applied Soil Ecology</w:t>
      </w:r>
      <w:r>
        <w:t xml:space="preserve">, </w:t>
      </w:r>
      <w:r>
        <w:rPr>
          <w:i/>
          <w:iCs/>
        </w:rPr>
        <w:t>108</w:t>
      </w:r>
      <w:r>
        <w:t>, 47–53. https://doi.org/10.1016/j.apsoil.2016.07.021</w:t>
      </w:r>
    </w:p>
    <w:p w14:paraId="514ABDF5" w14:textId="77777777" w:rsidR="00276430" w:rsidRDefault="00276430" w:rsidP="00276430">
      <w:pPr>
        <w:pStyle w:val="Bibliography"/>
      </w:pPr>
      <w:r>
        <w:t xml:space="preserve">Zanne, A. E., Abarenkov, K., Afkhami, M. E., Aguilar‐Trigueros, C. A., Bates, S., Bhatnagar, J. M., Busby, P. E., Christian, N., Cornwell, W. K., Crowther, T. W., Flores‐Moreno, H., Floudas, D., Gazis, R., Hibbett, D., Kennedy, P., Lindner, D. L., Maynard, D. S., Milo, A. M., Nilsson, R. H., … Treseder, K. K. (2020). Fungal functional ecology: Bringing a trait-based approach to plant-associated fungi. </w:t>
      </w:r>
      <w:r>
        <w:rPr>
          <w:i/>
          <w:iCs/>
        </w:rPr>
        <w:t>Biological Reviews</w:t>
      </w:r>
      <w:r>
        <w:t xml:space="preserve">, </w:t>
      </w:r>
      <w:r>
        <w:rPr>
          <w:i/>
          <w:iCs/>
        </w:rPr>
        <w:t>95</w:t>
      </w:r>
      <w:r>
        <w:t>(2), 409–433. https://doi.org/10.1111/brv.12570</w:t>
      </w:r>
    </w:p>
    <w:p w14:paraId="3B664A8D" w14:textId="77777777" w:rsidR="00276430" w:rsidRDefault="00276430" w:rsidP="00276430">
      <w:pPr>
        <w:pStyle w:val="Bibliography"/>
      </w:pPr>
      <w:r>
        <w:t xml:space="preserve">Zhang, H., Wu, X., Li, G., &amp; Qin, P. (2011). Interactions between arbuscular mycorrhizal fungi and phosphate-solubilizing fungus (Mortierella sp.) and their effects on Kostelelzkya virginica growth and enzyme activities of rhizosphere and bulk soils at different salinities. </w:t>
      </w:r>
      <w:r>
        <w:rPr>
          <w:i/>
          <w:iCs/>
        </w:rPr>
        <w:t>Biology and Fertility of Soils</w:t>
      </w:r>
      <w:r>
        <w:t xml:space="preserve">, </w:t>
      </w:r>
      <w:r>
        <w:rPr>
          <w:i/>
          <w:iCs/>
        </w:rPr>
        <w:t>47</w:t>
      </w:r>
      <w:r>
        <w:t>(5), 543. https://doi.org/10.1007/s00374-011-0563-3</w:t>
      </w:r>
    </w:p>
    <w:p w14:paraId="5E46E84D" w14:textId="77777777" w:rsidR="00276430" w:rsidRDefault="00276430" w:rsidP="00276430">
      <w:pPr>
        <w:pStyle w:val="Bibliography"/>
      </w:pPr>
      <w:r>
        <w:t xml:space="preserve">Zhang, L., Shi, N., Fan, J., Wang, F., George, T. S., &amp; Feng, G. (2018). Arbuscular mycorrhizal fungi stimulate organic phosphate mobilization associated with changing bacterial community structure under field conditions. </w:t>
      </w:r>
      <w:r>
        <w:rPr>
          <w:i/>
          <w:iCs/>
        </w:rPr>
        <w:t>Environmental Microbiology</w:t>
      </w:r>
      <w:r>
        <w:t xml:space="preserve">, </w:t>
      </w:r>
      <w:r>
        <w:rPr>
          <w:i/>
          <w:iCs/>
        </w:rPr>
        <w:t>20</w:t>
      </w:r>
      <w:r>
        <w:t>(7), 2639–2651. https://doi.org/10.1111/1462-2920.14289</w:t>
      </w:r>
    </w:p>
    <w:p w14:paraId="614AAD15" w14:textId="77777777" w:rsidR="00276430" w:rsidRDefault="00276430" w:rsidP="00276430">
      <w:pPr>
        <w:pStyle w:val="Bibliography"/>
      </w:pPr>
      <w:r>
        <w:t xml:space="preserve">Zhao, X. Q., Chen, R. F., &amp; Shen, R. F. (2014). Coadaptation of Plants to Multiple Stresses in Acidic Soils. </w:t>
      </w:r>
      <w:r>
        <w:rPr>
          <w:i/>
          <w:iCs/>
        </w:rPr>
        <w:t>Soil Science</w:t>
      </w:r>
      <w:r>
        <w:t xml:space="preserve">, </w:t>
      </w:r>
      <w:r>
        <w:rPr>
          <w:i/>
          <w:iCs/>
        </w:rPr>
        <w:t>179</w:t>
      </w:r>
      <w:r>
        <w:t>(10–11), 503–513. https://doi.org/10.1097/SS.0000000000000086</w:t>
      </w:r>
    </w:p>
    <w:p w14:paraId="08DEFA0A" w14:textId="77777777" w:rsidR="00276430" w:rsidRDefault="00276430" w:rsidP="00276430">
      <w:pPr>
        <w:pStyle w:val="Bibliography"/>
      </w:pPr>
      <w:r>
        <w:t xml:space="preserve">Zhao, X. Q., &amp; Shen, R. F. (2018). Aluminum–Nitrogen Interactions in the Soil–Plant System. </w:t>
      </w:r>
      <w:r>
        <w:rPr>
          <w:i/>
          <w:iCs/>
        </w:rPr>
        <w:t>Frontiers in Plant Science</w:t>
      </w:r>
      <w:r>
        <w:t xml:space="preserve">, </w:t>
      </w:r>
      <w:r>
        <w:rPr>
          <w:i/>
          <w:iCs/>
        </w:rPr>
        <w:t>9</w:t>
      </w:r>
      <w:r>
        <w:t>. https://doi.org/10.3389/fpls.2018.00807</w:t>
      </w:r>
    </w:p>
    <w:p w14:paraId="6D2B0B53" w14:textId="77777777" w:rsidR="00276430" w:rsidRDefault="00276430" w:rsidP="00276430">
      <w:pPr>
        <w:pStyle w:val="Bibliography"/>
      </w:pPr>
      <w:r>
        <w:t xml:space="preserve">Zhao, Z. B., He, J. Z., Quan, Z., Wu, C. F., Sheng, R., Zhang, L. M., &amp; Geisen, S. (2020). Fertilization changes soil microbiome functioning, especially phagotrophic protists. </w:t>
      </w:r>
      <w:r>
        <w:rPr>
          <w:i/>
          <w:iCs/>
        </w:rPr>
        <w:t>Soil Biology and Biochemistry</w:t>
      </w:r>
      <w:r>
        <w:t xml:space="preserve">, </w:t>
      </w:r>
      <w:r>
        <w:rPr>
          <w:i/>
          <w:iCs/>
        </w:rPr>
        <w:t>148</w:t>
      </w:r>
      <w:r>
        <w:t>, 107863. https://doi.org/10.1016/j.soilbio.2020.107863</w:t>
      </w:r>
    </w:p>
    <w:p w14:paraId="275E6A1D" w14:textId="77777777" w:rsidR="00276430" w:rsidRDefault="00276430" w:rsidP="00276430">
      <w:pPr>
        <w:pStyle w:val="Bibliography"/>
      </w:pPr>
      <w:r>
        <w:t xml:space="preserve">Zhu, P., Li, Y., Gao, Y., Yin, M., Wu, Y., Liu, L., Du, N., Liu, J., Yu, X., Wang, L., &amp; Guo, W. (2021). Insight into the effect of nitrogen-rich substrates on the community structure and the co-occurrence network of thermophiles during lignocellulose-based composting. </w:t>
      </w:r>
      <w:r>
        <w:rPr>
          <w:i/>
          <w:iCs/>
        </w:rPr>
        <w:t>Bioresource Technology</w:t>
      </w:r>
      <w:r>
        <w:t xml:space="preserve">, </w:t>
      </w:r>
      <w:r>
        <w:rPr>
          <w:i/>
          <w:iCs/>
        </w:rPr>
        <w:t>319</w:t>
      </w:r>
      <w:r>
        <w:t>, 124111. https://doi.org/10.1016/j.biortech.2020.124111</w:t>
      </w:r>
    </w:p>
    <w:p w14:paraId="0A0A92DB" w14:textId="2BD715D9" w:rsidR="003054C9" w:rsidRPr="009867C1" w:rsidRDefault="00924DC2" w:rsidP="00853539">
      <w:pPr>
        <w:sectPr w:rsidR="003054C9" w:rsidRPr="009867C1" w:rsidSect="00EA08AB">
          <w:pgSz w:w="12240" w:h="15840"/>
          <w:pgMar w:top="1440" w:right="1440" w:bottom="1440" w:left="1440" w:header="706" w:footer="706" w:gutter="0"/>
          <w:cols w:space="708"/>
        </w:sectPr>
      </w:pPr>
      <w:r w:rsidRPr="009867C1">
        <w:fldChar w:fldCharType="end"/>
      </w:r>
    </w:p>
    <w:p w14:paraId="288CDE75" w14:textId="00EABA8E" w:rsidR="00D7438B" w:rsidRPr="009867C1" w:rsidRDefault="0004437E" w:rsidP="00D7438B">
      <w:pPr>
        <w:pStyle w:val="Heading7"/>
      </w:pPr>
      <w:bookmarkStart w:id="302" w:name="_Toc99385523"/>
      <w:r w:rsidRPr="009867C1">
        <w:t xml:space="preserve">: </w:t>
      </w:r>
      <w:r w:rsidR="00D7438B" w:rsidRPr="009867C1">
        <w:t>Study Site</w:t>
      </w:r>
      <w:r w:rsidR="008B7227" w:rsidRPr="009867C1">
        <w:t>s</w:t>
      </w:r>
      <w:bookmarkEnd w:id="302"/>
    </w:p>
    <w:p w14:paraId="420313E9" w14:textId="3A37D44A" w:rsidR="00495E89" w:rsidRPr="009867C1" w:rsidRDefault="00495E89" w:rsidP="00495E89">
      <w:pPr>
        <w:pStyle w:val="Heading8"/>
      </w:pPr>
      <w:bookmarkStart w:id="303" w:name="_Toc99385524"/>
      <w:bookmarkStart w:id="304" w:name="_Ref15805240"/>
      <w:bookmarkStart w:id="305" w:name="_Toc153357248"/>
      <w:bookmarkStart w:id="306" w:name="_Toc157169056"/>
      <w:r w:rsidRPr="009867C1">
        <w:t>The Central Coast</w:t>
      </w:r>
      <w:r w:rsidR="00A07E8E" w:rsidRPr="009867C1">
        <w:t xml:space="preserve"> of British Columbia</w:t>
      </w:r>
      <w:bookmarkEnd w:id="303"/>
    </w:p>
    <w:p w14:paraId="687313A7" w14:textId="4B9D7C8A" w:rsidR="003C7E60" w:rsidRPr="009867C1" w:rsidRDefault="00495E89" w:rsidP="008855BA">
      <w:pPr>
        <w:ind w:firstLine="720"/>
        <w:rPr>
          <w:lang w:val="en-CA"/>
        </w:rPr>
      </w:pPr>
      <w:r w:rsidRPr="009867C1">
        <w:t xml:space="preserve">The </w:t>
      </w:r>
      <w:r w:rsidR="00A07E8E" w:rsidRPr="009867C1">
        <w:t>C</w:t>
      </w:r>
      <w:r w:rsidRPr="009867C1">
        <w:t xml:space="preserve">entral </w:t>
      </w:r>
      <w:r w:rsidR="00A07E8E" w:rsidRPr="009867C1">
        <w:t>C</w:t>
      </w:r>
      <w:r w:rsidRPr="009867C1">
        <w:t xml:space="preserve">oast is a large area of coastal British Columbia, found roughly between the northernmost point of Vancouver Island and the community of Klemtu, BC. This area is part of what is now known as the ‘Great Bear Rainforest’ and is being cooperatively managed by coastal </w:t>
      </w:r>
      <w:r w:rsidR="008B7227" w:rsidRPr="009867C1">
        <w:t>F</w:t>
      </w:r>
      <w:r w:rsidRPr="009867C1">
        <w:t xml:space="preserve">irst </w:t>
      </w:r>
      <w:r w:rsidR="008B7227" w:rsidRPr="009867C1">
        <w:t>N</w:t>
      </w:r>
      <w:r w:rsidRPr="009867C1">
        <w:t>ations and the provinc</w:t>
      </w:r>
      <w:r w:rsidR="00A07E8E" w:rsidRPr="009867C1">
        <w:t>ial government</w:t>
      </w:r>
      <w:r w:rsidRPr="009867C1">
        <w:t xml:space="preserve"> </w:t>
      </w:r>
      <w:r w:rsidRPr="009867C1">
        <w:fldChar w:fldCharType="begin"/>
      </w:r>
      <w:r w:rsidR="00AC0205">
        <w:instrText xml:space="preserve"> ADDIN ZOTERO_ITEM CSL_CITATION {"citationID":"LEZEJ9ib","properties":{"formattedCitation":"(McAllister et al., 1997; K. Price et al., 2009; M. Smith et al., 2007)","plainCitation":"(McAllister et al., 1997; K. Price et al., 2009; M. Smith et al., 2007)","noteIndex":0},"citationItems":[{"id":1030,"uris":["http://zotero.org/users/2189142/items/59FCG2U6"],"itemData":{"id":1030,"type":"article-journal","abstract":"Ecosystem-based management is the management system being applied to 6.4 million hectares of the coast of British Columbia, Canada, an area referred to as the Great Bear Rainforest. This approach, intended to manage for ecosystem integrity and community wellbeing, is similar in many respects to ecosystem management approaches elsewhere. However, several novel elements are involved in application of ecosystem-based management on British Columbia's coast: shifts in power that have led to increased aboriginal control and the formation of coalitions between groups that were formerly in opposition; development of explicit models relating management strategies to land-use objectives and separating knowledge from values; use of ecological thresholds and natural variability to establish management targets. Current management is based on transitional targets that differ from science-based targets. Many challenges remain in moving to full implementation of ecosystem-based management, including the difficulties involved in moving from one management model to a fundamentally different one, limited resources for implementation, dealing with complex systems, the lack of freely available multi-disciplinary data, and the difficulty of bringing concepts of uncertainty and risk into public policy discussions in a transparent manner.","collection-title":"Old forests, new management: the conservation and use of old-growth forests in the 21st century","container-title":"Forest Ecology and Management","DOI":"10.1016/j.foreco.2008.10.010","ISSN":"0378-1127","issue":"4","journalAbbreviation":"Forest Ecology and Management","page":"495-503","source":"ScienceDirect","title":"Ecosystem-based management in the Great Bear Rainforest","volume":"258","author":[{"family":"Price","given":"Karen"},{"family":"Roburn","given":"Audrey"},{"family":"MacKinnon","given":"Andy"}],"issued":{"date-parts":[["2009",7,30]]},"citation-key":"price_2009"}},{"id":1027,"uris":["http://zotero.org/users/2189142/items/2U9F35DF"],"itemData":{"id":1027,"type":"article-journal","container-title":"Online at http://www. forestethics. org/downloads/WWFpaper. pdf, accessed February","page":"2008","source":"Google Scholar","title":"From conflict to collaboration: the story of the Great Bear Rainforest","title-short":"From conflict to collaboration","volume":"26","author":[{"family":"Smith","given":"Merran"},{"family":"Sterritt","given":"Art"},{"family":"Armstrong","given":"Patrick"}],"issued":{"date-parts":[["2007"]]},"citation-key":"smith_2007a"}},{"id":1026,"uris":["http://zotero.org/users/2189142/items/6EVBQCKP"],"itemData":{"id":1026,"type":"book","abstract":"ENTER THE GREAT BEAR RAINFORESTThe southern half of Canada's west coast is justly famous for its fabulous scenery and pitched battles to save remnants of its magnificent coniferous forest-but what about the northern half? Between Vancouver island and Alaska, the mainland BC coast winds through a 250-mile wonderland of forested islands and inlets every bit as enchanting as the southern half, but still very much as nature created it, a wonderfully complex and delicate rainforest masterpiece ten thousand years in the making. The area is one of the northern hemisphere's richest unprotected wildlife habitats, the home of Canada's largest grizzly bears as well as the rare all-white spirit or Kermode bear.Ian and Karen McAllister, both environmental campaigners, have spent over ten years exploring, photographing and researching this once-forgotten coast. The book contains over 150 stunning colour photographs, including some of the most extraordinary images of wild bears ever seen in print, lush river valleys where grizzly bears feast on salmon, dramatic Coast Range mountaintops, exotic plants of the ancient rainforest, and some of the most magnificent coastline in Canada. With these photographs, a personable, informative commentary by Ian and Karen and environmental writer Cameron Young, and full-colour maps and drawings, this book is the first to unveil the beauty and magnificence of this unique place.Since 1990, fourteen large rainforest valleys on the mainland coast of British Columbia have been lost to industrial logging. The publication of The Great Bear Rainforest aided Greenpeace, the Sierra Club, Ian and Karen McAllister's Raincoast Preservation Society and other environmental groups successfully lobby BC's provincial government for a moratorium on grizzly-bear hunting and the protection of a large portion of the area as parkland in 2001.","event-place":"Madeira Park, B.C.","ISBN":"978-1-55017-166-2","language":"English","number-of-pages":"144","publisher":"Harbour","publisher-place":"Madeira Park, B.C.","source":"Amazon","title":"The Great Bear Rainforest: Canada's Forgotten Coast","title-short":"The Great Bear Rainforest","author":[{"family":"McAllister","given":"Ian"},{"family":"McAllister","given":"Karen"},{"family":"Kennedy","given":"Robert F."},{"family":"Young","given":"Cameron"}],"issued":{"date-parts":[["1997",9,1]]},"citation-key":"mcallister_1997"}}],"schema":"https://github.com/citation-style-language/schema/raw/master/csl-citation.json"} </w:instrText>
      </w:r>
      <w:r w:rsidRPr="009867C1">
        <w:fldChar w:fldCharType="separate"/>
      </w:r>
      <w:r w:rsidR="0042141C" w:rsidRPr="009867C1">
        <w:t>(McAllister et al., 1997; K. Price et al., 2009; M. Smith et al., 2007)</w:t>
      </w:r>
      <w:r w:rsidRPr="009867C1">
        <w:fldChar w:fldCharType="end"/>
      </w:r>
      <w:r w:rsidRPr="009867C1">
        <w:t xml:space="preserve">. This area spans 6.4 million square kilometers of coastal temperate rainforest, and covers a highly complex coastline </w:t>
      </w:r>
      <w:r w:rsidR="0003758E" w:rsidRPr="009867C1">
        <w:t>of</w:t>
      </w:r>
      <w:r w:rsidRPr="009867C1">
        <w:t xml:space="preserve"> islands, fjords and inlets. </w:t>
      </w:r>
      <w:r w:rsidR="00A07E8E" w:rsidRPr="009867C1">
        <w:t>It is</w:t>
      </w:r>
      <w:r w:rsidRPr="009867C1">
        <w:t xml:space="preserve"> characterized by abundance of precipitation (3000-5000 mm annually) and a mesothermal, hypermaritime climate</w:t>
      </w:r>
      <w:r w:rsidR="00BB7F3A" w:rsidRPr="009867C1">
        <w:t xml:space="preserve">, and is </w:t>
      </w:r>
      <w:r w:rsidR="00BB7F3A" w:rsidRPr="009867C1">
        <w:rPr>
          <w:lang w:val="en-CA"/>
        </w:rPr>
        <w:t xml:space="preserve">in the Central variant of the Very Wet Hypermaritime subzone of the Coastal Western Hemlock biogeoclimatic zone (CWHvh2) </w:t>
      </w:r>
      <w:r w:rsidR="00BB7F3A" w:rsidRPr="009867C1">
        <w:rPr>
          <w:lang w:val="en-CA"/>
        </w:rPr>
        <w:fldChar w:fldCharType="begin"/>
      </w:r>
      <w:r w:rsidR="00AC0205">
        <w:rPr>
          <w:lang w:val="en-CA"/>
        </w:rPr>
        <w:instrText xml:space="preserve"> ADDIN ZOTERO_ITEM CSL_CITATION {"citationID":"MtpOA1IL","properties":{"formattedCitation":"(MFLNRORD, 2018)","plainCitation":"(MFLNRORD, 2018)","noteIndex":0},"citationItems":[{"id":163,"uris":["http://zotero.org/users/2189142/items/YZ875M43"],"itemData":{"id":163,"type":"map","title":"Biogeoclimatic Ecosystem Classification Subzone/Variant Map for the Mid-Coast Subunit","author":[{"family":"MFLNRORD","given":""}],"issued":{"date-parts":[["2018"]]},"citation-key":"mflnrord_2018"}}],"schema":"https://github.com/citation-style-language/schema/raw/master/csl-citation.json"} </w:instrText>
      </w:r>
      <w:r w:rsidR="00BB7F3A" w:rsidRPr="009867C1">
        <w:rPr>
          <w:lang w:val="en-CA"/>
        </w:rPr>
        <w:fldChar w:fldCharType="separate"/>
      </w:r>
      <w:r w:rsidR="0042141C" w:rsidRPr="009867C1">
        <w:t>(MFLNRORD, 2018)</w:t>
      </w:r>
      <w:r w:rsidR="00BB7F3A" w:rsidRPr="009867C1">
        <w:rPr>
          <w:lang w:val="en-CA"/>
        </w:rPr>
        <w:fldChar w:fldCharType="end"/>
      </w:r>
      <w:r w:rsidR="00BB7F3A" w:rsidRPr="009867C1">
        <w:rPr>
          <w:lang w:val="en-CA"/>
        </w:rPr>
        <w:t>.</w:t>
      </w:r>
    </w:p>
    <w:p w14:paraId="23AD301A" w14:textId="09753CB7" w:rsidR="003C7E60" w:rsidRPr="009867C1" w:rsidRDefault="003C7E60" w:rsidP="008855BA">
      <w:pPr>
        <w:ind w:firstLine="720"/>
      </w:pPr>
      <w:r w:rsidRPr="009867C1">
        <w:t>Ecologically, the region is dominated by coniferous forests on well-draining slopes and peatland bogs in uplands where</w:t>
      </w:r>
      <w:r w:rsidR="0003758E" w:rsidRPr="009867C1">
        <w:t xml:space="preserve"> hydrology encourages poor drainage, sphagnum growth, and palludification</w:t>
      </w:r>
      <w:r w:rsidRPr="009867C1">
        <w:t xml:space="preserve"> </w:t>
      </w:r>
      <w:r w:rsidRPr="009867C1">
        <w:fldChar w:fldCharType="begin"/>
      </w:r>
      <w:r w:rsidR="00AC0205">
        <w:instrText xml:space="preserve"> ADDIN ZOTERO_ITEM CSL_CITATION {"citationID":"sKEBENzT","properties":{"formattedCitation":"(Asada et al., 2003; Lamb &amp; Megill, 2003)","plainCitation":"(Asada et al., 2003; Lamb &amp; Megill, 2003)","noteIndex":0},"citationItems":[{"id":902,"uris":["http://zotero.org/users/2189142/items/7AJDBRA3"],"itemData":{"id":902,"type":"article-journal","abstract":"The relationships between the distribution of plant communities and environmental factors were studied in an open peatland  forest complex of the hypermaritime north coast of British Columbia. The entire vegetation gradient, from open through forested peatlands to upland forest, was primarily explained by slope and minimum level of groundwater table. Environmental conditions in the upland TsugaRhytidiadelphus forest were considerably different from those of the other communities; differences were small among the Sphagnum open peatland, the PinusSphagnum woodland, the ChamaecyparisFauria forest, and the ThujaGaultheria forest. Highest level of groundwater table, conductivity minimum, pH, and dissolved oxygen merely helped distinguish the upland TsugaRhytidiadelphus forest from all other communities. The wet ThujaGaultheria forest could be more vulnerable than the upland TsugaRhytidiadelphus forest to local hydrological changes caused by harvesting. Consecutive intraannual measurements of environmen..., Les relations entre la distribution des associations végétales et les facteurs environnementaux ont été étudiées dans un complexe de tourbières ouvertes et arborées sur la côte nord hypermaritime de la Colombie-Britannique. L'en semble du gradient de végétation, de la tourbière ouverte à la tourbière arborée jusqu'à la forêt dans les zones plus élevées, s'expliquait d'abord par la pente et le niveau minimum de la nappe phréatique. Les conditions environnementales dans la forêt de Tsuga et Rhytidiadelphus dans les zones plus élevées étaient fort différentes de celles des autres associations végétales; il y avait peu de différences entre la tourbière ouverte à Sphagnum, la forêt de Pinus et Sphagnum, la forêt de Chamaecyparis et Fauria et la forêt de Thuja et Gaultheria. Le niveau maximum de la nappe phréatique, le pH et l'oxygène dissout permettaient à peine de distinguer la forêt de Tsuga et Rhytidiadelphus dans les zones plus élevées des autres associations. La forêt humide de Thuja et Gaultheria pourrai...","container-title":"Canadian Journal of Forest Research","DOI":"10.1139/x03-174","ISSN":"0045-5067","issue":"12","journalAbbreviation":"Can. J. For. Res.","page":"2380-2394","source":"NRC Research Press","title":"Environmental factors responsible for shaping an open peatland  forest complex on the hypermaritime north coast of British Columbia","volume":"33","author":[{"family":"Asada","given":"Taro"},{"family":"Warner","given":"Barry G"},{"family":"Pojar","given":"Jim"}],"issued":{"date-parts":[["2003",12,1]]},"citation-key":"asada_2003"}},{"id":162,"uris":["http://zotero.org/users/2189142/items/55WKVB49"],"itemData":{"id":162,"type":"article-journal","abstract":"Four distinct vegetation types are found in close proximity along an exposed section of the southern central coast of British Columbia. A coastal fringe of coniferous forest a few hundred metres wide is separated by a steep ecotone from an inland peatland-forest complex. The objectives of this study were (1) to describe the plant communities along the transition from forest to peatland, and (2) to identify some of the major environmental factors associated with those communities using indicator plant analysis. The coastal forest is dominated by Thuja plicata, Tsuga heterophylla, Picea sitchensis, and Chamaecyparis nootkatensis. Characteristic understory species include Gaultheria shallon and Blechnum spicant. Inland from the coastal forest are transitional forest stands with a species-rich understory including Cornus canadensis, Hylocomium splendens, and Vaccinium parvifolium. The peatlands are poor fens characterized by thickets of Pinus contorta and Chamaecyparis nootkatensis among open areas dominated by species such as Sphagnum sp., Empetrum nigrum, Juniperus communis, and bogs characterized by Myrica gale, Eriophorum angustifolium, and Sanguisorba officinalis. Indicator plant analysis identified differences in the ground surface materials, soil moisture and nutrient regime between the vegetation types. The general trend is for an increase in soil moisture from the forest vegetation to the peatlands and a concurrent change from the Mor humus forms that dominate the coastal forest floor to the surface groundwater table of the peatlands. These environmental differences between forest and peatland are likely related to the steeper slopes typically found in the fringe forest vegetation.","container-title":"The Canadian Field-Naturalist","DOI":"10.22621/cfn.v117i2.684","ISSN":"0008-3550","issue":"2","language":"en","page":"209-217","source":"www-canadianfieldnaturalist-ca.ezproxy.library.ubc.ca","title":"The Shoreline Fringe Forest and Adjacent Peatlands of the Southern Central British Columbia Coast","volume":"117","author":[{"family":"Lamb","given":"Eric G."},{"family":"Megill","given":"William"}],"issued":{"date-parts":[["2003"]]},"citation-key":"lamb_2003"}}],"schema":"https://github.com/citation-style-language/schema/raw/master/csl-citation.json"} </w:instrText>
      </w:r>
      <w:r w:rsidRPr="009867C1">
        <w:fldChar w:fldCharType="separate"/>
      </w:r>
      <w:r w:rsidR="0042141C" w:rsidRPr="009867C1">
        <w:t>(Asada et al., 2003; Lamb &amp; Megill, 2003)</w:t>
      </w:r>
      <w:r w:rsidRPr="009867C1">
        <w:fldChar w:fldCharType="end"/>
      </w:r>
      <w:r w:rsidRPr="009867C1">
        <w:t xml:space="preserve">. </w:t>
      </w:r>
      <w:r w:rsidR="0003758E" w:rsidRPr="009867C1">
        <w:t>W</w:t>
      </w:r>
      <w:r w:rsidR="00495E89" w:rsidRPr="009867C1">
        <w:t xml:space="preserve">ithout human intervention stand-level disturbance is rare and gap-level dynamics characterize succession. Old growth forest structure is complex, resulting in multispecies stands dominated by old, large trees with understories characterized by complex topography with many nurse logs, upturned root balls, and other microstructures. 50% of the forest remains unlogged, representing a quarter of total global unlogged temperate rainforest </w:t>
      </w:r>
      <w:r w:rsidR="00495E89" w:rsidRPr="009867C1">
        <w:fldChar w:fldCharType="begin"/>
      </w:r>
      <w:r w:rsidR="00AC0205">
        <w:instrText xml:space="preserve"> ADDIN ZOTERO_ITEM CSL_CITATION {"citationID":"SzwkN7fC","properties":{"formattedCitation":"(K. Price et al., 2009)","plainCitation":"(K. Price et al., 2009)","noteIndex":0},"citationItems":[{"id":1030,"uris":["http://zotero.org/users/2189142/items/59FCG2U6"],"itemData":{"id":1030,"type":"article-journal","abstract":"Ecosystem-based management is the management system being applied to 6.4 million hectares of the coast of British Columbia, Canada, an area referred to as the Great Bear Rainforest. This approach, intended to manage for ecosystem integrity and community wellbeing, is similar in many respects to ecosystem management approaches elsewhere. However, several novel elements are involved in application of ecosystem-based management on British Columbia's coast: shifts in power that have led to increased aboriginal control and the formation of coalitions between groups that were formerly in opposition; development of explicit models relating management strategies to land-use objectives and separating knowledge from values; use of ecological thresholds and natural variability to establish management targets. Current management is based on transitional targets that differ from science-based targets. Many challenges remain in moving to full implementation of ecosystem-based management, including the difficulties involved in moving from one management model to a fundamentally different one, limited resources for implementation, dealing with complex systems, the lack of freely available multi-disciplinary data, and the difficulty of bringing concepts of uncertainty and risk into public policy discussions in a transparent manner.","collection-title":"Old forests, new management: the conservation and use of old-growth forests in the 21st century","container-title":"Forest Ecology and Management","DOI":"10.1016/j.foreco.2008.10.010","ISSN":"0378-1127","issue":"4","journalAbbreviation":"Forest Ecology and Management","page":"495-503","source":"ScienceDirect","title":"Ecosystem-based management in the Great Bear Rainforest","volume":"258","author":[{"family":"Price","given":"Karen"},{"family":"Roburn","given":"Audrey"},{"family":"MacKinnon","given":"Andy"}],"issued":{"date-parts":[["2009",7,30]]},"citation-key":"price_2009"}}],"schema":"https://github.com/citation-style-language/schema/raw/master/csl-citation.json"} </w:instrText>
      </w:r>
      <w:r w:rsidR="00495E89" w:rsidRPr="009867C1">
        <w:fldChar w:fldCharType="separate"/>
      </w:r>
      <w:r w:rsidR="0042141C" w:rsidRPr="009867C1">
        <w:t>(K. Price et al., 2009)</w:t>
      </w:r>
      <w:r w:rsidR="00495E89" w:rsidRPr="009867C1">
        <w:fldChar w:fldCharType="end"/>
      </w:r>
      <w:r w:rsidR="00495E89" w:rsidRPr="009867C1">
        <w:t xml:space="preserve">. </w:t>
      </w:r>
    </w:p>
    <w:p w14:paraId="74BEF968" w14:textId="772458F4" w:rsidR="0003758E" w:rsidRPr="009867C1" w:rsidRDefault="00BB7F3A" w:rsidP="008855BA">
      <w:pPr>
        <w:ind w:firstLine="720"/>
        <w:rPr>
          <w:lang w:val="en-CA"/>
        </w:rPr>
      </w:pPr>
      <w:r w:rsidRPr="009867C1">
        <w:rPr>
          <w:lang w:val="en-CA"/>
        </w:rPr>
        <w:t>The forests are a mix of western hemlock (</w:t>
      </w:r>
      <w:r w:rsidRPr="009867C1">
        <w:rPr>
          <w:i/>
          <w:lang w:val="en-CA"/>
        </w:rPr>
        <w:t>Tsuga heterophylla</w:t>
      </w:r>
      <w:r w:rsidRPr="009867C1">
        <w:rPr>
          <w:lang w:val="en-CA"/>
        </w:rPr>
        <w:t>), western red cedar (</w:t>
      </w:r>
      <w:r w:rsidRPr="009867C1">
        <w:rPr>
          <w:i/>
          <w:lang w:val="en-CA"/>
        </w:rPr>
        <w:t>Thuja plicata</w:t>
      </w:r>
      <w:r w:rsidRPr="009867C1">
        <w:rPr>
          <w:lang w:val="en-CA"/>
        </w:rPr>
        <w:t>), Amabilis fir (</w:t>
      </w:r>
      <w:r w:rsidRPr="009867C1">
        <w:rPr>
          <w:i/>
          <w:lang w:val="en-CA"/>
        </w:rPr>
        <w:t>Abies amabilis</w:t>
      </w:r>
      <w:r w:rsidRPr="009867C1">
        <w:rPr>
          <w:lang w:val="en-CA"/>
        </w:rPr>
        <w:t>), and Sitka spruce (</w:t>
      </w:r>
      <w:r w:rsidRPr="009867C1">
        <w:rPr>
          <w:i/>
          <w:lang w:val="en-CA"/>
        </w:rPr>
        <w:t>Picea sitchensis</w:t>
      </w:r>
      <w:r w:rsidRPr="009867C1">
        <w:rPr>
          <w:lang w:val="en-CA"/>
        </w:rPr>
        <w:t>), with red alder (</w:t>
      </w:r>
      <w:r w:rsidRPr="009867C1">
        <w:rPr>
          <w:i/>
          <w:lang w:val="en-CA"/>
        </w:rPr>
        <w:t>Alnus rubra</w:t>
      </w:r>
      <w:r w:rsidRPr="009867C1">
        <w:rPr>
          <w:lang w:val="en-CA"/>
        </w:rPr>
        <w:t>) appearing in disturbed sites. The understory includes huckleberry and blueberry species (</w:t>
      </w:r>
      <w:r w:rsidRPr="009867C1">
        <w:rPr>
          <w:i/>
          <w:lang w:val="en-CA"/>
        </w:rPr>
        <w:t>Vaccinium parvifolium, V. alaskensae, and V. ovalifolium</w:t>
      </w:r>
      <w:r w:rsidRPr="009867C1">
        <w:rPr>
          <w:lang w:val="en-CA"/>
        </w:rPr>
        <w:t>), false azalea (</w:t>
      </w:r>
      <w:r w:rsidRPr="009867C1">
        <w:rPr>
          <w:i/>
          <w:lang w:val="en-CA"/>
        </w:rPr>
        <w:t>Menziesia furruginea</w:t>
      </w:r>
      <w:r w:rsidRPr="009867C1">
        <w:rPr>
          <w:lang w:val="en-CA"/>
        </w:rPr>
        <w:t>), salal (</w:t>
      </w:r>
      <w:r w:rsidRPr="009867C1">
        <w:rPr>
          <w:i/>
          <w:lang w:val="en-CA"/>
        </w:rPr>
        <w:t>Gaultheria shallon</w:t>
      </w:r>
      <w:r w:rsidRPr="009867C1">
        <w:rPr>
          <w:lang w:val="en-CA"/>
        </w:rPr>
        <w:t>), salmonberry (</w:t>
      </w:r>
      <w:r w:rsidRPr="009867C1">
        <w:rPr>
          <w:i/>
          <w:lang w:val="en-CA"/>
        </w:rPr>
        <w:t>Rubus spectabilis</w:t>
      </w:r>
      <w:r w:rsidRPr="009867C1">
        <w:rPr>
          <w:lang w:val="en-CA"/>
        </w:rPr>
        <w:t>), and devil’s club (</w:t>
      </w:r>
      <w:r w:rsidRPr="009867C1">
        <w:rPr>
          <w:i/>
          <w:lang w:val="en-CA"/>
        </w:rPr>
        <w:t>Oploplanax horridus</w:t>
      </w:r>
      <w:r w:rsidRPr="009867C1">
        <w:rPr>
          <w:lang w:val="en-CA"/>
        </w:rPr>
        <w:t xml:space="preserve">).  </w:t>
      </w:r>
    </w:p>
    <w:p w14:paraId="66BB6F94" w14:textId="333F4FBE" w:rsidR="00BB7F3A" w:rsidRDefault="00495E89" w:rsidP="008855BA">
      <w:pPr>
        <w:ind w:firstLine="720"/>
      </w:pPr>
      <w:r w:rsidRPr="009867C1">
        <w:t xml:space="preserve">The forest is home to twenty-eight First Nations groups, representing 18,000 to 20,000 people who account for half the total coastal population (Rainforest Solutions </w:t>
      </w:r>
      <w:r w:rsidRPr="009867C1">
        <w:fldChar w:fldCharType="begin"/>
      </w:r>
      <w:r w:rsidR="00AC0205">
        <w:instrText xml:space="preserve"> ADDIN ZOTERO_ITEM CSL_CITATION {"citationID":"hC9LHYTm","properties":{"formattedCitation":"(Rainforest Solutions, n.d.)","plainCitation":"(Rainforest Solutions, n.d.)","noteIndex":0},"citationItems":[{"id":1168,"uris":["http://zotero.org/users/2189142/items/PBGDGADN"],"itemData":{"id":1168,"type":"webpage","abstract":"No matter how you cut it, 50% isn’t enough. Help Take It Taller for the Great Bear Rainforest by pledging your support today.","container-title":"Take It Taller: Save The Great Bear Rainforest","title":"Take It Taller: Save The Great Bear Rainforest","title-short":"Take It Taller","URL":"http://savethegreatbear.org/takeittaller/support","author":[{"family":"Rainforest Solutions","given":""}],"accessed":{"date-parts":[["2015",6,25]]},"citation-key":"rainforestsolutions_"}}],"schema":"https://github.com/citation-style-language/schema/raw/master/csl-citation.json"} </w:instrText>
      </w:r>
      <w:r w:rsidRPr="009867C1">
        <w:fldChar w:fldCharType="separate"/>
      </w:r>
      <w:r w:rsidR="0042141C" w:rsidRPr="009867C1">
        <w:t>(Rainforest Solutions, n.d.)</w:t>
      </w:r>
      <w:r w:rsidRPr="009867C1">
        <w:fldChar w:fldCharType="end"/>
      </w:r>
      <w:r w:rsidRPr="009867C1">
        <w:t xml:space="preserve">. Both First Nation and the general population depend on the natural environment for their economic and cultural well-being, and the region supported </w:t>
      </w:r>
      <w:r w:rsidRPr="009867C1">
        <w:fldChar w:fldCharType="begin"/>
      </w:r>
      <w:r w:rsidR="00AC0205">
        <w:instrText xml:space="preserve"> ADDIN ZOTERO_ITEM CSL_CITATION {"citationID":"v31DbogF","properties":{"formattedCitation":"(Foundation, Street, and Victoria 2015)","plainCitation":"(Foundation, Street, and Victoria 2015)","dontUpdate":true,"noteIndex":0},"citationItems":[{"id":969,"uris":["http://zotero.org/users/2189142/items/8WKHZTJK"],"itemData":{"id":969,"type":"webpage","abstract":"First Nations have called the Great Bear Rainforest home since time before memory. One of the earliest known coastal villages is Namu, a 11,000-year-old site in Heiltsuk territory.","container-title":"Sierra Club BC","title":"First Nations Communities","URL":"http://www.sierraclub.bc.ca/our-work/gbr/first-nations-communities","author":[{"family":"Foundation","given":"Sierra Club of BC"},{"family":"Street","given":"301-2994 Douglas"},{"literal":"Victoria"}],"accessed":{"date-parts":[["2015",6,25]]},"citation-key":"foundation_"}}],"schema":"https://github.com/citation-style-language/schema/raw/master/csl-citation.json"} </w:instrText>
      </w:r>
      <w:r w:rsidRPr="009867C1">
        <w:fldChar w:fldCharType="end"/>
      </w:r>
      <w:r w:rsidRPr="009867C1">
        <w:t xml:space="preserve">historically much larger populations than are present today (between 100,000 and 500,000 people precontact) </w:t>
      </w:r>
      <w:r w:rsidRPr="009867C1">
        <w:fldChar w:fldCharType="begin"/>
      </w:r>
      <w:r w:rsidR="00AC0205">
        <w:instrText xml:space="preserve"> ADDIN ZOTERO_ITEM CSL_CITATION {"citationID":"8wCT34ck","properties":{"formattedCitation":"(S. Campbell &amp; Butler, 2010; Muckle, 2014)","plainCitation":"(S. Campbell &amp; Butler, 2010; Muckle, 2014)","noteIndex":0},"citationItems":[{"id":984,"uris":["http://zotero.org/users/2189142/items/4Z3C9TCA"],"itemData":{"id":984,"type":"article-journal","container-title":"Anthropology Faculty Publications and Presentations","title":"Archaeological Evidence for Resilience of Pacific Northwest Salmon Populations and the Socioecological System Over the Last ~7,500 Years","URL":"http://pdxscholar.library.pdx.edu/anth_fac/19","author":[{"family":"Campbell","given":"Sarah"},{"family":"Butler","given":"Virginia"}],"issued":{"date-parts":[["2010",1,1]]},"citation-key":"campbell_2010"}},{"id":986,"uris":["http://zotero.org/users/2189142/items/6QEQQXX4"],"itemData":{"id":986,"type":"book","abstract":"Since it was first published in 1998, The First Nations of British Columbia has been an essential introduction to the province's first peoples. Written within an anthropological framework, it familiarizes readers with the history and cultures of First Nations in the province and provides a fundamental understanding of current affairs and concerns. This fully revised third edition includes:  an all new introduction and conclusion updated information and references sidebars on topics of interest such as totem poles, sasquatch, and Chinook jargon discussions of enduring stereotypes and misperceptions of First Nations excerpts from important historical documents, including the Canadian government's Apology for Residential Schools  Concise and accessibly written, this book is essential reading for anyone who wants to deepen their understanding of First Nations in what is now British Columbia.","ISBN":"978-0-7748-2875-8","language":"en","number-of-pages":"185","publisher":"UBC Press","source":"Google Books","title":"The First Nations of British Columbia, Third Edition: An Anthropological Overview","title-short":"The First Nations of British Columbia, Third Edition","author":[{"family":"Muckle","given":"Robert J."}],"issued":{"date-parts":[["2014",8,21]]},"citation-key":"muckle_2014"}}],"schema":"https://github.com/citation-style-language/schema/raw/master/csl-citation.json"} </w:instrText>
      </w:r>
      <w:r w:rsidRPr="009867C1">
        <w:fldChar w:fldCharType="separate"/>
      </w:r>
      <w:r w:rsidR="0042141C" w:rsidRPr="009867C1">
        <w:t>(S. Campbell &amp; Butler, 2010; Muckle, 2014)</w:t>
      </w:r>
      <w:r w:rsidRPr="009867C1">
        <w:fldChar w:fldCharType="end"/>
      </w:r>
      <w:r w:rsidRPr="009867C1">
        <w:t xml:space="preserve">, and this settlement dates back at least 14,000 years </w:t>
      </w:r>
      <w:r w:rsidRPr="009867C1">
        <w:fldChar w:fldCharType="begin"/>
      </w:r>
      <w:r w:rsidR="00AC0205">
        <w:instrText xml:space="preserve"> ADDIN ZOTERO_ITEM CSL_CITATION {"citationID":"mXnqX5RW","properties":{"formattedCitation":"(Duffield, 2017; McLaren et al., 2018)","plainCitation":"(Duffield, 2017; McLaren et al., 2018)","noteIndex":0},"citationItems":[{"id":1584,"uris":["http://zotero.org/users/2189142/items/ACN99HQF"],"itemData":{"id":1584,"type":"thesis","abstract":"This Master’s research program was undertaken as part of the Hakai Ancient Landscapes Archaeology Project in Heiltsuk and Wuikinuxv Territories on the Central Pacific Coast of British Columbia (BC), Canada. The project tested the utility of applying vibracore technology to sample a shell midden site on Hecate Island on the BC Central Coast. This revealed that the earliest archaeological occupation began approximately 6,000 years ago, continuing into the 16th Century AD. Analysis using 21 radiocarbon dates from six core samples shows the site was repeatedly occupied and accumulated consistently throughout the tested area and extended to a depth of 544 cm depth below surface. Sampled sediments were utilized to evaluate evidence of fisheries resource management through time with reference to the nearby, intensively-studied archaeological site Namu (ElSx-1). Zooarchaeological results show the herring (Clupea pallasii), salmon (Oncorhynchus spp.), rockfish (Sebastes spp.) and greenling (Hexagrammos spp.) were fished persistently and in similar abundances through the occupation of the site. Overall results for vertebrate fauna reveal the total number of specimens is 19,173 and the total number of identified specimens is 6,566. Results also show a consistent harvest of certain shellfish taxa (e.g., mussel and barnacle), however shellfish weight per litre increases through time. When comparing the relative abundance of herring and salmon through time at Namu and EjTa-13, results show that salmon at Namu was more abundant than at EjTa-13. This is likely due to the productivity of salmon in the Namu River adjacent to the site. Alternatively, herring remains were represented similarly between sites indicating the resource was equally desirable at EjTa-13 and Namu. Surprisingly, a large number of very small artifacts of various materials were also recovered (an estimated 550 artifacts per cubic metre of cultural sediments), which indicates that the field and laboratory methods used are especially conducive to the recovery of small items. These results show a persistent and sustainable local fishery through six millennia until the contact period.","genre":"Thesis","language":"en","note":"Accepted: 2018-01-03T15:44:08Z","source":"dspace.library.uvic.ca","title":"Long-term use of fish and shellfish resources revealed through vibracore sampling at EjTa-13, Hecate Island, Central Coast, BC","URL":"https://dspace.library.uvic.ca//handle/1828/8936","author":[{"family":"Duffield","given":"Seonaid Eileen Shute"}],"accessed":{"date-parts":[["2020",2,27]]},"issued":{"date-parts":[["2017"]]},"citation-key":"duffield_2017"}},{"id":1583,"uris":["http://zotero.org/users/2189142/items/ICNDW73R"],"itemData":{"id":1583,"type":"article-journal","abstract":"Little is known about the ice age human occupation of the Pacific Coast of Canada. Here we present the results of a targeted investigation of a late Pleistocene shoreline on Calvert Island, British Columbia. Drawing upon existing geomorphic information that sea level in the area was 2–3 m lower than present between 14,000 and 11,000 years ago, we began a systematic search for archaeological remains dating to this time period beneath intertidal beach sediments. During subsurface testing, we uncovered human footprints impressed into a 13,000-year-old paleosol beneath beach sands at archaeological site EjTa-4. To date, our investigations at this site have revealed a total of 29 footprints of at least three different sizes. The results presented here add to the growing body of information pertaining to the early deglaciation and associated human presence on the west coast of Canada at the end of the Last Glacial Maximum.","container-title":"PLoS ONE","DOI":"10.1371/journal.pone.0193522","ISSN":"1932-6203","issue":"3","journalAbbreviation":"PLoS One","note":"PMID: 29590165\nPMCID: PMC5873988","source":"PubMed Central","title":"Terminal Pleistocene epoch human footprints from the Pacific coast of Canada","URL":"https://www.ncbi.nlm.nih.gov/pmc/articles/PMC5873988/","volume":"13","author":[{"family":"McLaren","given":"Duncan"},{"family":"Fedje","given":"Daryl"},{"family":"Dyck","given":"Angela"},{"family":"Mackie","given":"Quentin"},{"family":"Gauvreau","given":"Alisha"},{"family":"Cohen","given":"Jenny"}],"accessed":{"date-parts":[["2020",2,27]]},"issued":{"date-parts":[["2018",3,28]]},"citation-key":"mclaren_2018"}}],"schema":"https://github.com/citation-style-language/schema/raw/master/csl-citation.json"} </w:instrText>
      </w:r>
      <w:r w:rsidRPr="009867C1">
        <w:fldChar w:fldCharType="separate"/>
      </w:r>
      <w:r w:rsidR="0042141C" w:rsidRPr="009867C1">
        <w:t>(Duffield, 2017; McLaren et al., 2018)</w:t>
      </w:r>
      <w:r w:rsidRPr="009867C1">
        <w:fldChar w:fldCharType="end"/>
      </w:r>
      <w:r w:rsidR="00BB7F3A" w:rsidRPr="009867C1">
        <w:t xml:space="preserve">, with paleogeologic studies indicate that the Cordillarean ice sheet retreated enough to allow for human migration as early as 17,000 years ago </w:t>
      </w:r>
      <w:r w:rsidR="00BB7F3A" w:rsidRPr="009867C1">
        <w:fldChar w:fldCharType="begin"/>
      </w:r>
      <w:r w:rsidR="00AC0205">
        <w:instrText xml:space="preserve"> ADDIN ZOTERO_ITEM CSL_CITATION {"citationID":"7ud1x20C","properties":{"formattedCitation":"(Davis &amp; Madsen, 2020; Lesnek et al., 2018)","plainCitation":"(Davis &amp; Madsen, 2020; Lesnek et al., 2018)","noteIndex":0},"citationItems":[{"id":10398,"uris":["http://zotero.org/users/2189142/items/D3VHFGXH"],"itemData":{"id":10398,"type":"article-journal","abstract":"The presence of well-documented sites in the Americas predating and south of the opening of an ice-free corridor in the North American ice sheets lends credence to a Pacific coastal migration theory (CMT) explaining the route for the initial peopling of the Americas. This theory has been informally discussed for more than 50 years, but until recently, has been largely ignored and never properly defined as a result. We provide a formal definition of the CMT which, briefly stated, is that Upper Paleolithic populations moved from Asia to coastal regions along the northwestern Pacific Rim between </w:instrText>
      </w:r>
      <w:r w:rsidR="00AC0205">
        <w:rPr>
          <w:rFonts w:ascii="Cambria Math" w:hAnsi="Cambria Math" w:cs="Cambria Math"/>
        </w:rPr>
        <w:instrText>∼</w:instrText>
      </w:r>
      <w:r w:rsidR="00AC0205">
        <w:instrText xml:space="preserve">45–30 ka. By </w:instrText>
      </w:r>
      <w:r w:rsidR="00AC0205">
        <w:rPr>
          <w:rFonts w:ascii="Cambria Math" w:hAnsi="Cambria Math" w:cs="Cambria Math"/>
        </w:rPr>
        <w:instrText>∼</w:instrText>
      </w:r>
      <w:r w:rsidR="00AC0205">
        <w:instrText xml:space="preserve">30 ka these coastal populations developed a mixed maritime, nearshore, and terrestrial adaptation involving the use of boats, shell fishhooks for deep-water fishing, and a stemmed point and macroblade core technology. About 25–24 ka a subset of these coastal populations became isolated somewhere in the vicinity of the Japan/Paleo-Hokkaido, Sahkalin, Kuril (PSHK) region, developing genetically into the ancient Native American (ANA) populations that eventually settled the Americas. Between </w:instrText>
      </w:r>
      <w:r w:rsidR="00AC0205">
        <w:rPr>
          <w:rFonts w:ascii="Cambria Math" w:hAnsi="Cambria Math" w:cs="Cambria Math"/>
        </w:rPr>
        <w:instrText>∼</w:instrText>
      </w:r>
      <w:r w:rsidR="00AC0205">
        <w:instrText xml:space="preserve">22–16 ka these ANA people began migrating by foot and boat along the southern Beringian coast and down the Alaskan and Canadian coastline into the Americas south of the continental ice sheets before eventually expanding inland. We develop a series of testable hypotheses through which the CMT can be examined.","container-title":"Quaternary Science Reviews","DOI":"10.1016/j.quascirev.2020.106605","ISSN":"0277-3791","journalAbbreviation":"Quaternary Science Reviews","language":"en","page":"106605","source":"ScienceDirect","title":"The coastal migration theory: Formulation and testable hypotheses","title-short":"The coastal migration theory","volume":"249","author":[{"family":"Davis","given":"Loren G."},{"family":"Madsen","given":"David B."}],"issued":{"date-parts":[["2020",12,1]]},"citation-key":"davis_2020"}},{"id":10402,"uris":["http://zotero.org/users/2189142/items/D3XYP4VJ"],"itemData":{"id":10402,"type":"article-journal","abstract":"The route and timing of early human migration to the Americas have been a contentious topic for decades. Recent paleogenetic analyses suggest that the initial colonization from Beringia took place as early as 16 thousand years (ka) ago via a deglaciated corridor along the North Pacific coast. However, the feasibility of such a migration depends on the extent of the western Cordilleran Ice Sheet (CIS) and the available resources along the hypothesized coastal route during this timeframe. We date the culmination of maximum CIS conditions in southeastern Alaska, a potential bottleneck region for human migration, to ~20 to 17 ka ago with cosmogenic 10Be exposure dating and 14C dating of bones from an ice-overrun cave. We also show that productive marine and terrestrial ecosystems were established almost immediately following deglaciation. We conclude that CIS retreat ensured that an open and ecologically viable pathway through southeastern Alaska was available after 17 ka ago, which may have been traversed by early humans as they colonized the Americas.\nDating of rock surfaces and cave bones suggests the North Pacific coast was a viable path for human migration to the Americas.\nDating of rock surfaces and cave bones suggests the North Pacific coast was a viable path for human migration to the Americas.","container-title":"Science Advances","DOI":"10.1126/sciadv.aar5040","ISSN":"2375-2548","issue":"5","language":"en","note":"publisher: American Association for the Advancement of Science\nsection: Research Article","page":"eaar5040","source":"advances.sciencemag.org","title":"Deglaciation of the Pacific coastal corridor directly preceded the human colonization of the Americas","volume":"4","author":[{"family":"Lesnek","given":"Alia J."},{"family":"Briner","given":"Jason P."},{"family":"Lindqvist","given":"Charlotte"},{"family":"Baichtal","given":"James F."},{"family":"Heaton","given":"Timothy H."}],"issued":{"date-parts":[["2018",5,1]]},"citation-key":"lesnek_2018"}}],"schema":"https://github.com/citation-style-language/schema/raw/master/csl-citation.json"} </w:instrText>
      </w:r>
      <w:r w:rsidR="00BB7F3A" w:rsidRPr="009867C1">
        <w:fldChar w:fldCharType="separate"/>
      </w:r>
      <w:r w:rsidR="0042141C" w:rsidRPr="009867C1">
        <w:t>(Davis &amp; Madsen, 2020; Lesnek et al., 2018)</w:t>
      </w:r>
      <w:r w:rsidR="00BB7F3A" w:rsidRPr="009867C1">
        <w:fldChar w:fldCharType="end"/>
      </w:r>
      <w:r w:rsidR="00BB7F3A" w:rsidRPr="009867C1">
        <w:t xml:space="preserve">. </w:t>
      </w:r>
    </w:p>
    <w:p w14:paraId="6FAC6BCD" w14:textId="77777777" w:rsidR="008855BA" w:rsidRPr="009867C1" w:rsidRDefault="008855BA" w:rsidP="008855BA">
      <w:pPr>
        <w:ind w:firstLine="720"/>
      </w:pPr>
    </w:p>
    <w:p w14:paraId="57141BF6" w14:textId="77777777" w:rsidR="00495E89" w:rsidRPr="009867C1" w:rsidRDefault="00495E89" w:rsidP="00495E89">
      <w:pPr>
        <w:pStyle w:val="Heading8"/>
      </w:pPr>
      <w:bookmarkStart w:id="307" w:name="_Toc99385525"/>
      <w:r w:rsidRPr="009867C1">
        <w:t>Regional Geology</w:t>
      </w:r>
      <w:bookmarkEnd w:id="307"/>
    </w:p>
    <w:p w14:paraId="3981980A" w14:textId="797EDBB8" w:rsidR="00495E89" w:rsidRPr="009867C1" w:rsidRDefault="00495E89" w:rsidP="008855BA">
      <w:pPr>
        <w:ind w:firstLine="720"/>
      </w:pPr>
      <w:r w:rsidRPr="009867C1">
        <w:t>Bella Bella and surrounding region lies at the western end of the Anaheim volcanic belt, a linear feature that is thought to be formed as the North American plate slid over a persistent</w:t>
      </w:r>
      <w:r w:rsidR="00A07E8E" w:rsidRPr="009867C1">
        <w:t xml:space="preserve"> upwelling</w:t>
      </w:r>
      <w:r w:rsidRPr="009867C1">
        <w:t xml:space="preserve"> mantle plume, although other theories have been put forward </w:t>
      </w:r>
      <w:r w:rsidRPr="009867C1">
        <w:fldChar w:fldCharType="begin"/>
      </w:r>
      <w:r w:rsidR="00AC0205">
        <w:instrText xml:space="preserve"> ADDIN ZOTERO_ITEM CSL_CITATION {"citationID":"lb2dDpdo","properties":{"formattedCitation":"(Kuehn, 2014)","plainCitation":"(Kuehn, 2014)","noteIndex":0},"citationItems":[{"id":1587,"uris":["http://zotero.org/users/2189142/items/DSR3HI7F"],"itemData":{"id":1587,"type":"article-journal","abstract":"Alkaline and peralkaline magmatism occurred along the Anahim Volcanic Belt (AVB), a 330 km long linear feature in west-central British Columbia.  The belt includes three felsic shield volcanoes, the Rainbow, Ilgachuz and Itcha ranges as its most notable features, as well as regionally extensive cone fields, lava flows, dyke swarms and a pluton.  Volcanic activity took place periodically from the Late Miocene to the Holocene.  A systematic decrease in the ages of individual centres from the western part of the AVB to its eastern end is interpreted as the effect of a hot-spot underlying the Interior Plateau of British Columbia.  Other hypotheses for the existence of the AVB include regional extension, a plate edge/slab window effect along the northern edge of the subducted Juan de Fuca/Explorer plates, and a fracture propagating west to east.  In this study, I first summarise existing works to provide a context for AVB volcanism.  Then I report new whole-rock geochemical data and 40Ar/39Ar age determinations for two previously little-studied cone fields around Satah Mountain and Baldface Mountain in the central part of the AVB.  Individual volcanic centres in these fields are generally small in extent and volume and most have been heavily modified by glacial erosion.  These centers are compositionally heterogeneous but overall the lavas erupted in either field are similar to those erupted from the larger Itcha Range shield volcano nearby.  Rock types include minor alkali basalts and basanites (44−52 wt% SiO2), but more evolved trachyandesites, trachytes and phonolites (59−64 wt% SiO2) are the most abundant lithologies.  Timing of volcanism in the Satah Mtn. field is constrained by 11 40Ar/39Ar ages which indicate volcanism between 2.21 and 1.43 Ma; in the Baldface Mtn. field, seven age data indicate volcanism from 2.52 to 0.91 Ma.  The data further indicate that volcanic activity in these fields was, at least partially, coeval with the Itcha Range.  These new data provide additional support for the mantle plume/hot-spot hypothesis, the only hypothesis that accounts for both the (per)alkaline character of AVB magmatism and the linear age-succession of volcanic centres.","DOI":"http://dx.doi.org/10.11575/PRISM/25002","language":"eng","note":"Accepted: 2014-10-24T19:25:30Z\npublisher: Graduate Studies","source":"prism.ucalgary.ca","title":"A Second North American Hot-spot: Pleistocene Volcanism in the Anahim Volcanic Belt, west-central British Columbia","title-short":"A Second North American Hot-spot","URL":"https://prism.ucalgary.ca/handle/11023/1936","author":[{"family":"Kuehn","given":"Christian"}],"accessed":{"date-parts":[["2020",2,26]]},"issued":{"date-parts":[["2014",10,24]]},"citation-key":"kuehn_2014"}}],"schema":"https://github.com/citation-style-language/schema/raw/master/csl-citation.json"} </w:instrText>
      </w:r>
      <w:r w:rsidRPr="009867C1">
        <w:fldChar w:fldCharType="separate"/>
      </w:r>
      <w:r w:rsidR="0042141C" w:rsidRPr="009867C1">
        <w:t>(Kuehn, 2014)</w:t>
      </w:r>
      <w:r w:rsidRPr="009867C1">
        <w:fldChar w:fldCharType="end"/>
      </w:r>
      <w:r w:rsidRPr="009867C1">
        <w:t xml:space="preserve">. The oldest section (14.5-12.5 MA), near Bella Bella, is characterized by a zone of plutons, dykes, and lava flows </w:t>
      </w:r>
      <w:r w:rsidRPr="009867C1">
        <w:fldChar w:fldCharType="begin"/>
      </w:r>
      <w:r w:rsidR="00AC0205">
        <w:instrText xml:space="preserve"> ADDIN ZOTERO_ITEM CSL_CITATION {"citationID":"f0ymbT6N","properties":{"formattedCitation":"(Souther, 1986)","plainCitation":"(Souther, 1986)","noteIndex":0},"citationItems":[{"id":1312,"uris":["http://zotero.org/users/2189142/items/UVSFPGVJ"],"itemData":{"id":1312,"type":"article-journal","abstract":"The Anahim Volcanic Belt extends easterly across central British Columbia, where it includes three large shield volcanoes and numerous small monogenetic cones and lava flows. Potassium–argon dates on the lavas suggest that the onset of volcanic activity progressed from approximately 8 Ma in the west to less than 1 Ma in the east. A western extension of the belt into the strongly uplifted and deeply dissected Coast Mountains is defined by an east-trending zone of chemically distinctive, high-level plutons, dyke swarms, and remnants of eruptive breccia that yield K–Ar dates of 10–14 Ma. The lavas and dykes include both basic (alkali basalt and hawaiite) and salic (trachyte and sodic rhyolite) suites, which have remarkably similar major-element abundances. In addition, moderately to strongly peralkaline rocks (comendite and pantellerite) constitute a major part of the volcanic piles and a lesser proportion of the dykes. Epizonal plutons show an upward zonation from hypersolvus syenite to miarolitic, alkaline..., La ceinture volcanique d'Anahim est déployée vers l'est et traverse le centre de la Colombie-Britannique, où elle englobe trois volcans-boucliers et de nombreux petits cônes monogéniques et ainsi que des coulées de lave. Les datations des laves par potassium–argon révèlent que les épisodes d'activité volcanique sont progressivement plus jeunes d'ouest en est, soit approximativement de 8 Ma à 1 Ma. Un prolongement occidental de la ceinture dans la chaîne Côtière, largement soulevée et intensément disséquée, est défini par une zone chimiquement différente, de direction orientale, formée de plutons épizonaux, de cortèges filoniens et de résidus de brèche éruptive qui fournissent des âges K–Ar de 10–14 Ma. Les laves et les dykes incluent des séquences basiques (basalte alcalin et hawaiite) et saliques (trachyte et rhyolite sodique) qui ont des teneurs en éléments majeurs notamment semblables. En plus, les roches, modérément à fortement peralcalines (comendite et pantellérite), correspondent en majeure partie ...","container-title":"Canadian Journal of Earth Sciences","DOI":"10.1139/e86-091","ISSN":"0008-4077","issue":"6","journalAbbreviation":"Can. J. Earth Sci.","page":"895-908","source":"NRC Research Press","title":"The western Anahim Belt: root zone of a peralkaline magma system","title-short":"The western Anahim Belt","volume":"23","author":[{"family":"Souther","given":"J. G."}],"issued":{"date-parts":[["1986",6,1]]},"citation-key":"souther_1986"}}],"schema":"https://github.com/citation-style-language/schema/raw/master/csl-citation.json"} </w:instrText>
      </w:r>
      <w:r w:rsidRPr="009867C1">
        <w:fldChar w:fldCharType="separate"/>
      </w:r>
      <w:r w:rsidR="0042141C" w:rsidRPr="009867C1">
        <w:t>(Souther, 1986)</w:t>
      </w:r>
      <w:r w:rsidRPr="009867C1">
        <w:fldChar w:fldCharType="end"/>
      </w:r>
      <w:r w:rsidRPr="009867C1">
        <w:t xml:space="preserve"> and extends 330 km west across the Chilcotin plateau to the newest section at the Nazko cone </w:t>
      </w:r>
      <w:r w:rsidR="00A07E8E" w:rsidRPr="009867C1">
        <w:t xml:space="preserve">in central BC </w:t>
      </w:r>
      <w:r w:rsidRPr="009867C1">
        <w:t xml:space="preserve">(0.34-0.007MA). </w:t>
      </w:r>
    </w:p>
    <w:p w14:paraId="39D81BCE" w14:textId="788C3B3E" w:rsidR="008855BA" w:rsidRDefault="00495E89" w:rsidP="008855BA">
      <w:pPr>
        <w:ind w:firstLine="720"/>
      </w:pPr>
      <w:r w:rsidRPr="009867C1">
        <w:t xml:space="preserve">This geological structure contributes a heterogenous band that crosses Denny and King Islands; it is dominated by prevalently alkaline and peralkaline geochemistry </w:t>
      </w:r>
      <w:r w:rsidRPr="009867C1">
        <w:fldChar w:fldCharType="begin"/>
      </w:r>
      <w:r w:rsidR="00AC0205">
        <w:instrText xml:space="preserve"> ADDIN ZOTERO_ITEM CSL_CITATION {"citationID":"4jWQ9p9G","properties":{"formattedCitation":"(Souther, 1986)","plainCitation":"(Souther, 1986)","noteIndex":0},"citationItems":[{"id":1312,"uris":["http://zotero.org/users/2189142/items/UVSFPGVJ"],"itemData":{"id":1312,"type":"article-journal","abstract":"The Anahim Volcanic Belt extends easterly across central British Columbia, where it includes three large shield volcanoes and numerous small monogenetic cones and lava flows. Potassium–argon dates on the lavas suggest that the onset of volcanic activity progressed from approximately 8 Ma in the west to less than 1 Ma in the east. A western extension of the belt into the strongly uplifted and deeply dissected Coast Mountains is defined by an east-trending zone of chemically distinctive, high-level plutons, dyke swarms, and remnants of eruptive breccia that yield K–Ar dates of 10–14 Ma. The lavas and dykes include both basic (alkali basalt and hawaiite) and salic (trachyte and sodic rhyolite) suites, which have remarkably similar major-element abundances. In addition, moderately to strongly peralkaline rocks (comendite and pantellerite) constitute a major part of the volcanic piles and a lesser proportion of the dykes. Epizonal plutons show an upward zonation from hypersolvus syenite to miarolitic, alkaline..., La ceinture volcanique d'Anahim est déployée vers l'est et traverse le centre de la Colombie-Britannique, où elle englobe trois volcans-boucliers et de nombreux petits cônes monogéniques et ainsi que des coulées de lave. Les datations des laves par potassium–argon révèlent que les épisodes d'activité volcanique sont progressivement plus jeunes d'ouest en est, soit approximativement de 8 Ma à 1 Ma. Un prolongement occidental de la ceinture dans la chaîne Côtière, largement soulevée et intensément disséquée, est défini par une zone chimiquement différente, de direction orientale, formée de plutons épizonaux, de cortèges filoniens et de résidus de brèche éruptive qui fournissent des âges K–Ar de 10–14 Ma. Les laves et les dykes incluent des séquences basiques (basalte alcalin et hawaiite) et saliques (trachyte et rhyolite sodique) qui ont des teneurs en éléments majeurs notamment semblables. En plus, les roches, modérément à fortement peralcalines (comendite et pantellérite), correspondent en majeure partie ...","container-title":"Canadian Journal of Earth Sciences","DOI":"10.1139/e86-091","ISSN":"0008-4077","issue":"6","journalAbbreviation":"Can. J. Earth Sci.","page":"895-908","source":"NRC Research Press","title":"The western Anahim Belt: root zone of a peralkaline magma system","title-short":"The western Anahim Belt","volume":"23","author":[{"family":"Souther","given":"J. G."}],"issued":{"date-parts":[["1986",6,1]]},"citation-key":"souther_1986"}}],"schema":"https://github.com/citation-style-language/schema/raw/master/csl-citation.json"} </w:instrText>
      </w:r>
      <w:r w:rsidRPr="009867C1">
        <w:fldChar w:fldCharType="separate"/>
      </w:r>
      <w:r w:rsidR="0042141C" w:rsidRPr="009867C1">
        <w:t>(Souther, 1986)</w:t>
      </w:r>
      <w:r w:rsidRPr="009867C1">
        <w:fldChar w:fldCharType="end"/>
      </w:r>
      <w:r w:rsidRPr="009867C1">
        <w:t xml:space="preserve">. Rock types include alkali basalts, hawaiites, trachytes, comendites and rhyolites in subvolcanic dykes, syenite in the King Island pluton and associated rhyolitic breccias elsewhere </w:t>
      </w:r>
      <w:r w:rsidRPr="009867C1">
        <w:fldChar w:fldCharType="begin"/>
      </w:r>
      <w:r w:rsidR="00AC0205">
        <w:instrText xml:space="preserve"> ADDIN ZOTERO_ITEM CSL_CITATION {"citationID":"fudpVedm","properties":{"formattedCitation":"(Kuehn, 2014)","plainCitation":"(Kuehn, 2014)","noteIndex":0},"citationItems":[{"id":1587,"uris":["http://zotero.org/users/2189142/items/DSR3HI7F"],"itemData":{"id":1587,"type":"article-journal","abstract":"Alkaline and peralkaline magmatism occurred along the Anahim Volcanic Belt (AVB), a 330 km long linear feature in west-central British Columbia.  The belt includes three felsic shield volcanoes, the Rainbow, Ilgachuz and Itcha ranges as its most notable features, as well as regionally extensive cone fields, lava flows, dyke swarms and a pluton.  Volcanic activity took place periodically from the Late Miocene to the Holocene.  A systematic decrease in the ages of individual centres from the western part of the AVB to its eastern end is interpreted as the effect of a hot-spot underlying the Interior Plateau of British Columbia.  Other hypotheses for the existence of the AVB include regional extension, a plate edge/slab window effect along the northern edge of the subducted Juan de Fuca/Explorer plates, and a fracture propagating west to east.  In this study, I first summarise existing works to provide a context for AVB volcanism.  Then I report new whole-rock geochemical data and 40Ar/39Ar age determinations for two previously little-studied cone fields around Satah Mountain and Baldface Mountain in the central part of the AVB.  Individual volcanic centres in these fields are generally small in extent and volume and most have been heavily modified by glacial erosion.  These centers are compositionally heterogeneous but overall the lavas erupted in either field are similar to those erupted from the larger Itcha Range shield volcano nearby.  Rock types include minor alkali basalts and basanites (44−52 wt% SiO2), but more evolved trachyandesites, trachytes and phonolites (59−64 wt% SiO2) are the most abundant lithologies.  Timing of volcanism in the Satah Mtn. field is constrained by 11 40Ar/39Ar ages which indicate volcanism between 2.21 and 1.43 Ma; in the Baldface Mtn. field, seven age data indicate volcanism from 2.52 to 0.91 Ma.  The data further indicate that volcanic activity in these fields was, at least partially, coeval with the Itcha Range.  These new data provide additional support for the mantle plume/hot-spot hypothesis, the only hypothesis that accounts for both the (per)alkaline character of AVB magmatism and the linear age-succession of volcanic centres.","DOI":"http://dx.doi.org/10.11575/PRISM/25002","language":"eng","note":"Accepted: 2014-10-24T19:25:30Z\npublisher: Graduate Studies","source":"prism.ucalgary.ca","title":"A Second North American Hot-spot: Pleistocene Volcanism in the Anahim Volcanic Belt, west-central British Columbia","title-short":"A Second North American Hot-spot","URL":"https://prism.ucalgary.ca/handle/11023/1936","author":[{"family":"Kuehn","given":"Christian"}],"accessed":{"date-parts":[["2020",2,26]]},"issued":{"date-parts":[["2014",10,24]]},"citation-key":"kuehn_2014"}}],"schema":"https://github.com/citation-style-language/schema/raw/master/csl-citation.json"} </w:instrText>
      </w:r>
      <w:r w:rsidRPr="009867C1">
        <w:fldChar w:fldCharType="separate"/>
      </w:r>
      <w:r w:rsidR="0042141C" w:rsidRPr="009867C1">
        <w:t>(Kuehn, 2014)</w:t>
      </w:r>
      <w:r w:rsidRPr="009867C1">
        <w:fldChar w:fldCharType="end"/>
      </w:r>
      <w:r w:rsidRPr="009867C1">
        <w:t xml:space="preserve">. Surrounding </w:t>
      </w:r>
      <w:r w:rsidR="00A07E8E" w:rsidRPr="009867C1">
        <w:t xml:space="preserve">older </w:t>
      </w:r>
      <w:r w:rsidRPr="009867C1">
        <w:t>areas are granodiorite and quartz diorite characteristic of plutonic uplift and date to the Eocene</w:t>
      </w:r>
      <w:r w:rsidR="00A07E8E" w:rsidRPr="009867C1">
        <w:t xml:space="preserve"> ~ 60-30 mya</w:t>
      </w:r>
      <w:r w:rsidRPr="009867C1">
        <w:t xml:space="preserve"> </w:t>
      </w:r>
      <w:r w:rsidRPr="009867C1">
        <w:fldChar w:fldCharType="begin"/>
      </w:r>
      <w:r w:rsidR="00AC0205">
        <w:instrText xml:space="preserve"> ADDIN ZOTERO_ITEM CSL_CITATION {"citationID":"8GVpZWg9","properties":{"formattedCitation":"(Diakow et al., 2003)","plainCitation":"(Diakow et al., 2003)","noteIndex":0},"citationItems":[{"id":1586,"uris":["http://zotero.org/users/2189142/items/W7IZQEFW"],"itemData":{"id":1586,"type":"article-journal","container-title":"BC Ministry of Energy, Mines and Petroleum Resources","page":"2003–1","source":"Google Scholar","title":"Geology of the eastern Bella Coola map area (93 D), west-central British Columbia","author":[{"family":"Diakow","given":"L. J."},{"family":"Mahoney","given":"J. B."},{"family":"Haggart","given":"J. W."},{"family":"Woodsworth","given":"G. J."},{"family":"Gordee","given":"S. M."},{"family":"Snyder","given":"L. D."},{"family":"Poulton","given":"T. P."},{"family":"Friedman","given":"R. M."},{"family":"Villeneuve","given":"M."},{"family":"Fieldwork","given":"Geological"}],"issued":{"date-parts":[["2003"]]},"citation-key":"diakow_2003"}}],"schema":"https://github.com/citation-style-language/schema/raw/master/csl-citation.json"} </w:instrText>
      </w:r>
      <w:r w:rsidRPr="009867C1">
        <w:fldChar w:fldCharType="separate"/>
      </w:r>
      <w:r w:rsidR="0042141C" w:rsidRPr="009867C1">
        <w:t>(Diakow et al., 2003)</w:t>
      </w:r>
      <w:r w:rsidRPr="009867C1">
        <w:fldChar w:fldCharType="end"/>
      </w:r>
      <w:r w:rsidRPr="009867C1">
        <w:t>.</w:t>
      </w:r>
    </w:p>
    <w:p w14:paraId="6AF87211" w14:textId="6298D7BC" w:rsidR="00BB7F3A" w:rsidRDefault="00495E89" w:rsidP="008855BA">
      <w:pPr>
        <w:ind w:firstLine="720"/>
      </w:pPr>
      <w:r w:rsidRPr="009867C1">
        <w:t>The Cordilleran ice sheet covered the region ~</w:t>
      </w:r>
      <w:r w:rsidR="00BB7F3A" w:rsidRPr="009867C1">
        <w:t>17</w:t>
      </w:r>
      <w:r w:rsidRPr="009867C1">
        <w:t>,000</w:t>
      </w:r>
      <w:r w:rsidR="00BB7F3A" w:rsidRPr="009867C1">
        <w:t xml:space="preserve"> – 14,000</w:t>
      </w:r>
      <w:r w:rsidRPr="009867C1">
        <w:t xml:space="preserve"> YA </w:t>
      </w:r>
      <w:r w:rsidRPr="009867C1">
        <w:fldChar w:fldCharType="begin"/>
      </w:r>
      <w:r w:rsidR="00AC0205">
        <w:instrText xml:space="preserve"> ADDIN ZOTERO_ITEM CSL_CITATION {"citationID":"O4wU7CjC","properties":{"formattedCitation":"(Eamer, 2017; Eamer et al., 2017; O\\uc0\\u8217{}Neel et al., 2015)","plainCitation":"(Eamer, 2017; Eamer et al., 2017; O’Neel et al., 2015)","noteIndex":0},"citationItems":[{"id":1700,"uris":["http://zotero.org/users/2189142/items/DR2ZSDQ2"],"itemData":{"id":1700,"type":"article-journal","container-title":"Quaternary Research","issue":"3","page":"468–481","source":"Google Scholar","title":"A glacial readvance during retreat of the Cordilleran Ice Sheet, British Columbia central coast","volume":"87","author":[{"family":"Eamer","given":"Jordan BR"},{"family":"Shugar","given":"Dan H."},{"family":"Walker","given":"Ian J."},{"family":"Lian","given":"Olav B."},{"family":"Neudorf","given":"Christina M."},{"family":"Telka","given":"Alice M."}],"issued":{"date-parts":[["2017"]]},"citation-key":"eamer_2017a"}},{"id":161,"uris":["http://zotero.org/users/2189142/items/FDDUDK9B"],"itemData":{"id":161,"type":"thesis","abstract":"This dissertation presents results from a multi-year interdisciplinary study of the Late Quaternary geomorphic history of northwest Calvert Island, British Columbia, Canada. There is a considerable knowledge gap in the region pertaining to Cordilleran ice cover and extent as well as landscape response to a uniquely stable relative sea-level history. The objective of this study was to reconstruct this regional landscape response to deglaciation including post-LGM ice cover and extent, relative sea-level changes, coastal landform development, and climate and ecological variance. Methods used to inform this reconstruction included airborne lidar, aerial photography interpretation, sedimentary stratigraphy and detailed sedimentology of samples from shovel pits and lake cores, surficial geology and geomorphic mapping, palaeoecological examinations, and the development of a geochronology using radiocarbon and optical dating. To assist with landscape reconstruction, a new method was developed and used to differentiate littoral and aeolian sands in sediment samples that range in age from Mid to Late Holocene by using modern reference samples. The method utilized a standard optical microscope paired with freely available software (ImageJ) to characterize grain shape parameters. The method was tested on nearly 6,000 sand grains from samples of known and hypothesized depositional settings and was able to correctly identify the depositional setting for 76% of the samples. After testing, the method was used to differentiate littoral and aeolian sands in a number of shovel pit, exposure, and core sediment samples to give context to stratigraphic and geomorphic interpretations. A short-lived Late Pleistocene re-advance of Cordilleran ice occurred in the study area, with radiocarbon ages indicating ice advanced to, and then retreated from, the western edge of Calvert Island between 14.2 and 13.8 ka cal BP, respectively. Sedimentological and palaeoecological information that suggests a cold climate and advancing/retreating glacier as well as lidar remote sensing and field-based geomorphic mapping of moraines in the region provide evidence of the re-advance. After ice retreated from the area, a broad suite of geomorphic landforms developed, including flood plains, \niv \naeolian dunes, beaches, spits, marshes, and tombolos. Coastal reworking was extensive, with progradation rates greater than 1 m a-1 occurring in some locations during the Late Holocene. These data provide the first evidence of a re-advance of the retreating ice sheet margin on the central coast of British Columbia, contribute an important methodology to advance Quaternary reconstructions, and give a unique account of the geomorphic development of a Pacific Northwest coastline that experienced little relative sea-level change over the Late Pleistocene and Holocene. Results help fill a spatial and temporal gap in the landscape history of British Columbia and have implications for climate and sea-level reconstructions, early human migration patterns, and the palaeoenvironment of an understudied area of the Pacific Northwest coast of North America.","genre":"Thesis","language":"en","note":"Accepted: 2017-04-24T14:29:06Z\nDOI: Eamer JBR, Shugar DH, Walker IJ, Lian OB, Neudorf C. 2017. Distinguishing depositional setting for sandy deposits in coastal landscapes using grain shape. Journal of Sedimentary Research, 87(1): 1-11. http://dx.doi.org/10.2110/jsr.2016.92\nDOI: Eamer JBR, Shugar DH, Walker IJ, Lian OB, Neudorf C. 2017. Distinguishing depositional setting for sandy deposits in coastal landscapes using grain shape. Journal of Sedimentary Research, 87(1): 1-11. http://dx.doi.org/10.2110/jsr.2016.92","source":"dspace.library.uvic.ca","title":"Reconstruction of the Late Pleistocene and Holocene geomorphology of northwest Calvert Island, British Columbia","URL":"https://dspace.library.uvic.ca//handle/1828/7944","author":[{"family":"Eamer","given":"Jordan BR"}],"accessed":{"date-parts":[["2020",2,27]]},"issued":{"date-parts":[["2017"]]},"citation-key":"eamer_2017"}},{"id":303,"uris":["http://zotero.org/users/2189142/items/QUIJET68"],"itemData":{"id":303,"type":"article-journal","abstract":"Rates of glacier mass loss in the northern Pacific coastal temperate rainforest (PCTR) are among the highest on Earth, and changes in glacier volume and extent will affect the flow regime and chemistry of coastal rivers, as well as the nearshore marine ecosystem of the Gulf of Alaska. Here we synthesize physical, chemical and biological linkages that characterize the northern PCTR ecosystem, with particular emphasis on the potential impacts of glacier change in the coastal mountain ranges on the surface–water hydrology, biogeochemistry, coastal oceanography and aquatic ecology. We also evaluate the relative importance and interplay between interannual variability and long-term trends in key physical drivers and ecological responses. To advance our knowledge of the northern PCTR, we advocate for cross-disciplinary research bridging the icefield-to-ocean ecosystem that can be paired with long-term scientific records and designed to inform decisionmakers.","container-title":"BioScience","DOI":"10.1093/biosci/biv027","ISSN":"0006-3568, 1525-3244","issue":"5","journalAbbreviation":"BioScience","language":"en","page":"499-512","source":"bioscience.oxfordjournals.org.ezproxy.library.ubc.ca","title":"Icefield-to-Ocean Linkages across the Northern Pacific Coastal Temperate Rainforest Ecosystem","volume":"65","author":[{"family":"O'Neel","given":"Shad"},{"family":"Hood","given":"Eran"},{"family":"Bidlack","given":"Allison L."},{"family":"Fleming","given":"Sean W."},{"family":"Arimitsu","given":"Mayumi L."},{"family":"Arendt","given":"Anthony"},{"family":"Burgess","given":"Evan"},{"family":"Sergeant","given":"Christopher J."},{"family":"Beaudreau","given":"Anne H."},{"family":"Timm","given":"Kristin"},{"family":"Hayward","given":"Gregory D."},{"family":"Reynolds","given":"Joel H."},{"family":"Pyare","given":"Sanjay"}],"issued":{"date-parts":[["2015",5,1]]},"citation-key":"oneel_2015"}}],"schema":"https://github.com/citation-style-language/schema/raw/master/csl-citation.json"} </w:instrText>
      </w:r>
      <w:r w:rsidRPr="009867C1">
        <w:fldChar w:fldCharType="separate"/>
      </w:r>
      <w:r w:rsidR="0042141C" w:rsidRPr="009867C1">
        <w:t>(Eamer, 2017; Eamer et al., 2017; O’Neel et al., 2015)</w:t>
      </w:r>
      <w:r w:rsidRPr="009867C1">
        <w:fldChar w:fldCharType="end"/>
      </w:r>
      <w:r w:rsidRPr="009867C1">
        <w:t xml:space="preserve">. This ice sheet extended to the furthermost coastal islands at the edge of the continental shelf </w:t>
      </w:r>
      <w:r w:rsidRPr="009867C1">
        <w:fldChar w:fldCharType="begin"/>
      </w:r>
      <w:r w:rsidR="00AC0205">
        <w:instrText xml:space="preserve"> ADDIN ZOTERO_ITEM CSL_CITATION {"citationID":"d5efqeBx","properties":{"formattedCitation":"(Clague &amp; Ward, 2011)","plainCitation":"(Clague &amp; Ward, 2011)","noteIndex":0},"citationItems":[{"id":1676,"uris":["http://zotero.org/users/2189142/items/F6YSDPIU"],"itemData":{"id":1676,"type":"article-journal","abstract":"The Cordilleran Ice Sheet developed over British Columbia and surrounding areas repeatedly during the Pleistocene and most recently during Marine Oxygen Isotope Stage 2 (ca. 25-10 ka). Landforms and deposits of the last glaciation are dominant surface materials; older glacial sediments locally occur below the last-glacial sediments. The ice sheet deformed the lithosphere on which in rested; the deformation is captured in raised and deformed marine and lake shorelines.","container-title":"Developments in Quaternary Science","DOI":"10.1016/B978-0-444-53447-7.00044-1","journalAbbreviation":"Developments in Quaternary Science","page":"563-573","source":"ResearchGate","title":"Pleistocene Glaciation of British Columbia","volume":"15","author":[{"family":"Clague","given":"John"},{"family":"Ward","given":"Brent"}],"issued":{"date-parts":[["2011",12,31]]},"citation-key":"clague_2011"}}],"schema":"https://github.com/citation-style-language/schema/raw/master/csl-citation.json"} </w:instrText>
      </w:r>
      <w:r w:rsidRPr="009867C1">
        <w:fldChar w:fldCharType="separate"/>
      </w:r>
      <w:r w:rsidR="0042141C" w:rsidRPr="009867C1">
        <w:t>(Clague &amp; Ward, 2011)</w:t>
      </w:r>
      <w:r w:rsidRPr="009867C1">
        <w:fldChar w:fldCharType="end"/>
      </w:r>
      <w:r w:rsidRPr="009867C1">
        <w:t>, and hence soils in this region are young and have been formed approximately over the last 10,000 years.</w:t>
      </w:r>
      <w:r w:rsidR="00BB7F3A" w:rsidRPr="009867C1">
        <w:t xml:space="preserve"> Relative sea level has been historically dynamic; despite rising sea levels since the last glacial maximum, a</w:t>
      </w:r>
      <w:r w:rsidR="00377A33" w:rsidRPr="009867C1">
        <w:t xml:space="preserve"> recent study on the Douglas Channel (~160 km north of my study sites) found that isostatic rebound has led to a ~90m rise in the land relative to sea level in the last 14,000 years </w:t>
      </w:r>
      <w:r w:rsidR="00377A33" w:rsidRPr="009867C1">
        <w:fldChar w:fldCharType="begin"/>
      </w:r>
      <w:r w:rsidR="00AC0205">
        <w:instrText xml:space="preserve"> ADDIN ZOTERO_ITEM CSL_CITATION {"citationID":"XbKx9UPg","properties":{"formattedCitation":"(Letham et al., 2021)","plainCitation":"(Letham et al., 2021)","noteIndex":0},"citationItems":[{"id":10378,"uris":["http://zotero.org/users/2189142/items/QFCX9FRD"],"itemData":{"id":10378,"type":"article-journal","abstract":"We present a post-glacial relative sea level (RSL) curve for the Central Douglas Channel region on the northern Northwest Coast of North America spanning the last 14,500 years, constrained by 68 radiocarbon dated index and limiting points derived from multiple RSL proxies. We evaluate each proxy based on the reliability and specificity of the inference for indicating RSL position, allowing us to weight different methods of data collection. We determine that central Douglas Channel was ice-free following the Last Glacial Maximum by </w:instrText>
      </w:r>
      <w:r w:rsidR="00AC0205">
        <w:rPr>
          <w:rFonts w:ascii="Cambria Math" w:hAnsi="Cambria Math" w:cs="Cambria Math"/>
        </w:rPr>
        <w:instrText>∼</w:instrText>
      </w:r>
      <w:r w:rsidR="00AC0205">
        <w:instrText xml:space="preserve">14,500 BP and RSL was at least 90 m higher than today. Isostatic rebound caused RSL to fall to 21 m asl by 11,500 BP, though there may have been a glacial re-advance that would have paused RSL fall around the beginning of the Younger Dryas. RSL fell to 10–15 m asl by 10,000 BP, and continued to drop at a slower rate towards its current position, which it reached by </w:instrText>
      </w:r>
      <w:r w:rsidR="00AC0205">
        <w:rPr>
          <w:rFonts w:ascii="Cambria Math" w:hAnsi="Cambria Math" w:cs="Cambria Math"/>
        </w:rPr>
        <w:instrText>∼</w:instrText>
      </w:r>
      <w:r w:rsidR="00AC0205">
        <w:instrText xml:space="preserve">1800 years ago. This is the first well-constrained RSL reconstruction for a nearly 400 km stretch between the northern and central coasts of British Columbia, Canada. This reconstruction provides information about the timing and rate of deglaciation of western North America and exemplifies variability among sea level trends across the region. Long-term RSL reconstructions are integral to explorations of coastal change and archaeological inquiries into early coastal occupations.","container-title":"Quaternary Science Reviews","DOI":"10.1016/j.quascirev.2021.106991","ISSN":"0277-3791","journalAbbreviation":"Quaternary Science Reviews","language":"en","page":"106991","source":"ScienceDirect","title":"A post-glacial relative sea level curve for the central Douglas Channel area, British Columbia, Canada","volume":"263","author":[{"family":"Letham","given":"Bryn"},{"family":"Lepofsky","given":"Dana"},{"family":"Greening","given":"Spencer"}],"issued":{"date-parts":[["2021",7,1]]},"citation-key":"letham_2021"}}],"schema":"https://github.com/citation-style-language/schema/raw/master/csl-citation.json"} </w:instrText>
      </w:r>
      <w:r w:rsidR="00377A33" w:rsidRPr="009867C1">
        <w:fldChar w:fldCharType="separate"/>
      </w:r>
      <w:r w:rsidR="0042141C" w:rsidRPr="009867C1">
        <w:t>(Letham et al., 2021)</w:t>
      </w:r>
      <w:r w:rsidR="00377A33" w:rsidRPr="009867C1">
        <w:fldChar w:fldCharType="end"/>
      </w:r>
      <w:r w:rsidR="00377A33" w:rsidRPr="009867C1">
        <w:t>.</w:t>
      </w:r>
      <w:r w:rsidR="00BB7F3A" w:rsidRPr="009867C1">
        <w:t xml:space="preserve"> The presence of ecologically relevant forest refugia during the last glacial maximum remains controversial. Recent studies considering North American martin (</w:t>
      </w:r>
      <w:r w:rsidR="00BB7F3A" w:rsidRPr="009867C1">
        <w:rPr>
          <w:i/>
          <w:iCs/>
        </w:rPr>
        <w:t>Martes caurina</w:t>
      </w:r>
      <w:r w:rsidR="00BB7F3A" w:rsidRPr="009867C1">
        <w:t xml:space="preserve">), deermouse, and vole genomes concluded that there exists distinct coastal clades of these animals, indicating that there were persistent forest habitat remnants over the last glacial maximum </w:t>
      </w:r>
      <w:r w:rsidR="00BB7F3A" w:rsidRPr="009867C1">
        <w:fldChar w:fldCharType="begin"/>
      </w:r>
      <w:r w:rsidR="00AC0205">
        <w:instrText xml:space="preserve"> ADDIN ZOTERO_ITEM CSL_CITATION {"citationID":"vm59AmWX","properties":{"formattedCitation":"(Colella et al., 2020, 2021; Sawyer et al., 2019)","plainCitation":"(Colella et al., 2020, 2021; Sawyer et al., 2019)","noteIndex":0},"citationItems":[{"id":10385,"uris":["http://zotero.org/users/2189142/items/SKFJAARR"],"itemData":{"id":10385,"type":"article-journal","container-title":"Authorea Preprints","note":"publisher: Authorea","source":"Google Scholar","title":"Whole-genome sequencing reveals a deeper history of dynamic biotic complexity along North America's North Pacific Coast","author":[{"family":"Colella","given":"Jocelyn"},{"family":"Lan","given":"Tianying"},{"family":"Talbot","given":"Sandra"},{"family":"Lindqvist","given":"Charlotte"},{"family":"Cook","given":"Joseph"}],"issued":{"date-parts":[["2020"]]},"citation-key":"colella_2020"}},{"id":10370,"uris":["http://zotero.org/users/2189142/items/GS3XYEFC"],"itemData":{"id":10370,"type":"article-journal","abstract":"Aim Numerous glacial refugia have been hypothesized along North America's North Pacific Coast that may have increased divergence of refugial taxa, leading to elevated endemism and subsequently clustered hybrid zones following deglaciation. The locations and community composition of these ice-free areas remains controversial, but whole-genome sequences now enable detailed analysis of the demographic and evolutionary histories of refugial taxa. Here, we use genomic data to test spatial and temporal processes of diversification among martens with respect to the Coastal Refugium Hypothesis, to understand the role of climate cycling in shaping diversity across complex landscapes. Location North America and North Pacific Coast archipelagos. Taxon North American martens (Martes). Methods Short-read whole-genome resequencing data were generated for 11 martens: four M. americana, four M. caurina, two hybrids, and one outgroup (Martes zibellina). Sampling was representative of known genetic clades within New World martens, including sampling within insular and continental hybrid zones and along the North Pacific Coast (five island populations). ADMIXTURE, F-statistics, and D-statistics (ABBA-BABA) were used to identify introgression and infer directionality. Heterozygosity densities, estimated via PSMC, were used to characterize historical demography at and below the species level to infer refugial and colonization processes. Results Forest-associated Pacific martens (M. caurina) are divided into distinct insular and continental clades consistent with the Coastal Refugium Hypothesis. There was no evidence of introgression on islands that received historical translocations of American pine martens (M. americana), but introgression was detected in two active zones of secondary contact: one insular and one continental. Only early-generational hybrids were identified across multiple hybrid zones, a pattern consistent with potential genetic swamping of M. caurina by M. americana. Main conclusions Despite an incomplete fossil record, genomic evidence supports the persistence of forest-associated martens, likely the insular Pacific marten lineage, along the western edges of the Alexander Archipelago during the Last Glacial Maximum. This discovery informs our understanding of refugial paleoenvironments, critical to interpreting refugial timing, duration, and community composition. Genomic reevaluations of other taxa along North America's North Pacific Coast may yield new and deeper perspectives on the history of refugial forest communities and the role of dynamic climate shifts in shaping high-latitude diversity across complex insular landscapes.","container-title":"Journal of Biogeography","DOI":"10.1111/jbi.14068","ISSN":"1365-2699","issue":"5","language":"en","note":"_eprint: https://onlinelibrary.wiley.com/doi/pdf/10.1111/jbi.14068","page":"1153-1169","source":"Wiley Online Library","title":"Whole-genome resequencing reveals persistence of forest-associated mammals in Late Pleistocene refugia along North America’s North Pacific Coast","volume":"48","author":[{"family":"Colella","given":"Jocelyn"},{"family":"Lan","given":"Tianying"},{"family":"Talbot","given":"Sandra L."},{"family":"Lindqvist","given":"Charlotte"},{"family":"Cook","given":"Joseph A."}],"issued":{"date-parts":[["2021"]]},"citation-key":"colella_2021"}},{"id":10389,"uris":["http://zotero.org/users/2189142/items/LS4G7XFU"],"itemData":{"id":10389,"type":"article-journal","abstract":"Although islands are of long-standing interest to biologists, only a handful of studies have investigated the role of climatic history in shaping evolutionary diversification in high-latitude archipelagos. In this study of the Alexander Archipelago (AA) of Southeast Alaska, we address the impact of glacial cycles on geographic genetic structure for three mammals co-distributed along the North Pacific Coast. We examined variation in mitochondrial and nuclear loci for long-tailed voles (Microtus longicaudus), northwestern deermice (Peromyscus keeni), and dusky shrews (Sorex monticola), and then tested hypotheses derived from Species Distribution Models, reconstructions of paleoshorelines, and island area and isolation. In all three species, we identified paleoendemic clades that likely originated in coastal refugia, a finding consistent with other paleoendemic lineages identified in the region such as ermine. Although there is spatial concordance at the regional level for endemism, finer scale spatial and temporal patterns are less clearly defined. Demographic expansion across the region for these distinctive clades is also evident and highlights the dynamic history of Late Quaternary contraction and expansion that characterizes high-latitude species.","container-title":"Ecology and Evolution","DOI":"10.1002/ece3.4861","ISSN":"2045-7758","issue":"4","language":"en","note":"_eprint: https://onlinelibrary.wiley.com/doi/pdf/10.1002/ece3.4861","page":"1777-1797","source":"Wiley Online Library","title":"Living on the edge: Exploring the role of coastal refugia in the Alexander Archipelago of Alaska","title-short":"Living on the edge","volume":"9","author":[{"family":"Sawyer","given":"Yadéeh E."},{"family":"MacDonald","given":"Stephen O."},{"family":"Lessa","given":"Enrique P."},{"family":"Cook","given":"Joseph A."}],"issued":{"date-parts":[["2019"]]},"citation-key":"sawyer_2019"}}],"schema":"https://github.com/citation-style-language/schema/raw/master/csl-citation.json"} </w:instrText>
      </w:r>
      <w:r w:rsidR="00BB7F3A" w:rsidRPr="009867C1">
        <w:fldChar w:fldCharType="separate"/>
      </w:r>
      <w:r w:rsidR="0042141C" w:rsidRPr="009867C1">
        <w:t>(Colella et al., 2020, 2021; Sawyer et al., 2019)</w:t>
      </w:r>
      <w:r w:rsidR="00BB7F3A" w:rsidRPr="009867C1">
        <w:fldChar w:fldCharType="end"/>
      </w:r>
      <w:r w:rsidR="00BB7F3A" w:rsidRPr="009867C1">
        <w:t xml:space="preserve">.   </w:t>
      </w:r>
    </w:p>
    <w:p w14:paraId="0F73F1DF" w14:textId="77777777" w:rsidR="008855BA" w:rsidRPr="009867C1" w:rsidRDefault="008855BA" w:rsidP="008855BA">
      <w:pPr>
        <w:ind w:firstLine="720"/>
      </w:pPr>
    </w:p>
    <w:p w14:paraId="32BA6CCA" w14:textId="77777777" w:rsidR="00495E89" w:rsidRPr="009867C1" w:rsidRDefault="00495E89" w:rsidP="00495E89">
      <w:pPr>
        <w:pStyle w:val="Heading8"/>
      </w:pPr>
      <w:bookmarkStart w:id="308" w:name="_Toc99385526"/>
      <w:r w:rsidRPr="009867C1">
        <w:t>Regional Soils</w:t>
      </w:r>
      <w:bookmarkEnd w:id="308"/>
    </w:p>
    <w:p w14:paraId="34EC53CE" w14:textId="799AD722" w:rsidR="00495E89" w:rsidRPr="009867C1" w:rsidRDefault="00495E89" w:rsidP="008855BA">
      <w:pPr>
        <w:ind w:firstLine="720"/>
      </w:pPr>
      <w:r w:rsidRPr="009867C1">
        <w:t xml:space="preserve">Recent glacial dynamics imply that soil formation has occurred only in the last ~14,000 years. Regional soil maps show a general region of ferro-humic podzols extending from northern Vancouver Island to Prince Rupert; the easternmost coast of the central region however are dominated by a narrow band of folisols which characterized all but one of my sites </w:t>
      </w:r>
      <w:r w:rsidRPr="009867C1">
        <w:fldChar w:fldCharType="begin"/>
      </w:r>
      <w:r w:rsidR="00AC0205">
        <w:instrText xml:space="preserve"> ADDIN ZOTERO_ITEM CSL_CITATION {"citationID":"MOgr2qFu","properties":{"formattedCitation":"(Carpenter et al., 2014)","plainCitation":"(Carpenter et al., 2014)","noteIndex":0},"citationItems":[{"id":904,"uris":["http://zotero.org/users/2189142/items/AWEPCWBQ"],"itemData":{"id":904,"type":"article-journal","abstract":"Temperate rainforests have high conservation and natural resource value, but the soils of this bioregion have not previously been studied as a unit. Here we examine the soils of North America's Pacific coastal temperate rainforests, utilizing databases from the United States Natural Resources Conservation Service and the Canadian Centre for Land and Biological Resources Research to (i) identify the soil taxa, (ii) evaluate the soil properties, and (iii) compare soils in temperate and tropical rainforests. There are strong climate gradients within these temperate rainforests, with the mean temperature declining from 11.7 °C to 6.1 °C and the mean annual precipitation increasing from 1500 mm to around 3000 mm from northern California (CA) to northwestern British Columbia (BC) and southeastern Alaska (AK). There is also high pedodiversity in this region, with soils representing 8 orders and 31 suborders, and, in the US portion, 65 great-groups, 142 subgroups, and 482 soil series. Twenty-six percent of described soil series are endemic to temperate rainforests in the US portion of the region, with the proportion declining with latitude. Dominant soil suborders vary along the latitudinal gradient from Humults–Udalfs/Ustalfs–Udepts–Udults in CA, to Udands–Udepts–Udands Humults in western Oregon (OR) and Washington (WA), to Orthods–Folists in BC and Cryods–Saprists in AK. The dominant diagnostic horizons are ochric/argillic (CA), umbric/cambic (OR, WA), and albic–histic/spodic (BC, AK). Whereas soils in CA, BC, and AK tend to have a mixed mineralogy, those in northern OR and WA commonly are derived from volcaniclastic materials and have a ferrihydritic or isotic mineralogy. Soils in this region are generally deep, hold abundant moisture, are not subject to deep-freezing, and are enriched in extractable Fe and Al. Organic C and total N contents are high overall, but also variable, with right-skewed distributions. Compared to tropical rainforest soils in the Pacific Basin, Pacific temperate rainforest have greater weatherable minerals, cation-exchange capacities, soil organic C, and total exchangeable base cations. However, soils of both bioregions tend to be deep, acidic Al-saturated, and can have large N reservoirs. This investigation provides a foundation for a more unified understanding of the soils of a globally significant bioregion.","container-title":"Geoderma","DOI":"10.1016/j.geoderma.2014.04.023","ISSN":"0016-7061","journalAbbreviation":"Geoderma","page":"250-264","source":"ScienceDirect","title":"Soils of temperate rainforests of the North American Pacific Coast","volume":"230–231","author":[{"family":"Carpenter","given":"Dunbar N."},{"family":"Bockheim","given":"James G."},{"family":"Reich","given":"Paul F."}],"issued":{"date-parts":[["2014",10]]},"citation-key":"carpenter_2014"}}],"schema":"https://github.com/citation-style-language/schema/raw/master/csl-citation.json"} </w:instrText>
      </w:r>
      <w:r w:rsidRPr="009867C1">
        <w:fldChar w:fldCharType="separate"/>
      </w:r>
      <w:r w:rsidR="0042141C" w:rsidRPr="009867C1">
        <w:t>(Carpenter et al., 2014)</w:t>
      </w:r>
      <w:r w:rsidRPr="009867C1">
        <w:fldChar w:fldCharType="end"/>
      </w:r>
      <w:r w:rsidRPr="009867C1">
        <w:t xml:space="preserve">. Folisols </w:t>
      </w:r>
      <w:r w:rsidRPr="009867C1">
        <w:rPr>
          <w:lang w:val="en-CA"/>
        </w:rPr>
        <w:t xml:space="preserve">(“Histosol – Folists” in the American system), </w:t>
      </w:r>
      <w:r w:rsidRPr="009867C1">
        <w:t xml:space="preserve">are organic soils, consisting of largely homogenous deep and well decomposed organic layers </w:t>
      </w:r>
      <w:r w:rsidRPr="009867C1">
        <w:fldChar w:fldCharType="begin"/>
      </w:r>
      <w:r w:rsidR="00AC0205">
        <w:instrText xml:space="preserve"> ADDIN ZOTERO_ITEM CSL_CITATION {"citationID":"hzETdH08","properties":{"formattedCitation":"(C. A. Fox et al., 1987; C. A. Fox &amp; Tarnocai, 2011)","plainCitation":"(C. A. Fox et al., 1987; C. A. Fox &amp; Tarnocai, 2011)","noteIndex":0},"citationItems":[{"id":1294,"uris":["http://zotero.org/users/2189142/items/54BVQPN2"],"itemData":{"id":1294,"type":"article-journal","container-title":"Canadian journal of soil science","issue":"4","page":"765–778","source":"Google Scholar","title":"Classification, macromorphology and chemical characteristics of Folisols from British Columbia","volume":"67","author":[{"family":"Fox","given":"C. A."},{"family":"TARNOCAI","given":"C."},{"family":"TROWBRIDGE","given":"R."}],"issued":{"date-parts":[["1987"]]},"citation-key":"fox_1987"}},{"id":1292,"uris":["http://zotero.org/users/2189142/items/6SX9T85W"],"itemData":{"id":1292,"type":"article-journal","abstract":"Fox, C. A. and Tarnocai, C. 2011. Organic soils of Canada: Part 2. Upland Organic soils. Can. J. Soil Sci. 91: 823–842. Soils from upland moderately well-drained environments with thick accumulations (&gt;10 cm over lithic contact; &gt;40 cm over mineral soil) of folic materials (forest materials, branches, roots, and other non-wetland materials) are classified within the Folisol great group in the Organic Order since the 1987 revision of the Canadian System of Soil Classification. The Folisol great group correlates to Folist in Keys to Soil Taxonomy and Folic Histosol in World Reference Base for Soil Resources (FAO). Two subgroups – Hemic and Humic Folisol – account for most Folisols addressing the state of decomposition of folic materials. The Lignic and Histic Folisol subgroups identify specific kinds of folic accumulations. Folisolic soils can occur throughout Canada, in forest, heath, and alpine ecosytems with cool, moist, humid environments, but are most prominent within the Pacific Maritime Ecozone; area..., Fox, C. A. et Tarnocai, C. 2011. Sols organique au canada: Partie 2. Sols organiques des hautes terres. Can. J. Soil Sci. 91: 823–842. Depuis la révision, en 1987, du Système canadien de classification des sols, les sols des hautes terres modérément bien drainés qui se caractérisent par l'accumulation d'une couche épaisse (&gt; 10 cm sur l'assise rocheuse; &gt; 40 cm sur le sol minéral) de matériaux foliques (matériaux d'origine forestière, branches, racines et autres matériaux ne venant pas des terres humides) sont classés dans le grand groupe des folisols, de l'ordre des sols organiques. Ce groupe correspond à la catégorie « Folist » dans keys to Soil Taxonomy et à celle des Histosols Foliques dans la Base de référence mondiale pour les ressources en sols de la FAO. La plupart des Folisols se retrouvent dans deux sous-groupes (Folisols hémiques et humiques), selon le degré de décomposition des matériaux foliques. Les sous-groupes des Folisols ligniques et histiques identifient une accumulation particulière de...","container-title":"Canadian Journal of Soil Science","DOI":"10.4141/cjss10032","ISSN":"0008-4271","issue":"5","journalAbbreviation":"Can. J. Soil. Sci.","page":"823-842","source":"NRC Research Press","title":"Organic soils of Canada: Part 2. Upland Organic soils","title-short":"Organic soils of Canada","volume":"91","author":[{"family":"Fox","given":"C.A."},{"family":"Tarnocai","given":"Charles"}],"issued":{"date-parts":[["2011",1,1]]},"citation-key":"fox_2011"}}],"schema":"https://github.com/citation-style-language/schema/raw/master/csl-citation.json"} </w:instrText>
      </w:r>
      <w:r w:rsidRPr="009867C1">
        <w:fldChar w:fldCharType="separate"/>
      </w:r>
      <w:r w:rsidR="0042141C" w:rsidRPr="009867C1">
        <w:t>(C. A. Fox et al., 1987; C. A. Fox &amp; Tarnocai, 2011)</w:t>
      </w:r>
      <w:r w:rsidRPr="009867C1">
        <w:fldChar w:fldCharType="end"/>
      </w:r>
      <w:r w:rsidRPr="009867C1">
        <w:t>. They are relatively understudied</w:t>
      </w:r>
      <w:r w:rsidR="00A07E8E" w:rsidRPr="009867C1">
        <w:t xml:space="preserve">, and their classification in the Canadian system </w:t>
      </w:r>
      <w:r w:rsidR="00BD585D" w:rsidRPr="009867C1">
        <w:t xml:space="preserve">is incomplete </w:t>
      </w:r>
      <w:r w:rsidR="00BB7F3A" w:rsidRPr="009867C1">
        <w:fldChar w:fldCharType="begin"/>
      </w:r>
      <w:r w:rsidR="00AC0205">
        <w:instrText xml:space="preserve"> ADDIN ZOTERO_ITEM CSL_CITATION {"citationID":"MN0rbyUL","properties":{"formattedCitation":"(Anderson &amp; Scott Smith, 2011; C. A. Fox &amp; Tarnocai, 2011)","plainCitation":"(Anderson &amp; Scott Smith, 2011; C. A. Fox &amp; Tarnocai, 2011)","noteIndex":0},"citationItems":[{"id":2015,"uris":["http://zotero.org/users/2189142/items/3JGW8YVU"],"itemData":{"id":2015,"type":"article-journal","container-title":"Canadian Journal of Soil Science","issue":"5","note":"publisher: NRC Research Press","page":"675–694","source":"Google Scholar","title":"A history of soil classification and soil survey in Canada: Personal perspectives","title-short":"A history of soil classification and soil survey in Canada","volume":"91","author":[{"family":"Anderson","given":"Darwin W."},{"family":"Scott Smith","given":"C. A."}],"issued":{"date-parts":[["2011"]]},"citation-key":"anderson_2011"}},{"id":1292,"uris":["http://zotero.org/users/2189142/items/6SX9T85W"],"itemData":{"id":1292,"type":"article-journal","abstract":"Fox, C. A. and Tarnocai, C. 2011. Organic soils of Canada: Part 2. Upland Organic soils. Can. J. Soil Sci. 91: 823–842. Soils from upland moderately well-drained environments with thick accumulations (&gt;10 cm over lithic contact; &gt;40 cm over mineral soil) of folic materials (forest materials, branches, roots, and other non-wetland materials) are classified within the Folisol great group in the Organic Order since the 1987 revision of the Canadian System of Soil Classification. The Folisol great group correlates to Folist in Keys to Soil Taxonomy and Folic Histosol in World Reference Base for Soil Resources (FAO). Two subgroups – Hemic and Humic Folisol – account for most Folisols addressing the state of decomposition of folic materials. The Lignic and Histic Folisol subgroups identify specific kinds of folic accumulations. Folisolic soils can occur throughout Canada, in forest, heath, and alpine ecosytems with cool, moist, humid environments, but are most prominent within the Pacific Maritime Ecozone; area..., Fox, C. A. et Tarnocai, C. 2011. Sols organique au canada: Partie 2. Sols organiques des hautes terres. Can. J. Soil Sci. 91: 823–842. Depuis la révision, en 1987, du Système canadien de classification des sols, les sols des hautes terres modérément bien drainés qui se caractérisent par l'accumulation d'une couche épaisse (&gt; 10 cm sur l'assise rocheuse; &gt; 40 cm sur le sol minéral) de matériaux foliques (matériaux d'origine forestière, branches, racines et autres matériaux ne venant pas des terres humides) sont classés dans le grand groupe des folisols, de l'ordre des sols organiques. Ce groupe correspond à la catégorie « Folist » dans keys to Soil Taxonomy et à celle des Histosols Foliques dans la Base de référence mondiale pour les ressources en sols de la FAO. La plupart des Folisols se retrouvent dans deux sous-groupes (Folisols hémiques et humiques), selon le degré de décomposition des matériaux foliques. Les sous-groupes des Folisols ligniques et histiques identifient une accumulation particulière de...","container-title":"Canadian Journal of Soil Science","DOI":"10.4141/cjss10032","ISSN":"0008-4271","issue":"5","journalAbbreviation":"Can. J. Soil. Sci.","page":"823-842","source":"NRC Research Press","title":"Organic soils of Canada: Part 2. Upland Organic soils","title-short":"Organic soils of Canada","volume":"91","author":[{"family":"Fox","given":"C.A."},{"family":"Tarnocai","given":"Charles"}],"issued":{"date-parts":[["2011",1,1]]},"citation-key":"fox_2011"}}],"schema":"https://github.com/citation-style-language/schema/raw/master/csl-citation.json"} </w:instrText>
      </w:r>
      <w:r w:rsidR="00BB7F3A" w:rsidRPr="009867C1">
        <w:fldChar w:fldCharType="separate"/>
      </w:r>
      <w:r w:rsidR="0042141C" w:rsidRPr="009867C1">
        <w:t>(Anderson &amp; Scott Smith, 2011; C. A. Fox &amp; Tarnocai, 2011)</w:t>
      </w:r>
      <w:r w:rsidR="00BB7F3A" w:rsidRPr="009867C1">
        <w:fldChar w:fldCharType="end"/>
      </w:r>
      <w:r w:rsidRPr="009867C1">
        <w:t xml:space="preserve">. </w:t>
      </w:r>
    </w:p>
    <w:p w14:paraId="6957D82E" w14:textId="77777777" w:rsidR="00495E89" w:rsidRPr="009867C1" w:rsidRDefault="00495E89" w:rsidP="00495E89">
      <w:pPr>
        <w:pStyle w:val="Heading8"/>
      </w:pPr>
      <w:bookmarkStart w:id="309" w:name="_Toc99385527"/>
      <w:r w:rsidRPr="009867C1">
        <w:t>Site details</w:t>
      </w:r>
      <w:bookmarkEnd w:id="309"/>
    </w:p>
    <w:p w14:paraId="6A0D4E73" w14:textId="485D4687" w:rsidR="00495E89" w:rsidRPr="009867C1" w:rsidRDefault="00495E89" w:rsidP="008855BA">
      <w:pPr>
        <w:ind w:firstLine="720"/>
      </w:pPr>
      <w:r w:rsidRPr="009867C1">
        <w:t xml:space="preserve">Watershed sites used in this thesis were largely established by the Reynolds lab, Simon Fraser University. The riparian zones I examined were well drained and frequently with high slopes. The have abundant weatherable materials, are not subject to deep freezing, and can hold high levels of moisture. </w:t>
      </w:r>
      <w:r w:rsidR="00840B50" w:rsidRPr="009867C1">
        <w:t xml:space="preserve">Investigated sites can be found on the map in </w:t>
      </w:r>
      <w:r w:rsidR="00840B50" w:rsidRPr="009867C1">
        <w:fldChar w:fldCharType="begin"/>
      </w:r>
      <w:r w:rsidR="00840B50" w:rsidRPr="009867C1">
        <w:instrText xml:space="preserve"> REF _Ref76307004 \h </w:instrText>
      </w:r>
      <w:r w:rsidR="009867C1">
        <w:instrText xml:space="preserve"> \* MERGEFORMAT </w:instrText>
      </w:r>
      <w:r w:rsidR="00840B50" w:rsidRPr="009867C1">
        <w:fldChar w:fldCharType="separate"/>
      </w:r>
      <w:r w:rsidR="000667DB" w:rsidRPr="009867C1">
        <w:t xml:space="preserve">Figure </w:t>
      </w:r>
      <w:r w:rsidR="000667DB">
        <w:rPr>
          <w:noProof/>
        </w:rPr>
        <w:t>A</w:t>
      </w:r>
      <w:r w:rsidR="000667DB" w:rsidRPr="009867C1">
        <w:rPr>
          <w:noProof/>
        </w:rPr>
        <w:noBreakHyphen/>
      </w:r>
      <w:r w:rsidR="000667DB">
        <w:rPr>
          <w:noProof/>
        </w:rPr>
        <w:t>1</w:t>
      </w:r>
      <w:r w:rsidR="00840B50" w:rsidRPr="009867C1">
        <w:fldChar w:fldCharType="end"/>
      </w:r>
      <w:r w:rsidR="00840B50" w:rsidRPr="009867C1">
        <w:t xml:space="preserve">, and a list alongside selected variables in </w:t>
      </w:r>
      <w:r w:rsidR="00840B50" w:rsidRPr="009867C1">
        <w:fldChar w:fldCharType="begin"/>
      </w:r>
      <w:r w:rsidR="00840B50" w:rsidRPr="009867C1">
        <w:instrText xml:space="preserve"> REF _Ref76307042 \h </w:instrText>
      </w:r>
      <w:r w:rsidR="009867C1">
        <w:instrText xml:space="preserve"> \* MERGEFORMAT </w:instrText>
      </w:r>
      <w:r w:rsidR="00840B50" w:rsidRPr="009867C1">
        <w:fldChar w:fldCharType="separate"/>
      </w:r>
      <w:r w:rsidR="000667DB" w:rsidRPr="009867C1">
        <w:t xml:space="preserve">Table </w:t>
      </w:r>
      <w:r w:rsidR="000667DB">
        <w:rPr>
          <w:noProof/>
        </w:rPr>
        <w:t>A</w:t>
      </w:r>
      <w:r w:rsidR="000667DB" w:rsidRPr="009867C1">
        <w:rPr>
          <w:noProof/>
        </w:rPr>
        <w:noBreakHyphen/>
      </w:r>
      <w:r w:rsidR="000667DB">
        <w:rPr>
          <w:noProof/>
        </w:rPr>
        <w:t>1</w:t>
      </w:r>
      <w:r w:rsidR="00840B50" w:rsidRPr="009867C1">
        <w:fldChar w:fldCharType="end"/>
      </w:r>
      <w:r w:rsidR="00840B50" w:rsidRPr="009867C1">
        <w:t xml:space="preserve">. </w:t>
      </w:r>
    </w:p>
    <w:p w14:paraId="695C6509" w14:textId="77777777" w:rsidR="00495E89" w:rsidRPr="009867C1" w:rsidRDefault="00495E89" w:rsidP="00495E89"/>
    <w:p w14:paraId="189CF186" w14:textId="77777777" w:rsidR="00495E89" w:rsidRPr="009867C1" w:rsidRDefault="00495E89" w:rsidP="00495E89">
      <w:pPr>
        <w:pStyle w:val="Heading8"/>
      </w:pPr>
      <w:bookmarkStart w:id="310" w:name="_Toc99385528"/>
      <w:r w:rsidRPr="009867C1">
        <w:t>Watershed size indices</w:t>
      </w:r>
      <w:bookmarkEnd w:id="310"/>
    </w:p>
    <w:p w14:paraId="57EA60B1" w14:textId="19A3FB88" w:rsidR="00495E89" w:rsidRPr="009867C1" w:rsidRDefault="00495E89" w:rsidP="008855BA">
      <w:pPr>
        <w:ind w:firstLine="720"/>
      </w:pPr>
      <w:r w:rsidRPr="009867C1">
        <w:t>Previous work has shown watershed size to be positively associated with salmon run size, but negatively correlated with riparian vegetation foliar δ</w:t>
      </w:r>
      <w:r w:rsidRPr="009867C1">
        <w:rPr>
          <w:vertAlign w:val="superscript"/>
        </w:rPr>
        <w:t>15</w:t>
      </w:r>
      <w:r w:rsidRPr="009867C1">
        <w:t xml:space="preserve">N ratios </w:t>
      </w:r>
      <w:r w:rsidRPr="009867C1">
        <w:fldChar w:fldCharType="begin"/>
      </w:r>
      <w:r w:rsidR="00AC0205">
        <w:instrText xml:space="preserve"> ADDIN ZOTERO_ITEM CSL_CITATION {"citationID":"GNRZku5o","properties":{"formattedCitation":"(Hocking &amp; Reimchen, 2009)","plainCitation":"(Hocking &amp; Reimchen, 2009)","noteIndex":0},"citationItems":[{"id":2575,"uris":["http://zotero.org/users/2189142/items/9C5LJ5GW"],"itemData":{"id":2575,"type":"article-journal","abstract":"Resource subsidies across habitat boundaries can structure recipient communities and food webs. In the northern Pacific region, bears Ursus spp. foraging on anadromous salmon Oncorhynchus spp. provide a key link between marine and terrestrial ecosystems, with salmon density, fish size and watershed size as potential predictors of the magnitude of marine subsidy to terrestrial habitats. We use nitrogen and carbon stable isotopes to provide an assessment of the patterns of marine-enrichment in riparian plants (11 species, 4 guilds) and litter invertebrates (4 guilds) sampled from 27 watersheds in coastal British Columbia, Canada. Watersheds occurred in three geographical regions (Vancouver Island, mainland midcoast and Haida Gwaii) and varied in size, and in biomass (kg m−1 of spawning length) and species of salmon (chum O. keta, pink O. gorbuscha and coho O. kisutch). δ15N values in all plant species and invertebrate guilds were positively predicted by total salmon biomass (kg m−1) and negatively predicted by watershed size. We observed replicated parallel slopes among plant species and invertebrate guilds across the gradient in salmon biomass, with differences in means hypothesized to be due to plant fractionation and animal trophic position. As such, we derived a watershed δ15N-index averaged across guilds, and using an information theoretic approach we find that the biomass of chum salmon is a much stronger predictor of the δ15N-index than either pink or coho salmon, or the sum biomass of all species. The top linear model contained chum biomass and watershed size. Chum salmon biomass independently predicted δ15N-index variation in all three regions of British Columbia. Chum salmon are larger than pink or coho and provide an energetic reward for bears that facilitates carcass transfer, tissue selective foraging, and nutrient distribution by insect scavengers. Analyses of biodiversity and habitat data across many watersheds moves towards a long-term goal in fisheries ecology to better integrate ecosystem values in salmon conservation.","container-title":"Oikos","DOI":"https://doi.org/10.1111/j.1600-0706.2009.17302.x","ISSN":"1600-0706","issue":"9","language":"en","note":"_eprint: https://onlinelibrary.wiley.com/doi/pdf/10.1111/j.1600-0706.2009.17302.x","page":"1307-1318","source":"Wiley Online Library","title":"Salmon species, density and watershed size predict magnitude of marine enrichment in riparian food webs","volume":"118","author":[{"family":"Hocking","given":"Morgan D."},{"family":"Reimchen","given":"Thomas E."}],"issued":{"date-parts":[["2009"]]},"citation-key":"hocking_2009"}}],"schema":"https://github.com/citation-style-language/schema/raw/master/csl-citation.json"} </w:instrText>
      </w:r>
      <w:r w:rsidRPr="009867C1">
        <w:fldChar w:fldCharType="separate"/>
      </w:r>
      <w:r w:rsidR="0042141C" w:rsidRPr="009867C1">
        <w:t>(Hocking &amp; Reimchen, 2009)</w:t>
      </w:r>
      <w:r w:rsidRPr="009867C1">
        <w:fldChar w:fldCharType="end"/>
      </w:r>
      <w:r w:rsidRPr="009867C1">
        <w:t xml:space="preserve">. To quantify correlations between watershed size (catchment area), stream magnitude, bank full width, spawning length, and salmon density (see Appendix B) these measures were compared in </w:t>
      </w:r>
      <w:r w:rsidR="00824CC5" w:rsidRPr="009867C1">
        <w:fldChar w:fldCharType="begin"/>
      </w:r>
      <w:r w:rsidR="00824CC5" w:rsidRPr="009867C1">
        <w:instrText xml:space="preserve"> REF _Ref76307112 \h </w:instrText>
      </w:r>
      <w:r w:rsidR="009867C1">
        <w:instrText xml:space="preserve"> \* MERGEFORMAT </w:instrText>
      </w:r>
      <w:r w:rsidR="00824CC5" w:rsidRPr="009867C1">
        <w:fldChar w:fldCharType="separate"/>
      </w:r>
      <w:r w:rsidR="000667DB" w:rsidRPr="009867C1">
        <w:t xml:space="preserve">Table </w:t>
      </w:r>
      <w:r w:rsidR="000667DB">
        <w:rPr>
          <w:noProof/>
        </w:rPr>
        <w:t>A</w:t>
      </w:r>
      <w:r w:rsidR="000667DB" w:rsidRPr="009867C1">
        <w:rPr>
          <w:noProof/>
        </w:rPr>
        <w:noBreakHyphen/>
      </w:r>
      <w:r w:rsidR="000667DB">
        <w:rPr>
          <w:noProof/>
        </w:rPr>
        <w:t>2</w:t>
      </w:r>
      <w:r w:rsidR="00824CC5" w:rsidRPr="009867C1">
        <w:fldChar w:fldCharType="end"/>
      </w:r>
      <w:r w:rsidRPr="009867C1">
        <w:t>. The strongest correlate with salmon density was bankfull width, which in turn was strongly correlated with catchment area. To further visualize and quantify shared variation amongst these watershed size indices, they ordinated via princip</w:t>
      </w:r>
      <w:r w:rsidR="00BD585D" w:rsidRPr="009867C1">
        <w:t>al</w:t>
      </w:r>
      <w:r w:rsidRPr="009867C1">
        <w:t xml:space="preserve"> components analysis (</w:t>
      </w:r>
      <w:r w:rsidR="00824CC5" w:rsidRPr="009867C1">
        <w:fldChar w:fldCharType="begin"/>
      </w:r>
      <w:r w:rsidR="00824CC5" w:rsidRPr="009867C1">
        <w:instrText xml:space="preserve"> REF _Ref76307124 \h </w:instrText>
      </w:r>
      <w:r w:rsidR="009867C1">
        <w:instrText xml:space="preserve"> \* MERGEFORMAT </w:instrText>
      </w:r>
      <w:r w:rsidR="00824CC5" w:rsidRPr="009867C1">
        <w:fldChar w:fldCharType="separate"/>
      </w:r>
      <w:r w:rsidR="000667DB" w:rsidRPr="009867C1">
        <w:t xml:space="preserve">Table </w:t>
      </w:r>
      <w:r w:rsidR="000667DB">
        <w:rPr>
          <w:noProof/>
        </w:rPr>
        <w:t>A</w:t>
      </w:r>
      <w:r w:rsidR="000667DB" w:rsidRPr="009867C1">
        <w:rPr>
          <w:noProof/>
        </w:rPr>
        <w:noBreakHyphen/>
      </w:r>
      <w:r w:rsidR="000667DB">
        <w:rPr>
          <w:noProof/>
        </w:rPr>
        <w:t>3</w:t>
      </w:r>
      <w:r w:rsidR="00824CC5" w:rsidRPr="009867C1">
        <w:fldChar w:fldCharType="end"/>
      </w:r>
      <w:r w:rsidR="00824CC5" w:rsidRPr="009867C1">
        <w:t xml:space="preserve">; </w:t>
      </w:r>
      <w:r w:rsidR="00824CC5" w:rsidRPr="009867C1">
        <w:fldChar w:fldCharType="begin"/>
      </w:r>
      <w:r w:rsidR="00824CC5" w:rsidRPr="009867C1">
        <w:instrText xml:space="preserve"> REF _Ref76307144 \h </w:instrText>
      </w:r>
      <w:r w:rsidR="009867C1">
        <w:instrText xml:space="preserve"> \* MERGEFORMAT </w:instrText>
      </w:r>
      <w:r w:rsidR="00824CC5" w:rsidRPr="009867C1">
        <w:fldChar w:fldCharType="separate"/>
      </w:r>
      <w:r w:rsidR="000667DB" w:rsidRPr="009867C1">
        <w:t xml:space="preserve">Figure </w:t>
      </w:r>
      <w:r w:rsidR="000667DB">
        <w:rPr>
          <w:noProof/>
        </w:rPr>
        <w:t>A</w:t>
      </w:r>
      <w:r w:rsidR="000667DB" w:rsidRPr="009867C1">
        <w:rPr>
          <w:noProof/>
        </w:rPr>
        <w:noBreakHyphen/>
      </w:r>
      <w:r w:rsidR="000667DB">
        <w:rPr>
          <w:noProof/>
        </w:rPr>
        <w:t>2</w:t>
      </w:r>
      <w:r w:rsidR="00824CC5" w:rsidRPr="009867C1">
        <w:fldChar w:fldCharType="end"/>
      </w:r>
      <w:r w:rsidRPr="009867C1">
        <w:t>). The first two axes of this ordination encompassed ~79% of the variation, and these were used in further analysis to control for watershed size.</w:t>
      </w:r>
    </w:p>
    <w:p w14:paraId="558C5D49" w14:textId="77777777" w:rsidR="00495E89" w:rsidRPr="009867C1" w:rsidRDefault="00495E89" w:rsidP="00495E89"/>
    <w:p w14:paraId="04E3A472" w14:textId="77777777" w:rsidR="00495E89" w:rsidRPr="009867C1" w:rsidRDefault="00495E89" w:rsidP="00495E89"/>
    <w:p w14:paraId="2C28649C" w14:textId="77777777" w:rsidR="00495E89" w:rsidRPr="009867C1" w:rsidRDefault="00495E89" w:rsidP="00495E89"/>
    <w:p w14:paraId="7450EAD3" w14:textId="11934178" w:rsidR="00C320E6" w:rsidRPr="009867C1" w:rsidRDefault="00C320E6" w:rsidP="00C320E6">
      <w:pPr>
        <w:keepNext/>
      </w:pPr>
    </w:p>
    <w:p w14:paraId="3F52C152" w14:textId="77777777" w:rsidR="001D5E22" w:rsidRPr="009867C1" w:rsidRDefault="001D5E22" w:rsidP="001D5E22">
      <w:pPr>
        <w:pStyle w:val="Caption"/>
        <w:keepNext/>
      </w:pPr>
      <w:r w:rsidRPr="009867C1">
        <w:rPr>
          <w:noProof/>
        </w:rPr>
        <w:drawing>
          <wp:inline distT="0" distB="0" distL="0" distR="0" wp14:anchorId="60A87698" wp14:editId="30E362A0">
            <wp:extent cx="6492713" cy="4095572"/>
            <wp:effectExtent l="0" t="0" r="381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1">
                      <a:extLst>
                        <a:ext uri="{28A0092B-C50C-407E-A947-70E740481C1C}">
                          <a14:useLocalDpi xmlns:a14="http://schemas.microsoft.com/office/drawing/2010/main" val="0"/>
                        </a:ext>
                      </a:extLst>
                    </a:blip>
                    <a:srcRect l="1579" r="9190"/>
                    <a:stretch/>
                  </pic:blipFill>
                  <pic:spPr bwMode="auto">
                    <a:xfrm>
                      <a:off x="0" y="0"/>
                      <a:ext cx="6514023" cy="4109014"/>
                    </a:xfrm>
                    <a:prstGeom prst="rect">
                      <a:avLst/>
                    </a:prstGeom>
                    <a:noFill/>
                    <a:ln>
                      <a:noFill/>
                    </a:ln>
                    <a:extLst>
                      <a:ext uri="{53640926-AAD7-44D8-BBD7-CCE9431645EC}">
                        <a14:shadowObscured xmlns:a14="http://schemas.microsoft.com/office/drawing/2010/main"/>
                      </a:ext>
                    </a:extLst>
                  </pic:spPr>
                </pic:pic>
              </a:graphicData>
            </a:graphic>
          </wp:inline>
        </w:drawing>
      </w:r>
    </w:p>
    <w:p w14:paraId="42F27328" w14:textId="18D32EC3" w:rsidR="00EA7FE6" w:rsidRPr="009867C1" w:rsidRDefault="00840B50" w:rsidP="00840B50">
      <w:pPr>
        <w:pStyle w:val="Caption"/>
        <w:sectPr w:rsidR="00EA7FE6" w:rsidRPr="009867C1" w:rsidSect="00EA08AB">
          <w:pgSz w:w="12240" w:h="15840"/>
          <w:pgMar w:top="1440" w:right="1440" w:bottom="1440" w:left="1440" w:header="706" w:footer="706" w:gutter="0"/>
          <w:cols w:space="708"/>
        </w:sectPr>
      </w:pPr>
      <w:bookmarkStart w:id="311" w:name="_Ref76307004"/>
      <w:bookmarkStart w:id="312" w:name="_Toc86773933"/>
      <w:r w:rsidRPr="009867C1">
        <w:t xml:space="preserve">Figure </w:t>
      </w:r>
      <w:r w:rsidRPr="009867C1">
        <w:fldChar w:fldCharType="begin"/>
      </w:r>
      <w:r w:rsidRPr="009867C1">
        <w:instrText xml:space="preserve"> STYLEREF 7 \s </w:instrText>
      </w:r>
      <w:r w:rsidRPr="009867C1">
        <w:fldChar w:fldCharType="separate"/>
      </w:r>
      <w:r w:rsidR="000667DB">
        <w:rPr>
          <w:noProof/>
        </w:rPr>
        <w:t>A</w:t>
      </w:r>
      <w:r w:rsidRPr="009867C1">
        <w:fldChar w:fldCharType="end"/>
      </w:r>
      <w:r w:rsidRPr="009867C1">
        <w:noBreakHyphen/>
      </w:r>
      <w:r w:rsidRPr="009867C1">
        <w:fldChar w:fldCharType="begin"/>
      </w:r>
      <w:r w:rsidRPr="009867C1">
        <w:instrText xml:space="preserve"> SEQ Appendix_Figure \* ARABIC \s 7 </w:instrText>
      </w:r>
      <w:r w:rsidRPr="009867C1">
        <w:fldChar w:fldCharType="separate"/>
      </w:r>
      <w:r w:rsidR="000667DB">
        <w:rPr>
          <w:noProof/>
        </w:rPr>
        <w:t>1</w:t>
      </w:r>
      <w:r w:rsidRPr="009867C1">
        <w:fldChar w:fldCharType="end"/>
      </w:r>
      <w:bookmarkEnd w:id="311"/>
      <w:r w:rsidRPr="009867C1">
        <w:t xml:space="preserve">: </w:t>
      </w:r>
      <w:r w:rsidR="001D5E22" w:rsidRPr="009867C1">
        <w:t>Map of study sites on the Central Coast examined in this thesis. Sites with waterfalls are indicated by a (W).</w:t>
      </w:r>
      <w:bookmarkEnd w:id="312"/>
    </w:p>
    <w:p w14:paraId="70B2A2BC" w14:textId="79E71B3A" w:rsidR="00EA7FE6" w:rsidRPr="009867C1" w:rsidRDefault="00840B50" w:rsidP="00840B50">
      <w:pPr>
        <w:pStyle w:val="Caption"/>
      </w:pPr>
      <w:bookmarkStart w:id="313" w:name="_Ref76307042"/>
      <w:r w:rsidRPr="009867C1">
        <w:t xml:space="preserve">Table </w:t>
      </w:r>
      <w:r w:rsidRPr="009867C1">
        <w:fldChar w:fldCharType="begin"/>
      </w:r>
      <w:r w:rsidRPr="009867C1">
        <w:instrText xml:space="preserve"> STYLEREF 7 \s </w:instrText>
      </w:r>
      <w:r w:rsidRPr="009867C1">
        <w:fldChar w:fldCharType="separate"/>
      </w:r>
      <w:r w:rsidR="000667DB">
        <w:rPr>
          <w:noProof/>
        </w:rPr>
        <w:t>A</w:t>
      </w:r>
      <w:r w:rsidRPr="009867C1">
        <w:fldChar w:fldCharType="end"/>
      </w:r>
      <w:r w:rsidRPr="009867C1">
        <w:noBreakHyphen/>
      </w:r>
      <w:r w:rsidRPr="009867C1">
        <w:fldChar w:fldCharType="begin"/>
      </w:r>
      <w:r w:rsidRPr="009867C1">
        <w:instrText xml:space="preserve"> SEQ Appendix_Table \* ARABIC \s 7 </w:instrText>
      </w:r>
      <w:r w:rsidRPr="009867C1">
        <w:fldChar w:fldCharType="separate"/>
      </w:r>
      <w:r w:rsidR="000667DB">
        <w:rPr>
          <w:noProof/>
        </w:rPr>
        <w:t>1</w:t>
      </w:r>
      <w:r w:rsidRPr="009867C1">
        <w:fldChar w:fldCharType="end"/>
      </w:r>
      <w:bookmarkEnd w:id="313"/>
      <w:r w:rsidRPr="009867C1">
        <w:t xml:space="preserve">: </w:t>
      </w:r>
      <w:r w:rsidR="00EA7FE6" w:rsidRPr="009867C1">
        <w:t>Table of streams investigated in this thesis with selected watershed-level variables.</w:t>
      </w:r>
    </w:p>
    <w:p w14:paraId="73C55908" w14:textId="77777777" w:rsidR="00EA7FE6" w:rsidRPr="009867C1" w:rsidRDefault="00EA7FE6" w:rsidP="00EA7FE6"/>
    <w:tbl>
      <w:tblPr>
        <w:tblpPr w:leftFromText="180" w:rightFromText="180" w:vertAnchor="page" w:horzAnchor="margin" w:tblpY="2017"/>
        <w:tblW w:w="129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7"/>
        <w:gridCol w:w="1275"/>
        <w:gridCol w:w="1495"/>
        <w:gridCol w:w="1389"/>
        <w:gridCol w:w="1293"/>
        <w:gridCol w:w="1004"/>
        <w:gridCol w:w="2934"/>
        <w:gridCol w:w="2513"/>
      </w:tblGrid>
      <w:tr w:rsidR="00EA7FE6" w:rsidRPr="009867C1" w14:paraId="26C3A1C3" w14:textId="77777777" w:rsidTr="00EA7FE6">
        <w:trPr>
          <w:trHeight w:val="254"/>
        </w:trPr>
        <w:tc>
          <w:tcPr>
            <w:tcW w:w="0" w:type="auto"/>
            <w:shd w:val="clear" w:color="auto" w:fill="auto"/>
            <w:noWrap/>
            <w:vAlign w:val="bottom"/>
            <w:hideMark/>
          </w:tcPr>
          <w:p w14:paraId="0063F6D6" w14:textId="77777777" w:rsidR="00EA7FE6" w:rsidRPr="009867C1" w:rsidRDefault="00EA7FE6" w:rsidP="00EA7FE6">
            <w:pPr>
              <w:spacing w:line="240" w:lineRule="auto"/>
              <w:rPr>
                <w:rFonts w:eastAsia="Times New Roman"/>
                <w:b/>
                <w:bCs/>
                <w:color w:val="000000"/>
                <w:sz w:val="16"/>
                <w:szCs w:val="16"/>
                <w:lang w:val="en-CA" w:eastAsia="en-CA"/>
              </w:rPr>
            </w:pPr>
            <w:r w:rsidRPr="009867C1">
              <w:rPr>
                <w:rFonts w:eastAsia="Times New Roman"/>
                <w:b/>
                <w:bCs/>
                <w:color w:val="000000"/>
                <w:sz w:val="16"/>
                <w:szCs w:val="16"/>
                <w:lang w:val="en-CA" w:eastAsia="en-CA"/>
              </w:rPr>
              <w:t>Stream</w:t>
            </w:r>
          </w:p>
        </w:tc>
        <w:tc>
          <w:tcPr>
            <w:tcW w:w="0" w:type="auto"/>
            <w:shd w:val="clear" w:color="auto" w:fill="auto"/>
            <w:noWrap/>
            <w:vAlign w:val="bottom"/>
            <w:hideMark/>
          </w:tcPr>
          <w:p w14:paraId="160118F5" w14:textId="77777777" w:rsidR="00EA7FE6" w:rsidRPr="009867C1" w:rsidRDefault="00EA7FE6" w:rsidP="00EA7FE6">
            <w:pPr>
              <w:spacing w:line="240" w:lineRule="auto"/>
              <w:rPr>
                <w:rFonts w:eastAsia="Times New Roman"/>
                <w:b/>
                <w:bCs/>
                <w:color w:val="000000"/>
                <w:sz w:val="16"/>
                <w:szCs w:val="16"/>
                <w:lang w:val="en-CA" w:eastAsia="en-CA"/>
              </w:rPr>
            </w:pPr>
            <w:r w:rsidRPr="009867C1">
              <w:rPr>
                <w:rFonts w:eastAsia="Times New Roman"/>
                <w:b/>
                <w:bCs/>
                <w:color w:val="000000"/>
                <w:sz w:val="16"/>
                <w:szCs w:val="16"/>
                <w:lang w:val="en-CA" w:eastAsia="en-CA"/>
              </w:rPr>
              <w:t>Stream Magnitude</w:t>
            </w:r>
          </w:p>
        </w:tc>
        <w:tc>
          <w:tcPr>
            <w:tcW w:w="0" w:type="auto"/>
            <w:shd w:val="clear" w:color="auto" w:fill="auto"/>
            <w:noWrap/>
            <w:vAlign w:val="bottom"/>
            <w:hideMark/>
          </w:tcPr>
          <w:p w14:paraId="43271EBC" w14:textId="77777777" w:rsidR="00EA7FE6" w:rsidRPr="009867C1" w:rsidRDefault="00EA7FE6" w:rsidP="00EA7FE6">
            <w:pPr>
              <w:spacing w:line="240" w:lineRule="auto"/>
              <w:rPr>
                <w:rFonts w:eastAsia="Times New Roman"/>
                <w:b/>
                <w:bCs/>
                <w:color w:val="000000"/>
                <w:sz w:val="16"/>
                <w:szCs w:val="16"/>
                <w:lang w:val="en-CA" w:eastAsia="en-CA"/>
              </w:rPr>
            </w:pPr>
            <w:r w:rsidRPr="009867C1">
              <w:rPr>
                <w:rFonts w:eastAsia="Times New Roman"/>
                <w:b/>
                <w:bCs/>
                <w:color w:val="000000"/>
                <w:sz w:val="16"/>
                <w:szCs w:val="16"/>
                <w:lang w:val="en-CA" w:eastAsia="en-CA"/>
              </w:rPr>
              <w:t>Catchment Area (km</w:t>
            </w:r>
            <w:r w:rsidRPr="009867C1">
              <w:rPr>
                <w:rFonts w:eastAsia="Times New Roman"/>
                <w:b/>
                <w:bCs/>
                <w:color w:val="000000"/>
                <w:sz w:val="16"/>
                <w:szCs w:val="16"/>
                <w:vertAlign w:val="superscript"/>
                <w:lang w:val="en-CA" w:eastAsia="en-CA"/>
              </w:rPr>
              <w:t>2</w:t>
            </w:r>
            <w:r w:rsidRPr="009867C1">
              <w:rPr>
                <w:rFonts w:eastAsia="Times New Roman"/>
                <w:b/>
                <w:bCs/>
                <w:color w:val="000000"/>
                <w:sz w:val="16"/>
                <w:szCs w:val="16"/>
                <w:lang w:val="en-CA" w:eastAsia="en-CA"/>
              </w:rPr>
              <w:t>)</w:t>
            </w:r>
          </w:p>
        </w:tc>
        <w:tc>
          <w:tcPr>
            <w:tcW w:w="0" w:type="auto"/>
            <w:shd w:val="clear" w:color="auto" w:fill="auto"/>
            <w:noWrap/>
            <w:vAlign w:val="bottom"/>
            <w:hideMark/>
          </w:tcPr>
          <w:p w14:paraId="4ED2EF30" w14:textId="77777777" w:rsidR="00EA7FE6" w:rsidRPr="009867C1" w:rsidRDefault="00EA7FE6" w:rsidP="00EA7FE6">
            <w:pPr>
              <w:spacing w:line="240" w:lineRule="auto"/>
              <w:rPr>
                <w:rFonts w:eastAsia="Times New Roman"/>
                <w:b/>
                <w:bCs/>
                <w:color w:val="000000"/>
                <w:sz w:val="16"/>
                <w:szCs w:val="16"/>
                <w:lang w:val="en-CA" w:eastAsia="en-CA"/>
              </w:rPr>
            </w:pPr>
            <w:r w:rsidRPr="009867C1">
              <w:rPr>
                <w:rFonts w:eastAsia="Times New Roman"/>
                <w:b/>
                <w:bCs/>
                <w:color w:val="000000"/>
                <w:sz w:val="16"/>
                <w:szCs w:val="16"/>
                <w:lang w:val="en-CA" w:eastAsia="en-CA"/>
              </w:rPr>
              <w:t>Spawning length (m)</w:t>
            </w:r>
          </w:p>
        </w:tc>
        <w:tc>
          <w:tcPr>
            <w:tcW w:w="0" w:type="auto"/>
            <w:shd w:val="clear" w:color="auto" w:fill="auto"/>
            <w:noWrap/>
            <w:vAlign w:val="bottom"/>
            <w:hideMark/>
          </w:tcPr>
          <w:p w14:paraId="0D2EEF24" w14:textId="77777777" w:rsidR="00EA7FE6" w:rsidRPr="009867C1" w:rsidRDefault="00EA7FE6" w:rsidP="00EA7FE6">
            <w:pPr>
              <w:spacing w:line="240" w:lineRule="auto"/>
              <w:rPr>
                <w:rFonts w:eastAsia="Times New Roman"/>
                <w:b/>
                <w:bCs/>
                <w:color w:val="000000"/>
                <w:sz w:val="16"/>
                <w:szCs w:val="16"/>
                <w:lang w:val="en-CA" w:eastAsia="en-CA"/>
              </w:rPr>
            </w:pPr>
            <w:r w:rsidRPr="009867C1">
              <w:rPr>
                <w:rFonts w:eastAsia="Times New Roman"/>
                <w:b/>
                <w:bCs/>
                <w:color w:val="000000"/>
                <w:sz w:val="16"/>
                <w:szCs w:val="16"/>
                <w:lang w:val="en-CA" w:eastAsia="en-CA"/>
              </w:rPr>
              <w:t>Bankfull width (m)</w:t>
            </w:r>
          </w:p>
        </w:tc>
        <w:tc>
          <w:tcPr>
            <w:tcW w:w="0" w:type="auto"/>
            <w:shd w:val="clear" w:color="auto" w:fill="auto"/>
            <w:noWrap/>
            <w:vAlign w:val="bottom"/>
            <w:hideMark/>
          </w:tcPr>
          <w:p w14:paraId="5C98DE5D" w14:textId="77777777" w:rsidR="00EA7FE6" w:rsidRPr="009867C1" w:rsidRDefault="00EA7FE6" w:rsidP="00EA7FE6">
            <w:pPr>
              <w:spacing w:line="240" w:lineRule="auto"/>
              <w:rPr>
                <w:rFonts w:eastAsia="Times New Roman"/>
                <w:b/>
                <w:bCs/>
                <w:color w:val="000000"/>
                <w:sz w:val="16"/>
                <w:szCs w:val="16"/>
                <w:lang w:val="en-CA" w:eastAsia="en-CA"/>
              </w:rPr>
            </w:pPr>
            <w:r w:rsidRPr="009867C1">
              <w:rPr>
                <w:rFonts w:eastAsia="Times New Roman"/>
                <w:b/>
                <w:bCs/>
                <w:color w:val="000000"/>
                <w:sz w:val="16"/>
                <w:szCs w:val="16"/>
                <w:lang w:val="en-CA" w:eastAsia="en-CA"/>
              </w:rPr>
              <w:t>Falls present?</w:t>
            </w:r>
          </w:p>
        </w:tc>
        <w:tc>
          <w:tcPr>
            <w:tcW w:w="0" w:type="auto"/>
            <w:shd w:val="clear" w:color="auto" w:fill="auto"/>
            <w:noWrap/>
            <w:vAlign w:val="bottom"/>
            <w:hideMark/>
          </w:tcPr>
          <w:p w14:paraId="6F978F04" w14:textId="77777777" w:rsidR="00EA7FE6" w:rsidRPr="009867C1" w:rsidRDefault="00EA7FE6" w:rsidP="00EA7FE6">
            <w:pPr>
              <w:spacing w:line="240" w:lineRule="auto"/>
              <w:rPr>
                <w:rFonts w:eastAsia="Times New Roman"/>
                <w:b/>
                <w:bCs/>
                <w:color w:val="000000"/>
                <w:sz w:val="16"/>
                <w:szCs w:val="16"/>
                <w:lang w:val="en-CA" w:eastAsia="en-CA"/>
              </w:rPr>
            </w:pPr>
            <w:r w:rsidRPr="009867C1">
              <w:rPr>
                <w:rFonts w:eastAsia="Times New Roman"/>
                <w:b/>
                <w:bCs/>
                <w:color w:val="000000"/>
                <w:sz w:val="16"/>
                <w:szCs w:val="16"/>
                <w:lang w:val="en-CA" w:eastAsia="en-CA"/>
              </w:rPr>
              <w:t>Mean salmon density, all years on record (kg/m)</w:t>
            </w:r>
          </w:p>
        </w:tc>
        <w:tc>
          <w:tcPr>
            <w:tcW w:w="0" w:type="auto"/>
            <w:shd w:val="clear" w:color="auto" w:fill="auto"/>
            <w:noWrap/>
            <w:vAlign w:val="bottom"/>
            <w:hideMark/>
          </w:tcPr>
          <w:p w14:paraId="2456889C" w14:textId="77777777" w:rsidR="00EA7FE6" w:rsidRPr="009867C1" w:rsidRDefault="00EA7FE6" w:rsidP="00EA7FE6">
            <w:pPr>
              <w:spacing w:line="240" w:lineRule="auto"/>
              <w:rPr>
                <w:rFonts w:eastAsia="Times New Roman"/>
                <w:b/>
                <w:bCs/>
                <w:color w:val="000000"/>
                <w:sz w:val="16"/>
                <w:szCs w:val="16"/>
                <w:lang w:val="en-CA" w:eastAsia="en-CA"/>
              </w:rPr>
            </w:pPr>
            <w:r w:rsidRPr="009867C1">
              <w:rPr>
                <w:rFonts w:eastAsia="Times New Roman"/>
                <w:b/>
                <w:bCs/>
                <w:color w:val="000000"/>
                <w:sz w:val="16"/>
                <w:szCs w:val="16"/>
                <w:lang w:val="en-CA" w:eastAsia="en-CA"/>
              </w:rPr>
              <w:t>Mean salmon density, last 3 years (kg/m)</w:t>
            </w:r>
          </w:p>
        </w:tc>
      </w:tr>
      <w:tr w:rsidR="00EA7FE6" w:rsidRPr="009867C1" w14:paraId="667339A0" w14:textId="77777777" w:rsidTr="00EA7FE6">
        <w:trPr>
          <w:trHeight w:val="254"/>
        </w:trPr>
        <w:tc>
          <w:tcPr>
            <w:tcW w:w="0" w:type="auto"/>
            <w:shd w:val="clear" w:color="auto" w:fill="auto"/>
            <w:noWrap/>
            <w:vAlign w:val="bottom"/>
            <w:hideMark/>
          </w:tcPr>
          <w:p w14:paraId="3A218E8E"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Ada</w:t>
            </w:r>
          </w:p>
        </w:tc>
        <w:tc>
          <w:tcPr>
            <w:tcW w:w="0" w:type="auto"/>
            <w:shd w:val="clear" w:color="auto" w:fill="auto"/>
            <w:noWrap/>
            <w:vAlign w:val="bottom"/>
            <w:hideMark/>
          </w:tcPr>
          <w:p w14:paraId="3466B9D3"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24</w:t>
            </w:r>
          </w:p>
        </w:tc>
        <w:tc>
          <w:tcPr>
            <w:tcW w:w="0" w:type="auto"/>
            <w:shd w:val="clear" w:color="auto" w:fill="auto"/>
            <w:noWrap/>
            <w:vAlign w:val="bottom"/>
            <w:hideMark/>
          </w:tcPr>
          <w:p w14:paraId="63F39E21"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9.8</w:t>
            </w:r>
          </w:p>
        </w:tc>
        <w:tc>
          <w:tcPr>
            <w:tcW w:w="0" w:type="auto"/>
            <w:shd w:val="clear" w:color="auto" w:fill="auto"/>
            <w:noWrap/>
            <w:vAlign w:val="bottom"/>
            <w:hideMark/>
          </w:tcPr>
          <w:p w14:paraId="140646F6"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435</w:t>
            </w:r>
          </w:p>
        </w:tc>
        <w:tc>
          <w:tcPr>
            <w:tcW w:w="0" w:type="auto"/>
            <w:shd w:val="clear" w:color="auto" w:fill="auto"/>
            <w:noWrap/>
            <w:vAlign w:val="bottom"/>
            <w:hideMark/>
          </w:tcPr>
          <w:p w14:paraId="4FDCFF38"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11.1</w:t>
            </w:r>
          </w:p>
        </w:tc>
        <w:tc>
          <w:tcPr>
            <w:tcW w:w="0" w:type="auto"/>
            <w:shd w:val="clear" w:color="auto" w:fill="auto"/>
            <w:noWrap/>
            <w:vAlign w:val="bottom"/>
            <w:hideMark/>
          </w:tcPr>
          <w:p w14:paraId="6C37D57E"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Y</w:t>
            </w:r>
          </w:p>
        </w:tc>
        <w:tc>
          <w:tcPr>
            <w:tcW w:w="0" w:type="auto"/>
            <w:shd w:val="clear" w:color="auto" w:fill="auto"/>
            <w:noWrap/>
            <w:vAlign w:val="bottom"/>
            <w:hideMark/>
          </w:tcPr>
          <w:p w14:paraId="35062DEC"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17.9</w:t>
            </w:r>
          </w:p>
        </w:tc>
        <w:tc>
          <w:tcPr>
            <w:tcW w:w="0" w:type="auto"/>
            <w:shd w:val="clear" w:color="auto" w:fill="auto"/>
            <w:noWrap/>
            <w:vAlign w:val="bottom"/>
            <w:hideMark/>
          </w:tcPr>
          <w:p w14:paraId="491C86FB"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23.1</w:t>
            </w:r>
          </w:p>
        </w:tc>
      </w:tr>
      <w:tr w:rsidR="00EA7FE6" w:rsidRPr="009867C1" w14:paraId="1197E241" w14:textId="77777777" w:rsidTr="00EA7FE6">
        <w:trPr>
          <w:trHeight w:val="254"/>
        </w:trPr>
        <w:tc>
          <w:tcPr>
            <w:tcW w:w="0" w:type="auto"/>
            <w:shd w:val="clear" w:color="auto" w:fill="auto"/>
            <w:noWrap/>
            <w:vAlign w:val="bottom"/>
            <w:hideMark/>
          </w:tcPr>
          <w:p w14:paraId="6D76A549"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Beales</w:t>
            </w:r>
          </w:p>
        </w:tc>
        <w:tc>
          <w:tcPr>
            <w:tcW w:w="0" w:type="auto"/>
            <w:shd w:val="clear" w:color="auto" w:fill="auto"/>
            <w:noWrap/>
            <w:vAlign w:val="bottom"/>
            <w:hideMark/>
          </w:tcPr>
          <w:p w14:paraId="7BAFCC84"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9</w:t>
            </w:r>
          </w:p>
        </w:tc>
        <w:tc>
          <w:tcPr>
            <w:tcW w:w="0" w:type="auto"/>
            <w:shd w:val="clear" w:color="auto" w:fill="auto"/>
            <w:noWrap/>
            <w:vAlign w:val="bottom"/>
            <w:hideMark/>
          </w:tcPr>
          <w:p w14:paraId="2245CC7B"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6.4</w:t>
            </w:r>
          </w:p>
        </w:tc>
        <w:tc>
          <w:tcPr>
            <w:tcW w:w="0" w:type="auto"/>
            <w:shd w:val="clear" w:color="auto" w:fill="auto"/>
            <w:noWrap/>
            <w:vAlign w:val="bottom"/>
            <w:hideMark/>
          </w:tcPr>
          <w:p w14:paraId="6AC24D25"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300</w:t>
            </w:r>
          </w:p>
        </w:tc>
        <w:tc>
          <w:tcPr>
            <w:tcW w:w="0" w:type="auto"/>
            <w:shd w:val="clear" w:color="auto" w:fill="auto"/>
            <w:noWrap/>
            <w:vAlign w:val="bottom"/>
            <w:hideMark/>
          </w:tcPr>
          <w:p w14:paraId="3B1662B4"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10.9</w:t>
            </w:r>
          </w:p>
        </w:tc>
        <w:tc>
          <w:tcPr>
            <w:tcW w:w="0" w:type="auto"/>
            <w:shd w:val="clear" w:color="auto" w:fill="auto"/>
            <w:noWrap/>
            <w:vAlign w:val="bottom"/>
            <w:hideMark/>
          </w:tcPr>
          <w:p w14:paraId="64D55A32"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N</w:t>
            </w:r>
          </w:p>
        </w:tc>
        <w:tc>
          <w:tcPr>
            <w:tcW w:w="0" w:type="auto"/>
            <w:shd w:val="clear" w:color="auto" w:fill="auto"/>
            <w:noWrap/>
            <w:vAlign w:val="bottom"/>
            <w:hideMark/>
          </w:tcPr>
          <w:p w14:paraId="67F222F4"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12.1</w:t>
            </w:r>
          </w:p>
        </w:tc>
        <w:tc>
          <w:tcPr>
            <w:tcW w:w="0" w:type="auto"/>
            <w:shd w:val="clear" w:color="auto" w:fill="auto"/>
            <w:noWrap/>
            <w:vAlign w:val="bottom"/>
            <w:hideMark/>
          </w:tcPr>
          <w:p w14:paraId="4F33CEF8"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16.5</w:t>
            </w:r>
          </w:p>
        </w:tc>
      </w:tr>
      <w:tr w:rsidR="00EA7FE6" w:rsidRPr="009867C1" w14:paraId="027C4F4D" w14:textId="77777777" w:rsidTr="00EA7FE6">
        <w:trPr>
          <w:trHeight w:val="254"/>
        </w:trPr>
        <w:tc>
          <w:tcPr>
            <w:tcW w:w="0" w:type="auto"/>
            <w:shd w:val="clear" w:color="auto" w:fill="auto"/>
            <w:noWrap/>
            <w:vAlign w:val="bottom"/>
            <w:hideMark/>
          </w:tcPr>
          <w:p w14:paraId="0ACF8925"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Bullock Main</w:t>
            </w:r>
          </w:p>
        </w:tc>
        <w:tc>
          <w:tcPr>
            <w:tcW w:w="0" w:type="auto"/>
            <w:shd w:val="clear" w:color="auto" w:fill="auto"/>
            <w:noWrap/>
            <w:vAlign w:val="bottom"/>
            <w:hideMark/>
          </w:tcPr>
          <w:p w14:paraId="56CD0664"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2</w:t>
            </w:r>
          </w:p>
        </w:tc>
        <w:tc>
          <w:tcPr>
            <w:tcW w:w="0" w:type="auto"/>
            <w:shd w:val="clear" w:color="auto" w:fill="auto"/>
            <w:noWrap/>
            <w:vAlign w:val="bottom"/>
            <w:hideMark/>
          </w:tcPr>
          <w:p w14:paraId="127AFBC7"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3.3</w:t>
            </w:r>
          </w:p>
        </w:tc>
        <w:tc>
          <w:tcPr>
            <w:tcW w:w="0" w:type="auto"/>
            <w:shd w:val="clear" w:color="auto" w:fill="auto"/>
            <w:noWrap/>
            <w:vAlign w:val="bottom"/>
            <w:hideMark/>
          </w:tcPr>
          <w:p w14:paraId="1319C5C8"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622</w:t>
            </w:r>
          </w:p>
        </w:tc>
        <w:tc>
          <w:tcPr>
            <w:tcW w:w="0" w:type="auto"/>
            <w:shd w:val="clear" w:color="auto" w:fill="auto"/>
            <w:noWrap/>
            <w:vAlign w:val="bottom"/>
            <w:hideMark/>
          </w:tcPr>
          <w:p w14:paraId="5EC53DE1"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10.99</w:t>
            </w:r>
          </w:p>
        </w:tc>
        <w:tc>
          <w:tcPr>
            <w:tcW w:w="0" w:type="auto"/>
            <w:shd w:val="clear" w:color="auto" w:fill="auto"/>
            <w:noWrap/>
            <w:vAlign w:val="bottom"/>
            <w:hideMark/>
          </w:tcPr>
          <w:p w14:paraId="4FE3D1BB"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N</w:t>
            </w:r>
          </w:p>
        </w:tc>
        <w:tc>
          <w:tcPr>
            <w:tcW w:w="0" w:type="auto"/>
            <w:shd w:val="clear" w:color="auto" w:fill="auto"/>
            <w:noWrap/>
            <w:vAlign w:val="bottom"/>
            <w:hideMark/>
          </w:tcPr>
          <w:p w14:paraId="71F1C979"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14.7</w:t>
            </w:r>
          </w:p>
        </w:tc>
        <w:tc>
          <w:tcPr>
            <w:tcW w:w="0" w:type="auto"/>
            <w:shd w:val="clear" w:color="auto" w:fill="auto"/>
            <w:noWrap/>
            <w:vAlign w:val="bottom"/>
            <w:hideMark/>
          </w:tcPr>
          <w:p w14:paraId="63CB1F4A"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17.4</w:t>
            </w:r>
          </w:p>
        </w:tc>
      </w:tr>
      <w:tr w:rsidR="00EA7FE6" w:rsidRPr="009867C1" w14:paraId="0B46869F" w14:textId="77777777" w:rsidTr="00EA7FE6">
        <w:trPr>
          <w:trHeight w:val="254"/>
        </w:trPr>
        <w:tc>
          <w:tcPr>
            <w:tcW w:w="0" w:type="auto"/>
            <w:shd w:val="clear" w:color="auto" w:fill="auto"/>
            <w:noWrap/>
            <w:vAlign w:val="bottom"/>
            <w:hideMark/>
          </w:tcPr>
          <w:p w14:paraId="75FAE249"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Bullock Square</w:t>
            </w:r>
          </w:p>
        </w:tc>
        <w:tc>
          <w:tcPr>
            <w:tcW w:w="0" w:type="auto"/>
            <w:shd w:val="clear" w:color="auto" w:fill="auto"/>
            <w:noWrap/>
            <w:vAlign w:val="bottom"/>
            <w:hideMark/>
          </w:tcPr>
          <w:p w14:paraId="34C7F5E5"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5</w:t>
            </w:r>
          </w:p>
        </w:tc>
        <w:tc>
          <w:tcPr>
            <w:tcW w:w="0" w:type="auto"/>
            <w:shd w:val="clear" w:color="auto" w:fill="auto"/>
            <w:noWrap/>
            <w:vAlign w:val="bottom"/>
            <w:hideMark/>
          </w:tcPr>
          <w:p w14:paraId="763127D5"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2.8</w:t>
            </w:r>
          </w:p>
        </w:tc>
        <w:tc>
          <w:tcPr>
            <w:tcW w:w="0" w:type="auto"/>
            <w:shd w:val="clear" w:color="auto" w:fill="auto"/>
            <w:noWrap/>
            <w:vAlign w:val="bottom"/>
            <w:hideMark/>
          </w:tcPr>
          <w:p w14:paraId="56D207D2"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296</w:t>
            </w:r>
          </w:p>
        </w:tc>
        <w:tc>
          <w:tcPr>
            <w:tcW w:w="0" w:type="auto"/>
            <w:shd w:val="clear" w:color="auto" w:fill="auto"/>
            <w:noWrap/>
            <w:vAlign w:val="bottom"/>
            <w:hideMark/>
          </w:tcPr>
          <w:p w14:paraId="5282DD6D"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8.4</w:t>
            </w:r>
          </w:p>
        </w:tc>
        <w:tc>
          <w:tcPr>
            <w:tcW w:w="0" w:type="auto"/>
            <w:shd w:val="clear" w:color="auto" w:fill="auto"/>
            <w:noWrap/>
            <w:vAlign w:val="bottom"/>
            <w:hideMark/>
          </w:tcPr>
          <w:p w14:paraId="01758C26"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N</w:t>
            </w:r>
          </w:p>
        </w:tc>
        <w:tc>
          <w:tcPr>
            <w:tcW w:w="0" w:type="auto"/>
            <w:shd w:val="clear" w:color="auto" w:fill="auto"/>
            <w:noWrap/>
            <w:vAlign w:val="bottom"/>
            <w:hideMark/>
          </w:tcPr>
          <w:p w14:paraId="158E3059"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2.5</w:t>
            </w:r>
          </w:p>
        </w:tc>
        <w:tc>
          <w:tcPr>
            <w:tcW w:w="0" w:type="auto"/>
            <w:shd w:val="clear" w:color="auto" w:fill="auto"/>
            <w:noWrap/>
            <w:vAlign w:val="bottom"/>
            <w:hideMark/>
          </w:tcPr>
          <w:p w14:paraId="0AE1960F"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2.9</w:t>
            </w:r>
          </w:p>
        </w:tc>
      </w:tr>
      <w:tr w:rsidR="00EA7FE6" w:rsidRPr="009867C1" w14:paraId="7FA8263D" w14:textId="77777777" w:rsidTr="00EA7FE6">
        <w:trPr>
          <w:trHeight w:val="254"/>
        </w:trPr>
        <w:tc>
          <w:tcPr>
            <w:tcW w:w="0" w:type="auto"/>
            <w:shd w:val="clear" w:color="auto" w:fill="auto"/>
            <w:noWrap/>
            <w:vAlign w:val="bottom"/>
            <w:hideMark/>
          </w:tcPr>
          <w:p w14:paraId="2BA73055"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Clatse</w:t>
            </w:r>
          </w:p>
        </w:tc>
        <w:tc>
          <w:tcPr>
            <w:tcW w:w="0" w:type="auto"/>
            <w:shd w:val="clear" w:color="auto" w:fill="auto"/>
            <w:noWrap/>
            <w:vAlign w:val="bottom"/>
            <w:hideMark/>
          </w:tcPr>
          <w:p w14:paraId="47F5EF4D"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3</w:t>
            </w:r>
          </w:p>
        </w:tc>
        <w:tc>
          <w:tcPr>
            <w:tcW w:w="0" w:type="auto"/>
            <w:shd w:val="clear" w:color="auto" w:fill="auto"/>
            <w:noWrap/>
            <w:vAlign w:val="bottom"/>
            <w:hideMark/>
          </w:tcPr>
          <w:p w14:paraId="40EA4AEE"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24.3</w:t>
            </w:r>
          </w:p>
        </w:tc>
        <w:tc>
          <w:tcPr>
            <w:tcW w:w="0" w:type="auto"/>
            <w:shd w:val="clear" w:color="auto" w:fill="auto"/>
            <w:noWrap/>
            <w:vAlign w:val="bottom"/>
            <w:hideMark/>
          </w:tcPr>
          <w:p w14:paraId="77496878"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900</w:t>
            </w:r>
          </w:p>
        </w:tc>
        <w:tc>
          <w:tcPr>
            <w:tcW w:w="0" w:type="auto"/>
            <w:shd w:val="clear" w:color="auto" w:fill="auto"/>
            <w:noWrap/>
            <w:vAlign w:val="bottom"/>
            <w:hideMark/>
          </w:tcPr>
          <w:p w14:paraId="5639C5E5"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22.8</w:t>
            </w:r>
          </w:p>
        </w:tc>
        <w:tc>
          <w:tcPr>
            <w:tcW w:w="0" w:type="auto"/>
            <w:shd w:val="clear" w:color="auto" w:fill="auto"/>
            <w:noWrap/>
            <w:vAlign w:val="bottom"/>
            <w:hideMark/>
          </w:tcPr>
          <w:p w14:paraId="0169B73D"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Y</w:t>
            </w:r>
          </w:p>
        </w:tc>
        <w:tc>
          <w:tcPr>
            <w:tcW w:w="0" w:type="auto"/>
            <w:shd w:val="clear" w:color="auto" w:fill="auto"/>
            <w:noWrap/>
            <w:vAlign w:val="bottom"/>
            <w:hideMark/>
          </w:tcPr>
          <w:p w14:paraId="4FA758DB"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42.1</w:t>
            </w:r>
          </w:p>
        </w:tc>
        <w:tc>
          <w:tcPr>
            <w:tcW w:w="0" w:type="auto"/>
            <w:shd w:val="clear" w:color="auto" w:fill="auto"/>
            <w:noWrap/>
            <w:vAlign w:val="bottom"/>
            <w:hideMark/>
          </w:tcPr>
          <w:p w14:paraId="62089E27"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67.5</w:t>
            </w:r>
          </w:p>
        </w:tc>
      </w:tr>
      <w:tr w:rsidR="00EA7FE6" w:rsidRPr="009867C1" w14:paraId="10D3AE32" w14:textId="77777777" w:rsidTr="00EA7FE6">
        <w:trPr>
          <w:trHeight w:val="254"/>
        </w:trPr>
        <w:tc>
          <w:tcPr>
            <w:tcW w:w="0" w:type="auto"/>
            <w:shd w:val="clear" w:color="auto" w:fill="auto"/>
            <w:noWrap/>
            <w:vAlign w:val="bottom"/>
            <w:hideMark/>
          </w:tcPr>
          <w:p w14:paraId="70CFFDD3"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Fancy Head</w:t>
            </w:r>
          </w:p>
        </w:tc>
        <w:tc>
          <w:tcPr>
            <w:tcW w:w="0" w:type="auto"/>
            <w:shd w:val="clear" w:color="auto" w:fill="auto"/>
            <w:noWrap/>
            <w:vAlign w:val="bottom"/>
            <w:hideMark/>
          </w:tcPr>
          <w:p w14:paraId="764977AB"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3</w:t>
            </w:r>
          </w:p>
        </w:tc>
        <w:tc>
          <w:tcPr>
            <w:tcW w:w="0" w:type="auto"/>
            <w:shd w:val="clear" w:color="auto" w:fill="auto"/>
            <w:noWrap/>
            <w:vAlign w:val="bottom"/>
            <w:hideMark/>
          </w:tcPr>
          <w:p w14:paraId="7B80CA3D"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1.6</w:t>
            </w:r>
          </w:p>
        </w:tc>
        <w:tc>
          <w:tcPr>
            <w:tcW w:w="0" w:type="auto"/>
            <w:shd w:val="clear" w:color="auto" w:fill="auto"/>
            <w:noWrap/>
            <w:vAlign w:val="bottom"/>
            <w:hideMark/>
          </w:tcPr>
          <w:p w14:paraId="16DB6E63"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141</w:t>
            </w:r>
          </w:p>
        </w:tc>
        <w:tc>
          <w:tcPr>
            <w:tcW w:w="0" w:type="auto"/>
            <w:shd w:val="clear" w:color="auto" w:fill="auto"/>
            <w:noWrap/>
            <w:vAlign w:val="bottom"/>
            <w:hideMark/>
          </w:tcPr>
          <w:p w14:paraId="7B2698EA"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5.5</w:t>
            </w:r>
          </w:p>
        </w:tc>
        <w:tc>
          <w:tcPr>
            <w:tcW w:w="0" w:type="auto"/>
            <w:shd w:val="clear" w:color="auto" w:fill="auto"/>
            <w:noWrap/>
            <w:vAlign w:val="bottom"/>
            <w:hideMark/>
          </w:tcPr>
          <w:p w14:paraId="12C537C1"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N</w:t>
            </w:r>
          </w:p>
        </w:tc>
        <w:tc>
          <w:tcPr>
            <w:tcW w:w="0" w:type="auto"/>
            <w:shd w:val="clear" w:color="auto" w:fill="auto"/>
            <w:noWrap/>
            <w:vAlign w:val="bottom"/>
            <w:hideMark/>
          </w:tcPr>
          <w:p w14:paraId="32F8AC93"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8.1</w:t>
            </w:r>
          </w:p>
        </w:tc>
        <w:tc>
          <w:tcPr>
            <w:tcW w:w="0" w:type="auto"/>
            <w:shd w:val="clear" w:color="auto" w:fill="auto"/>
            <w:noWrap/>
            <w:vAlign w:val="bottom"/>
            <w:hideMark/>
          </w:tcPr>
          <w:p w14:paraId="0901457E"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11.3</w:t>
            </w:r>
          </w:p>
        </w:tc>
      </w:tr>
      <w:tr w:rsidR="00EA7FE6" w:rsidRPr="009867C1" w14:paraId="7DEF2C51" w14:textId="77777777" w:rsidTr="00EA7FE6">
        <w:trPr>
          <w:trHeight w:val="254"/>
        </w:trPr>
        <w:tc>
          <w:tcPr>
            <w:tcW w:w="0" w:type="auto"/>
            <w:shd w:val="clear" w:color="auto" w:fill="auto"/>
            <w:noWrap/>
            <w:vAlign w:val="bottom"/>
            <w:hideMark/>
          </w:tcPr>
          <w:p w14:paraId="23CE6937"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Fancy Right</w:t>
            </w:r>
          </w:p>
        </w:tc>
        <w:tc>
          <w:tcPr>
            <w:tcW w:w="0" w:type="auto"/>
            <w:shd w:val="clear" w:color="auto" w:fill="auto"/>
            <w:noWrap/>
            <w:vAlign w:val="bottom"/>
            <w:hideMark/>
          </w:tcPr>
          <w:p w14:paraId="40A72D89"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16</w:t>
            </w:r>
          </w:p>
        </w:tc>
        <w:tc>
          <w:tcPr>
            <w:tcW w:w="0" w:type="auto"/>
            <w:shd w:val="clear" w:color="auto" w:fill="auto"/>
            <w:noWrap/>
            <w:vAlign w:val="bottom"/>
            <w:hideMark/>
          </w:tcPr>
          <w:p w14:paraId="688AB057"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9.9</w:t>
            </w:r>
          </w:p>
        </w:tc>
        <w:tc>
          <w:tcPr>
            <w:tcW w:w="0" w:type="auto"/>
            <w:shd w:val="clear" w:color="auto" w:fill="auto"/>
            <w:noWrap/>
            <w:vAlign w:val="bottom"/>
            <w:hideMark/>
          </w:tcPr>
          <w:p w14:paraId="2B9BF610"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298</w:t>
            </w:r>
          </w:p>
        </w:tc>
        <w:tc>
          <w:tcPr>
            <w:tcW w:w="0" w:type="auto"/>
            <w:shd w:val="clear" w:color="auto" w:fill="auto"/>
            <w:noWrap/>
            <w:vAlign w:val="bottom"/>
            <w:hideMark/>
          </w:tcPr>
          <w:p w14:paraId="193B9257"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4.8</w:t>
            </w:r>
          </w:p>
        </w:tc>
        <w:tc>
          <w:tcPr>
            <w:tcW w:w="0" w:type="auto"/>
            <w:shd w:val="clear" w:color="auto" w:fill="auto"/>
            <w:noWrap/>
            <w:vAlign w:val="bottom"/>
            <w:hideMark/>
          </w:tcPr>
          <w:p w14:paraId="1D69D4DF"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N</w:t>
            </w:r>
          </w:p>
        </w:tc>
        <w:tc>
          <w:tcPr>
            <w:tcW w:w="0" w:type="auto"/>
            <w:shd w:val="clear" w:color="auto" w:fill="auto"/>
            <w:noWrap/>
            <w:vAlign w:val="bottom"/>
            <w:hideMark/>
          </w:tcPr>
          <w:p w14:paraId="00182A82"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4.0</w:t>
            </w:r>
          </w:p>
        </w:tc>
        <w:tc>
          <w:tcPr>
            <w:tcW w:w="0" w:type="auto"/>
            <w:shd w:val="clear" w:color="auto" w:fill="auto"/>
            <w:noWrap/>
            <w:vAlign w:val="bottom"/>
            <w:hideMark/>
          </w:tcPr>
          <w:p w14:paraId="3A23793F"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7.7</w:t>
            </w:r>
          </w:p>
        </w:tc>
      </w:tr>
      <w:tr w:rsidR="00EA7FE6" w:rsidRPr="009867C1" w14:paraId="02000F80" w14:textId="77777777" w:rsidTr="00EA7FE6">
        <w:trPr>
          <w:trHeight w:val="254"/>
        </w:trPr>
        <w:tc>
          <w:tcPr>
            <w:tcW w:w="0" w:type="auto"/>
            <w:shd w:val="clear" w:color="auto" w:fill="auto"/>
            <w:noWrap/>
            <w:vAlign w:val="bottom"/>
            <w:hideMark/>
          </w:tcPr>
          <w:p w14:paraId="5B842360"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Fannie Left</w:t>
            </w:r>
          </w:p>
        </w:tc>
        <w:tc>
          <w:tcPr>
            <w:tcW w:w="0" w:type="auto"/>
            <w:shd w:val="clear" w:color="auto" w:fill="auto"/>
            <w:noWrap/>
            <w:vAlign w:val="bottom"/>
            <w:hideMark/>
          </w:tcPr>
          <w:p w14:paraId="774DEEC4"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16</w:t>
            </w:r>
          </w:p>
        </w:tc>
        <w:tc>
          <w:tcPr>
            <w:tcW w:w="0" w:type="auto"/>
            <w:shd w:val="clear" w:color="auto" w:fill="auto"/>
            <w:noWrap/>
            <w:vAlign w:val="bottom"/>
            <w:hideMark/>
          </w:tcPr>
          <w:p w14:paraId="03CDCDB1"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16.4</w:t>
            </w:r>
          </w:p>
        </w:tc>
        <w:tc>
          <w:tcPr>
            <w:tcW w:w="0" w:type="auto"/>
            <w:shd w:val="clear" w:color="auto" w:fill="auto"/>
            <w:noWrap/>
            <w:vAlign w:val="bottom"/>
            <w:hideMark/>
          </w:tcPr>
          <w:p w14:paraId="0958B5C7"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1500</w:t>
            </w:r>
          </w:p>
        </w:tc>
        <w:tc>
          <w:tcPr>
            <w:tcW w:w="0" w:type="auto"/>
            <w:shd w:val="clear" w:color="auto" w:fill="auto"/>
            <w:noWrap/>
            <w:vAlign w:val="bottom"/>
            <w:hideMark/>
          </w:tcPr>
          <w:p w14:paraId="2B4248CB"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12.8</w:t>
            </w:r>
          </w:p>
        </w:tc>
        <w:tc>
          <w:tcPr>
            <w:tcW w:w="0" w:type="auto"/>
            <w:shd w:val="clear" w:color="auto" w:fill="auto"/>
            <w:noWrap/>
            <w:vAlign w:val="bottom"/>
            <w:hideMark/>
          </w:tcPr>
          <w:p w14:paraId="28EF61C0"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N</w:t>
            </w:r>
          </w:p>
        </w:tc>
        <w:tc>
          <w:tcPr>
            <w:tcW w:w="0" w:type="auto"/>
            <w:shd w:val="clear" w:color="auto" w:fill="auto"/>
            <w:noWrap/>
            <w:vAlign w:val="bottom"/>
            <w:hideMark/>
          </w:tcPr>
          <w:p w14:paraId="0285B99A"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13.6</w:t>
            </w:r>
          </w:p>
        </w:tc>
        <w:tc>
          <w:tcPr>
            <w:tcW w:w="0" w:type="auto"/>
            <w:shd w:val="clear" w:color="auto" w:fill="auto"/>
            <w:noWrap/>
            <w:vAlign w:val="bottom"/>
            <w:hideMark/>
          </w:tcPr>
          <w:p w14:paraId="5F2DFAEC"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28.0</w:t>
            </w:r>
          </w:p>
        </w:tc>
      </w:tr>
      <w:tr w:rsidR="00EA7FE6" w:rsidRPr="009867C1" w14:paraId="318880A4" w14:textId="77777777" w:rsidTr="00EA7FE6">
        <w:trPr>
          <w:trHeight w:val="254"/>
        </w:trPr>
        <w:tc>
          <w:tcPr>
            <w:tcW w:w="0" w:type="auto"/>
            <w:shd w:val="clear" w:color="auto" w:fill="auto"/>
            <w:noWrap/>
            <w:vAlign w:val="bottom"/>
            <w:hideMark/>
          </w:tcPr>
          <w:p w14:paraId="575F4ADC"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Farm Bay</w:t>
            </w:r>
          </w:p>
        </w:tc>
        <w:tc>
          <w:tcPr>
            <w:tcW w:w="0" w:type="auto"/>
            <w:shd w:val="clear" w:color="auto" w:fill="auto"/>
            <w:noWrap/>
            <w:vAlign w:val="bottom"/>
            <w:hideMark/>
          </w:tcPr>
          <w:p w14:paraId="7DC7BDF3"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2</w:t>
            </w:r>
          </w:p>
        </w:tc>
        <w:tc>
          <w:tcPr>
            <w:tcW w:w="0" w:type="auto"/>
            <w:shd w:val="clear" w:color="auto" w:fill="auto"/>
            <w:noWrap/>
            <w:vAlign w:val="bottom"/>
            <w:hideMark/>
          </w:tcPr>
          <w:p w14:paraId="72CF16EC"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2.3</w:t>
            </w:r>
          </w:p>
        </w:tc>
        <w:tc>
          <w:tcPr>
            <w:tcW w:w="0" w:type="auto"/>
            <w:shd w:val="clear" w:color="auto" w:fill="auto"/>
            <w:noWrap/>
            <w:vAlign w:val="bottom"/>
            <w:hideMark/>
          </w:tcPr>
          <w:p w14:paraId="0DAF617C"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0</w:t>
            </w:r>
          </w:p>
        </w:tc>
        <w:tc>
          <w:tcPr>
            <w:tcW w:w="0" w:type="auto"/>
            <w:shd w:val="clear" w:color="auto" w:fill="auto"/>
            <w:noWrap/>
            <w:vAlign w:val="bottom"/>
            <w:hideMark/>
          </w:tcPr>
          <w:p w14:paraId="1C3B8E5E"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6.4</w:t>
            </w:r>
          </w:p>
        </w:tc>
        <w:tc>
          <w:tcPr>
            <w:tcW w:w="0" w:type="auto"/>
            <w:shd w:val="clear" w:color="auto" w:fill="auto"/>
            <w:noWrap/>
            <w:vAlign w:val="bottom"/>
            <w:hideMark/>
          </w:tcPr>
          <w:p w14:paraId="33D16818"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N</w:t>
            </w:r>
          </w:p>
        </w:tc>
        <w:tc>
          <w:tcPr>
            <w:tcW w:w="0" w:type="auto"/>
            <w:shd w:val="clear" w:color="auto" w:fill="auto"/>
            <w:noWrap/>
            <w:vAlign w:val="bottom"/>
            <w:hideMark/>
          </w:tcPr>
          <w:p w14:paraId="03932030"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0.0</w:t>
            </w:r>
          </w:p>
        </w:tc>
        <w:tc>
          <w:tcPr>
            <w:tcW w:w="0" w:type="auto"/>
            <w:shd w:val="clear" w:color="auto" w:fill="auto"/>
            <w:noWrap/>
            <w:vAlign w:val="bottom"/>
            <w:hideMark/>
          </w:tcPr>
          <w:p w14:paraId="3E467F25"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0.0</w:t>
            </w:r>
          </w:p>
        </w:tc>
      </w:tr>
      <w:tr w:rsidR="00EA7FE6" w:rsidRPr="009867C1" w14:paraId="3E382757" w14:textId="77777777" w:rsidTr="00EA7FE6">
        <w:trPr>
          <w:trHeight w:val="254"/>
        </w:trPr>
        <w:tc>
          <w:tcPr>
            <w:tcW w:w="0" w:type="auto"/>
            <w:shd w:val="clear" w:color="auto" w:fill="auto"/>
            <w:noWrap/>
            <w:vAlign w:val="bottom"/>
            <w:hideMark/>
          </w:tcPr>
          <w:p w14:paraId="5CBBD105"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Fell</w:t>
            </w:r>
          </w:p>
        </w:tc>
        <w:tc>
          <w:tcPr>
            <w:tcW w:w="0" w:type="auto"/>
            <w:shd w:val="clear" w:color="auto" w:fill="auto"/>
            <w:noWrap/>
            <w:vAlign w:val="bottom"/>
            <w:hideMark/>
          </w:tcPr>
          <w:p w14:paraId="2C4E848F"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10</w:t>
            </w:r>
          </w:p>
        </w:tc>
        <w:tc>
          <w:tcPr>
            <w:tcW w:w="0" w:type="auto"/>
            <w:shd w:val="clear" w:color="auto" w:fill="auto"/>
            <w:noWrap/>
            <w:vAlign w:val="bottom"/>
            <w:hideMark/>
          </w:tcPr>
          <w:p w14:paraId="5B403053"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7</w:t>
            </w:r>
          </w:p>
        </w:tc>
        <w:tc>
          <w:tcPr>
            <w:tcW w:w="0" w:type="auto"/>
            <w:shd w:val="clear" w:color="auto" w:fill="auto"/>
            <w:noWrap/>
            <w:vAlign w:val="bottom"/>
            <w:hideMark/>
          </w:tcPr>
          <w:p w14:paraId="488AB9D7"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0</w:t>
            </w:r>
          </w:p>
        </w:tc>
        <w:tc>
          <w:tcPr>
            <w:tcW w:w="0" w:type="auto"/>
            <w:shd w:val="clear" w:color="auto" w:fill="auto"/>
            <w:noWrap/>
            <w:vAlign w:val="bottom"/>
            <w:hideMark/>
          </w:tcPr>
          <w:p w14:paraId="0D085735"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10.9</w:t>
            </w:r>
          </w:p>
        </w:tc>
        <w:tc>
          <w:tcPr>
            <w:tcW w:w="0" w:type="auto"/>
            <w:shd w:val="clear" w:color="auto" w:fill="auto"/>
            <w:noWrap/>
            <w:vAlign w:val="bottom"/>
            <w:hideMark/>
          </w:tcPr>
          <w:p w14:paraId="14064786"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N</w:t>
            </w:r>
          </w:p>
        </w:tc>
        <w:tc>
          <w:tcPr>
            <w:tcW w:w="0" w:type="auto"/>
            <w:shd w:val="clear" w:color="auto" w:fill="auto"/>
            <w:noWrap/>
            <w:vAlign w:val="bottom"/>
            <w:hideMark/>
          </w:tcPr>
          <w:p w14:paraId="4FF2AD28"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0.0</w:t>
            </w:r>
          </w:p>
        </w:tc>
        <w:tc>
          <w:tcPr>
            <w:tcW w:w="0" w:type="auto"/>
            <w:shd w:val="clear" w:color="auto" w:fill="auto"/>
            <w:noWrap/>
            <w:vAlign w:val="bottom"/>
            <w:hideMark/>
          </w:tcPr>
          <w:p w14:paraId="2BE9AA54"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0.0</w:t>
            </w:r>
          </w:p>
        </w:tc>
      </w:tr>
      <w:tr w:rsidR="00EA7FE6" w:rsidRPr="009867C1" w14:paraId="63F45D27" w14:textId="77777777" w:rsidTr="00EA7FE6">
        <w:trPr>
          <w:trHeight w:val="254"/>
        </w:trPr>
        <w:tc>
          <w:tcPr>
            <w:tcW w:w="0" w:type="auto"/>
            <w:shd w:val="clear" w:color="auto" w:fill="auto"/>
            <w:noWrap/>
            <w:vAlign w:val="bottom"/>
            <w:hideMark/>
          </w:tcPr>
          <w:p w14:paraId="0B4A11BF"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Goat</w:t>
            </w:r>
          </w:p>
        </w:tc>
        <w:tc>
          <w:tcPr>
            <w:tcW w:w="0" w:type="auto"/>
            <w:shd w:val="clear" w:color="auto" w:fill="auto"/>
            <w:noWrap/>
            <w:vAlign w:val="bottom"/>
            <w:hideMark/>
          </w:tcPr>
          <w:p w14:paraId="33977766"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5</w:t>
            </w:r>
          </w:p>
        </w:tc>
        <w:tc>
          <w:tcPr>
            <w:tcW w:w="0" w:type="auto"/>
            <w:shd w:val="clear" w:color="auto" w:fill="auto"/>
            <w:noWrap/>
            <w:vAlign w:val="bottom"/>
            <w:hideMark/>
          </w:tcPr>
          <w:p w14:paraId="54CC4192"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2.3</w:t>
            </w:r>
          </w:p>
        </w:tc>
        <w:tc>
          <w:tcPr>
            <w:tcW w:w="0" w:type="auto"/>
            <w:shd w:val="clear" w:color="auto" w:fill="auto"/>
            <w:noWrap/>
            <w:vAlign w:val="bottom"/>
            <w:hideMark/>
          </w:tcPr>
          <w:p w14:paraId="3AFC5CC0"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550</w:t>
            </w:r>
          </w:p>
        </w:tc>
        <w:tc>
          <w:tcPr>
            <w:tcW w:w="0" w:type="auto"/>
            <w:shd w:val="clear" w:color="auto" w:fill="auto"/>
            <w:noWrap/>
            <w:vAlign w:val="bottom"/>
            <w:hideMark/>
          </w:tcPr>
          <w:p w14:paraId="7E7EFC00"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7.5</w:t>
            </w:r>
          </w:p>
        </w:tc>
        <w:tc>
          <w:tcPr>
            <w:tcW w:w="0" w:type="auto"/>
            <w:shd w:val="clear" w:color="auto" w:fill="auto"/>
            <w:noWrap/>
            <w:vAlign w:val="bottom"/>
            <w:hideMark/>
          </w:tcPr>
          <w:p w14:paraId="68968C6D"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N</w:t>
            </w:r>
          </w:p>
        </w:tc>
        <w:tc>
          <w:tcPr>
            <w:tcW w:w="0" w:type="auto"/>
            <w:shd w:val="clear" w:color="auto" w:fill="auto"/>
            <w:noWrap/>
            <w:vAlign w:val="bottom"/>
            <w:hideMark/>
          </w:tcPr>
          <w:p w14:paraId="72961852"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2.3</w:t>
            </w:r>
          </w:p>
        </w:tc>
        <w:tc>
          <w:tcPr>
            <w:tcW w:w="0" w:type="auto"/>
            <w:shd w:val="clear" w:color="auto" w:fill="auto"/>
            <w:noWrap/>
            <w:vAlign w:val="bottom"/>
            <w:hideMark/>
          </w:tcPr>
          <w:p w14:paraId="0330031F"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2.5</w:t>
            </w:r>
          </w:p>
        </w:tc>
      </w:tr>
      <w:tr w:rsidR="00EA7FE6" w:rsidRPr="009867C1" w14:paraId="3CF89338" w14:textId="77777777" w:rsidTr="00EA7FE6">
        <w:trPr>
          <w:trHeight w:val="254"/>
        </w:trPr>
        <w:tc>
          <w:tcPr>
            <w:tcW w:w="0" w:type="auto"/>
            <w:shd w:val="clear" w:color="auto" w:fill="auto"/>
            <w:noWrap/>
            <w:vAlign w:val="bottom"/>
            <w:hideMark/>
          </w:tcPr>
          <w:p w14:paraId="30A69769"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Hooknose</w:t>
            </w:r>
          </w:p>
        </w:tc>
        <w:tc>
          <w:tcPr>
            <w:tcW w:w="0" w:type="auto"/>
            <w:shd w:val="clear" w:color="auto" w:fill="auto"/>
            <w:noWrap/>
            <w:vAlign w:val="bottom"/>
            <w:hideMark/>
          </w:tcPr>
          <w:p w14:paraId="020B5364"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9</w:t>
            </w:r>
          </w:p>
        </w:tc>
        <w:tc>
          <w:tcPr>
            <w:tcW w:w="0" w:type="auto"/>
            <w:shd w:val="clear" w:color="auto" w:fill="auto"/>
            <w:noWrap/>
            <w:vAlign w:val="bottom"/>
            <w:hideMark/>
          </w:tcPr>
          <w:p w14:paraId="078AD84E"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14.8</w:t>
            </w:r>
          </w:p>
        </w:tc>
        <w:tc>
          <w:tcPr>
            <w:tcW w:w="0" w:type="auto"/>
            <w:shd w:val="clear" w:color="auto" w:fill="auto"/>
            <w:noWrap/>
            <w:vAlign w:val="bottom"/>
            <w:hideMark/>
          </w:tcPr>
          <w:p w14:paraId="7498EBEC"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1800</w:t>
            </w:r>
          </w:p>
        </w:tc>
        <w:tc>
          <w:tcPr>
            <w:tcW w:w="0" w:type="auto"/>
            <w:shd w:val="clear" w:color="auto" w:fill="auto"/>
            <w:noWrap/>
            <w:vAlign w:val="bottom"/>
            <w:hideMark/>
          </w:tcPr>
          <w:p w14:paraId="299FA76D"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16.9</w:t>
            </w:r>
          </w:p>
        </w:tc>
        <w:tc>
          <w:tcPr>
            <w:tcW w:w="0" w:type="auto"/>
            <w:shd w:val="clear" w:color="auto" w:fill="auto"/>
            <w:noWrap/>
            <w:vAlign w:val="bottom"/>
            <w:hideMark/>
          </w:tcPr>
          <w:p w14:paraId="6CE6BE1D"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N</w:t>
            </w:r>
          </w:p>
        </w:tc>
        <w:tc>
          <w:tcPr>
            <w:tcW w:w="0" w:type="auto"/>
            <w:shd w:val="clear" w:color="auto" w:fill="auto"/>
            <w:noWrap/>
            <w:vAlign w:val="bottom"/>
            <w:hideMark/>
          </w:tcPr>
          <w:p w14:paraId="6B183D3E"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5.8</w:t>
            </w:r>
          </w:p>
        </w:tc>
        <w:tc>
          <w:tcPr>
            <w:tcW w:w="0" w:type="auto"/>
            <w:shd w:val="clear" w:color="auto" w:fill="auto"/>
            <w:noWrap/>
            <w:vAlign w:val="bottom"/>
            <w:hideMark/>
          </w:tcPr>
          <w:p w14:paraId="1BF26425"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7.6</w:t>
            </w:r>
          </w:p>
        </w:tc>
      </w:tr>
      <w:tr w:rsidR="00EA7FE6" w:rsidRPr="009867C1" w14:paraId="6D81CB52" w14:textId="77777777" w:rsidTr="00EA7FE6">
        <w:trPr>
          <w:trHeight w:val="254"/>
        </w:trPr>
        <w:tc>
          <w:tcPr>
            <w:tcW w:w="0" w:type="auto"/>
            <w:shd w:val="clear" w:color="auto" w:fill="auto"/>
            <w:noWrap/>
            <w:vAlign w:val="bottom"/>
            <w:hideMark/>
          </w:tcPr>
          <w:p w14:paraId="27349287"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Jane</w:t>
            </w:r>
          </w:p>
        </w:tc>
        <w:tc>
          <w:tcPr>
            <w:tcW w:w="0" w:type="auto"/>
            <w:shd w:val="clear" w:color="auto" w:fill="auto"/>
            <w:noWrap/>
            <w:vAlign w:val="bottom"/>
            <w:hideMark/>
          </w:tcPr>
          <w:p w14:paraId="26E60DF3"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5</w:t>
            </w:r>
          </w:p>
        </w:tc>
        <w:tc>
          <w:tcPr>
            <w:tcW w:w="0" w:type="auto"/>
            <w:shd w:val="clear" w:color="auto" w:fill="auto"/>
            <w:noWrap/>
            <w:vAlign w:val="bottom"/>
            <w:hideMark/>
          </w:tcPr>
          <w:p w14:paraId="62B1F300"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1.3</w:t>
            </w:r>
          </w:p>
        </w:tc>
        <w:tc>
          <w:tcPr>
            <w:tcW w:w="0" w:type="auto"/>
            <w:shd w:val="clear" w:color="auto" w:fill="auto"/>
            <w:noWrap/>
            <w:vAlign w:val="bottom"/>
            <w:hideMark/>
          </w:tcPr>
          <w:p w14:paraId="5FC42B07"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500</w:t>
            </w:r>
          </w:p>
        </w:tc>
        <w:tc>
          <w:tcPr>
            <w:tcW w:w="0" w:type="auto"/>
            <w:shd w:val="clear" w:color="auto" w:fill="auto"/>
            <w:noWrap/>
            <w:vAlign w:val="bottom"/>
            <w:hideMark/>
          </w:tcPr>
          <w:p w14:paraId="03B39831"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4.6</w:t>
            </w:r>
          </w:p>
        </w:tc>
        <w:tc>
          <w:tcPr>
            <w:tcW w:w="0" w:type="auto"/>
            <w:shd w:val="clear" w:color="auto" w:fill="auto"/>
            <w:noWrap/>
            <w:vAlign w:val="bottom"/>
            <w:hideMark/>
          </w:tcPr>
          <w:p w14:paraId="1BE251D1"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Y</w:t>
            </w:r>
          </w:p>
        </w:tc>
        <w:tc>
          <w:tcPr>
            <w:tcW w:w="0" w:type="auto"/>
            <w:shd w:val="clear" w:color="auto" w:fill="auto"/>
            <w:noWrap/>
            <w:vAlign w:val="bottom"/>
            <w:hideMark/>
          </w:tcPr>
          <w:p w14:paraId="54697360"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0.0</w:t>
            </w:r>
          </w:p>
        </w:tc>
        <w:tc>
          <w:tcPr>
            <w:tcW w:w="0" w:type="auto"/>
            <w:shd w:val="clear" w:color="auto" w:fill="auto"/>
            <w:noWrap/>
            <w:vAlign w:val="bottom"/>
            <w:hideMark/>
          </w:tcPr>
          <w:p w14:paraId="6C7C0968"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0.0</w:t>
            </w:r>
          </w:p>
        </w:tc>
      </w:tr>
      <w:tr w:rsidR="00EA7FE6" w:rsidRPr="009867C1" w14:paraId="4883F0B1" w14:textId="77777777" w:rsidTr="00EA7FE6">
        <w:trPr>
          <w:trHeight w:val="254"/>
        </w:trPr>
        <w:tc>
          <w:tcPr>
            <w:tcW w:w="0" w:type="auto"/>
            <w:shd w:val="clear" w:color="auto" w:fill="auto"/>
            <w:noWrap/>
            <w:vAlign w:val="bottom"/>
            <w:hideMark/>
          </w:tcPr>
          <w:p w14:paraId="27620266"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Kill</w:t>
            </w:r>
          </w:p>
        </w:tc>
        <w:tc>
          <w:tcPr>
            <w:tcW w:w="0" w:type="auto"/>
            <w:shd w:val="clear" w:color="auto" w:fill="auto"/>
            <w:noWrap/>
            <w:vAlign w:val="bottom"/>
            <w:hideMark/>
          </w:tcPr>
          <w:p w14:paraId="7602D566"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2</w:t>
            </w:r>
          </w:p>
        </w:tc>
        <w:tc>
          <w:tcPr>
            <w:tcW w:w="0" w:type="auto"/>
            <w:shd w:val="clear" w:color="auto" w:fill="auto"/>
            <w:noWrap/>
            <w:vAlign w:val="bottom"/>
            <w:hideMark/>
          </w:tcPr>
          <w:p w14:paraId="65C19BCB"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0.5</w:t>
            </w:r>
          </w:p>
        </w:tc>
        <w:tc>
          <w:tcPr>
            <w:tcW w:w="0" w:type="auto"/>
            <w:shd w:val="clear" w:color="auto" w:fill="auto"/>
            <w:noWrap/>
            <w:vAlign w:val="bottom"/>
            <w:hideMark/>
          </w:tcPr>
          <w:p w14:paraId="4F82B0C2"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1280</w:t>
            </w:r>
          </w:p>
        </w:tc>
        <w:tc>
          <w:tcPr>
            <w:tcW w:w="0" w:type="auto"/>
            <w:shd w:val="clear" w:color="auto" w:fill="auto"/>
            <w:noWrap/>
            <w:vAlign w:val="bottom"/>
            <w:hideMark/>
          </w:tcPr>
          <w:p w14:paraId="63C3DF89"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3.5</w:t>
            </w:r>
          </w:p>
        </w:tc>
        <w:tc>
          <w:tcPr>
            <w:tcW w:w="0" w:type="auto"/>
            <w:shd w:val="clear" w:color="auto" w:fill="auto"/>
            <w:noWrap/>
            <w:vAlign w:val="bottom"/>
            <w:hideMark/>
          </w:tcPr>
          <w:p w14:paraId="6C637B89"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N</w:t>
            </w:r>
          </w:p>
        </w:tc>
        <w:tc>
          <w:tcPr>
            <w:tcW w:w="0" w:type="auto"/>
            <w:shd w:val="clear" w:color="auto" w:fill="auto"/>
            <w:noWrap/>
            <w:vAlign w:val="bottom"/>
            <w:hideMark/>
          </w:tcPr>
          <w:p w14:paraId="3F871EC5"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2.6</w:t>
            </w:r>
          </w:p>
        </w:tc>
        <w:tc>
          <w:tcPr>
            <w:tcW w:w="0" w:type="auto"/>
            <w:shd w:val="clear" w:color="auto" w:fill="auto"/>
            <w:noWrap/>
            <w:vAlign w:val="bottom"/>
            <w:hideMark/>
          </w:tcPr>
          <w:p w14:paraId="3DB449E7"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2.8</w:t>
            </w:r>
          </w:p>
        </w:tc>
      </w:tr>
      <w:tr w:rsidR="00EA7FE6" w:rsidRPr="009867C1" w14:paraId="78D3F0D2" w14:textId="77777777" w:rsidTr="00EA7FE6">
        <w:trPr>
          <w:trHeight w:val="254"/>
        </w:trPr>
        <w:tc>
          <w:tcPr>
            <w:tcW w:w="0" w:type="auto"/>
            <w:shd w:val="clear" w:color="auto" w:fill="auto"/>
            <w:noWrap/>
            <w:vAlign w:val="bottom"/>
            <w:hideMark/>
          </w:tcPr>
          <w:p w14:paraId="08B5A4F9"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Kunsoot Main</w:t>
            </w:r>
          </w:p>
        </w:tc>
        <w:tc>
          <w:tcPr>
            <w:tcW w:w="0" w:type="auto"/>
            <w:shd w:val="clear" w:color="auto" w:fill="auto"/>
            <w:noWrap/>
            <w:vAlign w:val="bottom"/>
            <w:hideMark/>
          </w:tcPr>
          <w:p w14:paraId="3B86A2CC"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3</w:t>
            </w:r>
          </w:p>
        </w:tc>
        <w:tc>
          <w:tcPr>
            <w:tcW w:w="0" w:type="auto"/>
            <w:shd w:val="clear" w:color="auto" w:fill="auto"/>
            <w:noWrap/>
            <w:vAlign w:val="bottom"/>
            <w:hideMark/>
          </w:tcPr>
          <w:p w14:paraId="37204ABF"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4.9</w:t>
            </w:r>
          </w:p>
        </w:tc>
        <w:tc>
          <w:tcPr>
            <w:tcW w:w="0" w:type="auto"/>
            <w:shd w:val="clear" w:color="auto" w:fill="auto"/>
            <w:noWrap/>
            <w:vAlign w:val="bottom"/>
            <w:hideMark/>
          </w:tcPr>
          <w:p w14:paraId="6CE044AB"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3800</w:t>
            </w:r>
          </w:p>
        </w:tc>
        <w:tc>
          <w:tcPr>
            <w:tcW w:w="0" w:type="auto"/>
            <w:shd w:val="clear" w:color="auto" w:fill="auto"/>
            <w:noWrap/>
            <w:vAlign w:val="bottom"/>
            <w:hideMark/>
          </w:tcPr>
          <w:p w14:paraId="72B758AB"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13.1</w:t>
            </w:r>
          </w:p>
        </w:tc>
        <w:tc>
          <w:tcPr>
            <w:tcW w:w="0" w:type="auto"/>
            <w:shd w:val="clear" w:color="auto" w:fill="auto"/>
            <w:noWrap/>
            <w:vAlign w:val="bottom"/>
            <w:hideMark/>
          </w:tcPr>
          <w:p w14:paraId="7ED17E65"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N</w:t>
            </w:r>
          </w:p>
        </w:tc>
        <w:tc>
          <w:tcPr>
            <w:tcW w:w="0" w:type="auto"/>
            <w:shd w:val="clear" w:color="auto" w:fill="auto"/>
            <w:noWrap/>
            <w:vAlign w:val="bottom"/>
            <w:hideMark/>
          </w:tcPr>
          <w:p w14:paraId="45EAE6A5"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3.8</w:t>
            </w:r>
          </w:p>
        </w:tc>
        <w:tc>
          <w:tcPr>
            <w:tcW w:w="0" w:type="auto"/>
            <w:shd w:val="clear" w:color="auto" w:fill="auto"/>
            <w:noWrap/>
            <w:vAlign w:val="bottom"/>
            <w:hideMark/>
          </w:tcPr>
          <w:p w14:paraId="5F9F2ED1"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5.1</w:t>
            </w:r>
          </w:p>
        </w:tc>
      </w:tr>
      <w:tr w:rsidR="00EA7FE6" w:rsidRPr="009867C1" w14:paraId="5C2A2CEB" w14:textId="77777777" w:rsidTr="00EA7FE6">
        <w:trPr>
          <w:trHeight w:val="254"/>
        </w:trPr>
        <w:tc>
          <w:tcPr>
            <w:tcW w:w="0" w:type="auto"/>
            <w:shd w:val="clear" w:color="auto" w:fill="auto"/>
            <w:noWrap/>
            <w:vAlign w:val="bottom"/>
            <w:hideMark/>
          </w:tcPr>
          <w:p w14:paraId="75CAB3E1"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Lee</w:t>
            </w:r>
          </w:p>
        </w:tc>
        <w:tc>
          <w:tcPr>
            <w:tcW w:w="0" w:type="auto"/>
            <w:shd w:val="clear" w:color="auto" w:fill="auto"/>
            <w:noWrap/>
            <w:vAlign w:val="bottom"/>
            <w:hideMark/>
          </w:tcPr>
          <w:p w14:paraId="7C63A7DC"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3</w:t>
            </w:r>
          </w:p>
        </w:tc>
        <w:tc>
          <w:tcPr>
            <w:tcW w:w="0" w:type="auto"/>
            <w:shd w:val="clear" w:color="auto" w:fill="auto"/>
            <w:noWrap/>
            <w:vAlign w:val="bottom"/>
            <w:hideMark/>
          </w:tcPr>
          <w:p w14:paraId="162B9D22"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11.2</w:t>
            </w:r>
          </w:p>
        </w:tc>
        <w:tc>
          <w:tcPr>
            <w:tcW w:w="0" w:type="auto"/>
            <w:shd w:val="clear" w:color="auto" w:fill="auto"/>
            <w:noWrap/>
            <w:vAlign w:val="bottom"/>
            <w:hideMark/>
          </w:tcPr>
          <w:p w14:paraId="2237DEB8"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700</w:t>
            </w:r>
          </w:p>
        </w:tc>
        <w:tc>
          <w:tcPr>
            <w:tcW w:w="0" w:type="auto"/>
            <w:shd w:val="clear" w:color="auto" w:fill="auto"/>
            <w:noWrap/>
            <w:vAlign w:val="bottom"/>
            <w:hideMark/>
          </w:tcPr>
          <w:p w14:paraId="5468099E"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12.4</w:t>
            </w:r>
          </w:p>
        </w:tc>
        <w:tc>
          <w:tcPr>
            <w:tcW w:w="0" w:type="auto"/>
            <w:shd w:val="clear" w:color="auto" w:fill="auto"/>
            <w:noWrap/>
            <w:vAlign w:val="bottom"/>
            <w:hideMark/>
          </w:tcPr>
          <w:p w14:paraId="3645C4E5"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N</w:t>
            </w:r>
          </w:p>
        </w:tc>
        <w:tc>
          <w:tcPr>
            <w:tcW w:w="0" w:type="auto"/>
            <w:shd w:val="clear" w:color="auto" w:fill="auto"/>
            <w:noWrap/>
            <w:vAlign w:val="bottom"/>
            <w:hideMark/>
          </w:tcPr>
          <w:p w14:paraId="2D9F5E82"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13.9</w:t>
            </w:r>
          </w:p>
        </w:tc>
        <w:tc>
          <w:tcPr>
            <w:tcW w:w="0" w:type="auto"/>
            <w:shd w:val="clear" w:color="auto" w:fill="auto"/>
            <w:noWrap/>
            <w:vAlign w:val="bottom"/>
            <w:hideMark/>
          </w:tcPr>
          <w:p w14:paraId="55F9687B"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19.0</w:t>
            </w:r>
          </w:p>
        </w:tc>
      </w:tr>
      <w:tr w:rsidR="00EA7FE6" w:rsidRPr="009867C1" w14:paraId="7E209198" w14:textId="77777777" w:rsidTr="00EA7FE6">
        <w:trPr>
          <w:trHeight w:val="254"/>
        </w:trPr>
        <w:tc>
          <w:tcPr>
            <w:tcW w:w="0" w:type="auto"/>
            <w:shd w:val="clear" w:color="auto" w:fill="auto"/>
            <w:noWrap/>
            <w:vAlign w:val="bottom"/>
            <w:hideMark/>
          </w:tcPr>
          <w:p w14:paraId="590A2556"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Mosquito Left</w:t>
            </w:r>
          </w:p>
        </w:tc>
        <w:tc>
          <w:tcPr>
            <w:tcW w:w="0" w:type="auto"/>
            <w:shd w:val="clear" w:color="auto" w:fill="auto"/>
            <w:noWrap/>
            <w:vAlign w:val="bottom"/>
            <w:hideMark/>
          </w:tcPr>
          <w:p w14:paraId="754738A5"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4</w:t>
            </w:r>
          </w:p>
        </w:tc>
        <w:tc>
          <w:tcPr>
            <w:tcW w:w="0" w:type="auto"/>
            <w:shd w:val="clear" w:color="auto" w:fill="auto"/>
            <w:noWrap/>
            <w:vAlign w:val="bottom"/>
            <w:hideMark/>
          </w:tcPr>
          <w:p w14:paraId="4854FB11"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2.1</w:t>
            </w:r>
          </w:p>
        </w:tc>
        <w:tc>
          <w:tcPr>
            <w:tcW w:w="0" w:type="auto"/>
            <w:shd w:val="clear" w:color="auto" w:fill="auto"/>
            <w:noWrap/>
            <w:vAlign w:val="bottom"/>
            <w:hideMark/>
          </w:tcPr>
          <w:p w14:paraId="7F308F04"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250</w:t>
            </w:r>
          </w:p>
        </w:tc>
        <w:tc>
          <w:tcPr>
            <w:tcW w:w="0" w:type="auto"/>
            <w:shd w:val="clear" w:color="auto" w:fill="auto"/>
            <w:noWrap/>
            <w:vAlign w:val="bottom"/>
            <w:hideMark/>
          </w:tcPr>
          <w:p w14:paraId="04EB967A"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5.7</w:t>
            </w:r>
          </w:p>
        </w:tc>
        <w:tc>
          <w:tcPr>
            <w:tcW w:w="0" w:type="auto"/>
            <w:shd w:val="clear" w:color="auto" w:fill="auto"/>
            <w:noWrap/>
            <w:vAlign w:val="bottom"/>
            <w:hideMark/>
          </w:tcPr>
          <w:p w14:paraId="5CF869E9"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N</w:t>
            </w:r>
          </w:p>
        </w:tc>
        <w:tc>
          <w:tcPr>
            <w:tcW w:w="0" w:type="auto"/>
            <w:shd w:val="clear" w:color="auto" w:fill="auto"/>
            <w:noWrap/>
            <w:vAlign w:val="bottom"/>
            <w:hideMark/>
          </w:tcPr>
          <w:p w14:paraId="4103F433"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4.1</w:t>
            </w:r>
          </w:p>
        </w:tc>
        <w:tc>
          <w:tcPr>
            <w:tcW w:w="0" w:type="auto"/>
            <w:shd w:val="clear" w:color="auto" w:fill="auto"/>
            <w:noWrap/>
            <w:vAlign w:val="bottom"/>
            <w:hideMark/>
          </w:tcPr>
          <w:p w14:paraId="4FBC1939"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7.1</w:t>
            </w:r>
          </w:p>
        </w:tc>
      </w:tr>
      <w:tr w:rsidR="00EA7FE6" w:rsidRPr="009867C1" w14:paraId="4A1D2953" w14:textId="77777777" w:rsidTr="00EA7FE6">
        <w:trPr>
          <w:trHeight w:val="254"/>
        </w:trPr>
        <w:tc>
          <w:tcPr>
            <w:tcW w:w="0" w:type="auto"/>
            <w:shd w:val="clear" w:color="auto" w:fill="auto"/>
            <w:noWrap/>
            <w:vAlign w:val="bottom"/>
            <w:hideMark/>
          </w:tcPr>
          <w:p w14:paraId="427E7805"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Mosquito Right</w:t>
            </w:r>
          </w:p>
        </w:tc>
        <w:tc>
          <w:tcPr>
            <w:tcW w:w="0" w:type="auto"/>
            <w:shd w:val="clear" w:color="auto" w:fill="auto"/>
            <w:noWrap/>
            <w:vAlign w:val="bottom"/>
            <w:hideMark/>
          </w:tcPr>
          <w:p w14:paraId="08CF1EC7"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8</w:t>
            </w:r>
          </w:p>
        </w:tc>
        <w:tc>
          <w:tcPr>
            <w:tcW w:w="0" w:type="auto"/>
            <w:shd w:val="clear" w:color="auto" w:fill="auto"/>
            <w:noWrap/>
            <w:vAlign w:val="bottom"/>
            <w:hideMark/>
          </w:tcPr>
          <w:p w14:paraId="0CDC6C4C"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3.1</w:t>
            </w:r>
          </w:p>
        </w:tc>
        <w:tc>
          <w:tcPr>
            <w:tcW w:w="0" w:type="auto"/>
            <w:shd w:val="clear" w:color="auto" w:fill="auto"/>
            <w:noWrap/>
            <w:vAlign w:val="bottom"/>
            <w:hideMark/>
          </w:tcPr>
          <w:p w14:paraId="7F335554"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500</w:t>
            </w:r>
          </w:p>
        </w:tc>
        <w:tc>
          <w:tcPr>
            <w:tcW w:w="0" w:type="auto"/>
            <w:shd w:val="clear" w:color="auto" w:fill="auto"/>
            <w:noWrap/>
            <w:vAlign w:val="bottom"/>
            <w:hideMark/>
          </w:tcPr>
          <w:p w14:paraId="6F5D80C8"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4</w:t>
            </w:r>
          </w:p>
        </w:tc>
        <w:tc>
          <w:tcPr>
            <w:tcW w:w="0" w:type="auto"/>
            <w:shd w:val="clear" w:color="auto" w:fill="auto"/>
            <w:noWrap/>
            <w:vAlign w:val="bottom"/>
            <w:hideMark/>
          </w:tcPr>
          <w:p w14:paraId="71226FDD"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N</w:t>
            </w:r>
          </w:p>
        </w:tc>
        <w:tc>
          <w:tcPr>
            <w:tcW w:w="0" w:type="auto"/>
            <w:shd w:val="clear" w:color="auto" w:fill="auto"/>
            <w:noWrap/>
            <w:vAlign w:val="bottom"/>
            <w:hideMark/>
          </w:tcPr>
          <w:p w14:paraId="512A7130"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3.7</w:t>
            </w:r>
          </w:p>
        </w:tc>
        <w:tc>
          <w:tcPr>
            <w:tcW w:w="0" w:type="auto"/>
            <w:shd w:val="clear" w:color="auto" w:fill="auto"/>
            <w:noWrap/>
            <w:vAlign w:val="bottom"/>
            <w:hideMark/>
          </w:tcPr>
          <w:p w14:paraId="64451AAC"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3.1</w:t>
            </w:r>
          </w:p>
        </w:tc>
      </w:tr>
      <w:tr w:rsidR="00EA7FE6" w:rsidRPr="009867C1" w14:paraId="704B7053" w14:textId="77777777" w:rsidTr="00EA7FE6">
        <w:trPr>
          <w:trHeight w:val="254"/>
        </w:trPr>
        <w:tc>
          <w:tcPr>
            <w:tcW w:w="0" w:type="auto"/>
            <w:shd w:val="clear" w:color="auto" w:fill="auto"/>
            <w:noWrap/>
            <w:vAlign w:val="bottom"/>
            <w:hideMark/>
          </w:tcPr>
          <w:p w14:paraId="5BC7441F"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Neekas</w:t>
            </w:r>
          </w:p>
        </w:tc>
        <w:tc>
          <w:tcPr>
            <w:tcW w:w="0" w:type="auto"/>
            <w:shd w:val="clear" w:color="auto" w:fill="auto"/>
            <w:noWrap/>
            <w:vAlign w:val="bottom"/>
            <w:hideMark/>
          </w:tcPr>
          <w:p w14:paraId="068D337B"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23</w:t>
            </w:r>
          </w:p>
        </w:tc>
        <w:tc>
          <w:tcPr>
            <w:tcW w:w="0" w:type="auto"/>
            <w:shd w:val="clear" w:color="auto" w:fill="auto"/>
            <w:noWrap/>
            <w:vAlign w:val="bottom"/>
            <w:hideMark/>
          </w:tcPr>
          <w:p w14:paraId="71FC9D78"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16</w:t>
            </w:r>
          </w:p>
        </w:tc>
        <w:tc>
          <w:tcPr>
            <w:tcW w:w="0" w:type="auto"/>
            <w:shd w:val="clear" w:color="auto" w:fill="auto"/>
            <w:noWrap/>
            <w:vAlign w:val="bottom"/>
            <w:hideMark/>
          </w:tcPr>
          <w:p w14:paraId="0331EFBF"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2100</w:t>
            </w:r>
          </w:p>
        </w:tc>
        <w:tc>
          <w:tcPr>
            <w:tcW w:w="0" w:type="auto"/>
            <w:shd w:val="clear" w:color="auto" w:fill="auto"/>
            <w:noWrap/>
            <w:vAlign w:val="bottom"/>
            <w:hideMark/>
          </w:tcPr>
          <w:p w14:paraId="2DC71C46"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17.7</w:t>
            </w:r>
          </w:p>
        </w:tc>
        <w:tc>
          <w:tcPr>
            <w:tcW w:w="0" w:type="auto"/>
            <w:shd w:val="clear" w:color="auto" w:fill="auto"/>
            <w:noWrap/>
            <w:vAlign w:val="bottom"/>
            <w:hideMark/>
          </w:tcPr>
          <w:p w14:paraId="4A947183"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Y</w:t>
            </w:r>
          </w:p>
        </w:tc>
        <w:tc>
          <w:tcPr>
            <w:tcW w:w="0" w:type="auto"/>
            <w:shd w:val="clear" w:color="auto" w:fill="auto"/>
            <w:noWrap/>
            <w:vAlign w:val="bottom"/>
            <w:hideMark/>
          </w:tcPr>
          <w:p w14:paraId="3BD39564"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45.8</w:t>
            </w:r>
          </w:p>
        </w:tc>
        <w:tc>
          <w:tcPr>
            <w:tcW w:w="0" w:type="auto"/>
            <w:shd w:val="clear" w:color="auto" w:fill="auto"/>
            <w:noWrap/>
            <w:vAlign w:val="bottom"/>
            <w:hideMark/>
          </w:tcPr>
          <w:p w14:paraId="3F16FF43"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51.0</w:t>
            </w:r>
          </w:p>
        </w:tc>
      </w:tr>
      <w:tr w:rsidR="00EA7FE6" w:rsidRPr="009867C1" w14:paraId="5CEDB60F" w14:textId="77777777" w:rsidTr="00EA7FE6">
        <w:trPr>
          <w:trHeight w:val="254"/>
        </w:trPr>
        <w:tc>
          <w:tcPr>
            <w:tcW w:w="0" w:type="auto"/>
            <w:shd w:val="clear" w:color="auto" w:fill="auto"/>
            <w:noWrap/>
            <w:vAlign w:val="bottom"/>
            <w:hideMark/>
          </w:tcPr>
          <w:p w14:paraId="192108D4"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Quartcha</w:t>
            </w:r>
          </w:p>
        </w:tc>
        <w:tc>
          <w:tcPr>
            <w:tcW w:w="0" w:type="auto"/>
            <w:shd w:val="clear" w:color="auto" w:fill="auto"/>
            <w:noWrap/>
            <w:vAlign w:val="bottom"/>
            <w:hideMark/>
          </w:tcPr>
          <w:p w14:paraId="235C7D6A"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6</w:t>
            </w:r>
          </w:p>
        </w:tc>
        <w:tc>
          <w:tcPr>
            <w:tcW w:w="0" w:type="auto"/>
            <w:shd w:val="clear" w:color="auto" w:fill="auto"/>
            <w:noWrap/>
            <w:vAlign w:val="bottom"/>
            <w:hideMark/>
          </w:tcPr>
          <w:p w14:paraId="2E442187"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29.4</w:t>
            </w:r>
          </w:p>
        </w:tc>
        <w:tc>
          <w:tcPr>
            <w:tcW w:w="0" w:type="auto"/>
            <w:shd w:val="clear" w:color="auto" w:fill="auto"/>
            <w:noWrap/>
            <w:vAlign w:val="bottom"/>
            <w:hideMark/>
          </w:tcPr>
          <w:p w14:paraId="06C6FF9A"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5500</w:t>
            </w:r>
          </w:p>
        </w:tc>
        <w:tc>
          <w:tcPr>
            <w:tcW w:w="0" w:type="auto"/>
            <w:shd w:val="clear" w:color="auto" w:fill="auto"/>
            <w:noWrap/>
            <w:vAlign w:val="bottom"/>
            <w:hideMark/>
          </w:tcPr>
          <w:p w14:paraId="1B487C55"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21.7</w:t>
            </w:r>
          </w:p>
        </w:tc>
        <w:tc>
          <w:tcPr>
            <w:tcW w:w="0" w:type="auto"/>
            <w:shd w:val="clear" w:color="auto" w:fill="auto"/>
            <w:noWrap/>
            <w:vAlign w:val="bottom"/>
            <w:hideMark/>
          </w:tcPr>
          <w:p w14:paraId="46D683FF"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N</w:t>
            </w:r>
          </w:p>
        </w:tc>
        <w:tc>
          <w:tcPr>
            <w:tcW w:w="0" w:type="auto"/>
            <w:shd w:val="clear" w:color="auto" w:fill="auto"/>
            <w:noWrap/>
            <w:vAlign w:val="bottom"/>
            <w:hideMark/>
          </w:tcPr>
          <w:p w14:paraId="2E92B38A"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3.5</w:t>
            </w:r>
          </w:p>
        </w:tc>
        <w:tc>
          <w:tcPr>
            <w:tcW w:w="0" w:type="auto"/>
            <w:shd w:val="clear" w:color="auto" w:fill="auto"/>
            <w:noWrap/>
            <w:vAlign w:val="bottom"/>
            <w:hideMark/>
          </w:tcPr>
          <w:p w14:paraId="4CFE902C"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4.2</w:t>
            </w:r>
          </w:p>
        </w:tc>
      </w:tr>
      <w:tr w:rsidR="00EA7FE6" w:rsidRPr="009867C1" w14:paraId="6FA71967" w14:textId="77777777" w:rsidTr="00EA7FE6">
        <w:trPr>
          <w:trHeight w:val="254"/>
        </w:trPr>
        <w:tc>
          <w:tcPr>
            <w:tcW w:w="0" w:type="auto"/>
            <w:shd w:val="clear" w:color="auto" w:fill="auto"/>
            <w:noWrap/>
            <w:vAlign w:val="bottom"/>
            <w:hideMark/>
          </w:tcPr>
          <w:p w14:paraId="266E41A1"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Rainbow</w:t>
            </w:r>
          </w:p>
        </w:tc>
        <w:tc>
          <w:tcPr>
            <w:tcW w:w="0" w:type="auto"/>
            <w:shd w:val="clear" w:color="auto" w:fill="auto"/>
            <w:noWrap/>
            <w:vAlign w:val="bottom"/>
            <w:hideMark/>
          </w:tcPr>
          <w:p w14:paraId="6ED891B5"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10</w:t>
            </w:r>
          </w:p>
        </w:tc>
        <w:tc>
          <w:tcPr>
            <w:tcW w:w="0" w:type="auto"/>
            <w:shd w:val="clear" w:color="auto" w:fill="auto"/>
            <w:noWrap/>
            <w:vAlign w:val="bottom"/>
            <w:hideMark/>
          </w:tcPr>
          <w:p w14:paraId="055AACE4"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13.7</w:t>
            </w:r>
          </w:p>
        </w:tc>
        <w:tc>
          <w:tcPr>
            <w:tcW w:w="0" w:type="auto"/>
            <w:shd w:val="clear" w:color="auto" w:fill="auto"/>
            <w:noWrap/>
            <w:vAlign w:val="bottom"/>
            <w:hideMark/>
          </w:tcPr>
          <w:p w14:paraId="02A75C1B"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300</w:t>
            </w:r>
          </w:p>
        </w:tc>
        <w:tc>
          <w:tcPr>
            <w:tcW w:w="0" w:type="auto"/>
            <w:shd w:val="clear" w:color="auto" w:fill="auto"/>
            <w:noWrap/>
            <w:vAlign w:val="bottom"/>
            <w:hideMark/>
          </w:tcPr>
          <w:p w14:paraId="698530E7"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15.1</w:t>
            </w:r>
          </w:p>
        </w:tc>
        <w:tc>
          <w:tcPr>
            <w:tcW w:w="0" w:type="auto"/>
            <w:shd w:val="clear" w:color="auto" w:fill="auto"/>
            <w:noWrap/>
            <w:vAlign w:val="bottom"/>
            <w:hideMark/>
          </w:tcPr>
          <w:p w14:paraId="35B1F77F"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N</w:t>
            </w:r>
          </w:p>
        </w:tc>
        <w:tc>
          <w:tcPr>
            <w:tcW w:w="0" w:type="auto"/>
            <w:shd w:val="clear" w:color="auto" w:fill="auto"/>
            <w:noWrap/>
            <w:vAlign w:val="bottom"/>
            <w:hideMark/>
          </w:tcPr>
          <w:p w14:paraId="07708AFF"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3.7</w:t>
            </w:r>
          </w:p>
        </w:tc>
        <w:tc>
          <w:tcPr>
            <w:tcW w:w="0" w:type="auto"/>
            <w:shd w:val="clear" w:color="auto" w:fill="auto"/>
            <w:noWrap/>
            <w:vAlign w:val="bottom"/>
            <w:hideMark/>
          </w:tcPr>
          <w:p w14:paraId="03911389"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4.7</w:t>
            </w:r>
          </w:p>
        </w:tc>
      </w:tr>
      <w:tr w:rsidR="00EA7FE6" w:rsidRPr="009867C1" w14:paraId="11C8F57F" w14:textId="77777777" w:rsidTr="00EA7FE6">
        <w:trPr>
          <w:trHeight w:val="254"/>
        </w:trPr>
        <w:tc>
          <w:tcPr>
            <w:tcW w:w="0" w:type="auto"/>
            <w:shd w:val="clear" w:color="auto" w:fill="auto"/>
            <w:noWrap/>
            <w:vAlign w:val="bottom"/>
            <w:hideMark/>
          </w:tcPr>
          <w:p w14:paraId="78866BD1"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Sagar</w:t>
            </w:r>
          </w:p>
        </w:tc>
        <w:tc>
          <w:tcPr>
            <w:tcW w:w="0" w:type="auto"/>
            <w:shd w:val="clear" w:color="auto" w:fill="auto"/>
            <w:noWrap/>
            <w:vAlign w:val="bottom"/>
            <w:hideMark/>
          </w:tcPr>
          <w:p w14:paraId="57E3243D"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8</w:t>
            </w:r>
          </w:p>
        </w:tc>
        <w:tc>
          <w:tcPr>
            <w:tcW w:w="0" w:type="auto"/>
            <w:shd w:val="clear" w:color="auto" w:fill="auto"/>
            <w:noWrap/>
            <w:vAlign w:val="bottom"/>
            <w:hideMark/>
          </w:tcPr>
          <w:p w14:paraId="3FF226FB"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36.6</w:t>
            </w:r>
          </w:p>
        </w:tc>
        <w:tc>
          <w:tcPr>
            <w:tcW w:w="0" w:type="auto"/>
            <w:shd w:val="clear" w:color="auto" w:fill="auto"/>
            <w:noWrap/>
            <w:vAlign w:val="bottom"/>
            <w:hideMark/>
          </w:tcPr>
          <w:p w14:paraId="47CE3776"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800</w:t>
            </w:r>
          </w:p>
        </w:tc>
        <w:tc>
          <w:tcPr>
            <w:tcW w:w="0" w:type="auto"/>
            <w:shd w:val="clear" w:color="auto" w:fill="auto"/>
            <w:noWrap/>
            <w:vAlign w:val="bottom"/>
            <w:hideMark/>
          </w:tcPr>
          <w:p w14:paraId="4D328042"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15.5</w:t>
            </w:r>
          </w:p>
        </w:tc>
        <w:tc>
          <w:tcPr>
            <w:tcW w:w="0" w:type="auto"/>
            <w:shd w:val="clear" w:color="auto" w:fill="auto"/>
            <w:noWrap/>
            <w:vAlign w:val="bottom"/>
            <w:hideMark/>
          </w:tcPr>
          <w:p w14:paraId="256F4E60"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Y</w:t>
            </w:r>
          </w:p>
        </w:tc>
        <w:tc>
          <w:tcPr>
            <w:tcW w:w="0" w:type="auto"/>
            <w:shd w:val="clear" w:color="auto" w:fill="auto"/>
            <w:noWrap/>
            <w:vAlign w:val="bottom"/>
            <w:hideMark/>
          </w:tcPr>
          <w:p w14:paraId="3A1E9004"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4.1</w:t>
            </w:r>
          </w:p>
        </w:tc>
        <w:tc>
          <w:tcPr>
            <w:tcW w:w="0" w:type="auto"/>
            <w:shd w:val="clear" w:color="auto" w:fill="auto"/>
            <w:noWrap/>
            <w:vAlign w:val="bottom"/>
            <w:hideMark/>
          </w:tcPr>
          <w:p w14:paraId="4187CCCF"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6.3</w:t>
            </w:r>
          </w:p>
        </w:tc>
      </w:tr>
      <w:tr w:rsidR="00EA7FE6" w:rsidRPr="009867C1" w14:paraId="1FB3BD61" w14:textId="77777777" w:rsidTr="00EA7FE6">
        <w:trPr>
          <w:trHeight w:val="254"/>
        </w:trPr>
        <w:tc>
          <w:tcPr>
            <w:tcW w:w="0" w:type="auto"/>
            <w:shd w:val="clear" w:color="auto" w:fill="auto"/>
            <w:noWrap/>
            <w:vAlign w:val="bottom"/>
            <w:hideMark/>
          </w:tcPr>
          <w:p w14:paraId="657EC9DF"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Troop North</w:t>
            </w:r>
          </w:p>
        </w:tc>
        <w:tc>
          <w:tcPr>
            <w:tcW w:w="0" w:type="auto"/>
            <w:shd w:val="clear" w:color="auto" w:fill="auto"/>
            <w:noWrap/>
            <w:vAlign w:val="bottom"/>
            <w:hideMark/>
          </w:tcPr>
          <w:p w14:paraId="4C136DD1"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2</w:t>
            </w:r>
          </w:p>
        </w:tc>
        <w:tc>
          <w:tcPr>
            <w:tcW w:w="0" w:type="auto"/>
            <w:shd w:val="clear" w:color="auto" w:fill="auto"/>
            <w:noWrap/>
            <w:vAlign w:val="bottom"/>
            <w:hideMark/>
          </w:tcPr>
          <w:p w14:paraId="2068C3CB"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1.6</w:t>
            </w:r>
          </w:p>
        </w:tc>
        <w:tc>
          <w:tcPr>
            <w:tcW w:w="0" w:type="auto"/>
            <w:shd w:val="clear" w:color="auto" w:fill="auto"/>
            <w:noWrap/>
            <w:vAlign w:val="bottom"/>
            <w:hideMark/>
          </w:tcPr>
          <w:p w14:paraId="6E2C068E"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332</w:t>
            </w:r>
          </w:p>
        </w:tc>
        <w:tc>
          <w:tcPr>
            <w:tcW w:w="0" w:type="auto"/>
            <w:shd w:val="clear" w:color="auto" w:fill="auto"/>
            <w:noWrap/>
            <w:vAlign w:val="bottom"/>
            <w:hideMark/>
          </w:tcPr>
          <w:p w14:paraId="2A045E30"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4.4</w:t>
            </w:r>
          </w:p>
        </w:tc>
        <w:tc>
          <w:tcPr>
            <w:tcW w:w="0" w:type="auto"/>
            <w:shd w:val="clear" w:color="auto" w:fill="auto"/>
            <w:noWrap/>
            <w:vAlign w:val="bottom"/>
            <w:hideMark/>
          </w:tcPr>
          <w:p w14:paraId="049E20CC"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N</w:t>
            </w:r>
          </w:p>
        </w:tc>
        <w:tc>
          <w:tcPr>
            <w:tcW w:w="0" w:type="auto"/>
            <w:shd w:val="clear" w:color="auto" w:fill="auto"/>
            <w:noWrap/>
            <w:vAlign w:val="bottom"/>
            <w:hideMark/>
          </w:tcPr>
          <w:p w14:paraId="415CDEEB"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0.3</w:t>
            </w:r>
          </w:p>
        </w:tc>
        <w:tc>
          <w:tcPr>
            <w:tcW w:w="0" w:type="auto"/>
            <w:shd w:val="clear" w:color="auto" w:fill="auto"/>
            <w:noWrap/>
            <w:vAlign w:val="bottom"/>
            <w:hideMark/>
          </w:tcPr>
          <w:p w14:paraId="22E0A8AD"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0.0</w:t>
            </w:r>
          </w:p>
        </w:tc>
      </w:tr>
      <w:tr w:rsidR="00EA7FE6" w:rsidRPr="009867C1" w14:paraId="25E01EAB" w14:textId="77777777" w:rsidTr="00EA7FE6">
        <w:trPr>
          <w:trHeight w:val="254"/>
        </w:trPr>
        <w:tc>
          <w:tcPr>
            <w:tcW w:w="0" w:type="auto"/>
            <w:shd w:val="clear" w:color="auto" w:fill="auto"/>
            <w:noWrap/>
            <w:vAlign w:val="bottom"/>
            <w:hideMark/>
          </w:tcPr>
          <w:p w14:paraId="4D75057C"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Troop South</w:t>
            </w:r>
          </w:p>
        </w:tc>
        <w:tc>
          <w:tcPr>
            <w:tcW w:w="0" w:type="auto"/>
            <w:shd w:val="clear" w:color="auto" w:fill="auto"/>
            <w:noWrap/>
            <w:vAlign w:val="bottom"/>
            <w:hideMark/>
          </w:tcPr>
          <w:p w14:paraId="1D603852"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2</w:t>
            </w:r>
          </w:p>
        </w:tc>
        <w:tc>
          <w:tcPr>
            <w:tcW w:w="0" w:type="auto"/>
            <w:shd w:val="clear" w:color="auto" w:fill="auto"/>
            <w:noWrap/>
            <w:vAlign w:val="bottom"/>
            <w:hideMark/>
          </w:tcPr>
          <w:p w14:paraId="0F5D6634"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1.8</w:t>
            </w:r>
          </w:p>
        </w:tc>
        <w:tc>
          <w:tcPr>
            <w:tcW w:w="0" w:type="auto"/>
            <w:shd w:val="clear" w:color="auto" w:fill="auto"/>
            <w:noWrap/>
            <w:vAlign w:val="bottom"/>
            <w:hideMark/>
          </w:tcPr>
          <w:p w14:paraId="0D268627"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489</w:t>
            </w:r>
          </w:p>
        </w:tc>
        <w:tc>
          <w:tcPr>
            <w:tcW w:w="0" w:type="auto"/>
            <w:shd w:val="clear" w:color="auto" w:fill="auto"/>
            <w:noWrap/>
            <w:vAlign w:val="bottom"/>
            <w:hideMark/>
          </w:tcPr>
          <w:p w14:paraId="19F52E8F"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4.1</w:t>
            </w:r>
          </w:p>
        </w:tc>
        <w:tc>
          <w:tcPr>
            <w:tcW w:w="0" w:type="auto"/>
            <w:shd w:val="clear" w:color="auto" w:fill="auto"/>
            <w:noWrap/>
            <w:vAlign w:val="bottom"/>
            <w:hideMark/>
          </w:tcPr>
          <w:p w14:paraId="6E07D3C0"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N</w:t>
            </w:r>
          </w:p>
        </w:tc>
        <w:tc>
          <w:tcPr>
            <w:tcW w:w="0" w:type="auto"/>
            <w:shd w:val="clear" w:color="auto" w:fill="auto"/>
            <w:noWrap/>
            <w:vAlign w:val="bottom"/>
            <w:hideMark/>
          </w:tcPr>
          <w:p w14:paraId="3D53689B"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0.6</w:t>
            </w:r>
          </w:p>
        </w:tc>
        <w:tc>
          <w:tcPr>
            <w:tcW w:w="0" w:type="auto"/>
            <w:shd w:val="clear" w:color="auto" w:fill="auto"/>
            <w:noWrap/>
            <w:vAlign w:val="bottom"/>
            <w:hideMark/>
          </w:tcPr>
          <w:p w14:paraId="43E0E5E3"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0.4</w:t>
            </w:r>
          </w:p>
        </w:tc>
      </w:tr>
      <w:tr w:rsidR="00EA7FE6" w:rsidRPr="009867C1" w14:paraId="6D78DB38" w14:textId="77777777" w:rsidTr="00EA7FE6">
        <w:trPr>
          <w:trHeight w:val="254"/>
        </w:trPr>
        <w:tc>
          <w:tcPr>
            <w:tcW w:w="0" w:type="auto"/>
            <w:shd w:val="clear" w:color="auto" w:fill="auto"/>
            <w:noWrap/>
            <w:vAlign w:val="bottom"/>
            <w:hideMark/>
          </w:tcPr>
          <w:p w14:paraId="22053A80"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Whisky slough</w:t>
            </w:r>
          </w:p>
        </w:tc>
        <w:tc>
          <w:tcPr>
            <w:tcW w:w="0" w:type="auto"/>
            <w:shd w:val="clear" w:color="auto" w:fill="auto"/>
            <w:noWrap/>
            <w:vAlign w:val="bottom"/>
            <w:hideMark/>
          </w:tcPr>
          <w:p w14:paraId="3DA1F2B4"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3</w:t>
            </w:r>
          </w:p>
        </w:tc>
        <w:tc>
          <w:tcPr>
            <w:tcW w:w="0" w:type="auto"/>
            <w:shd w:val="clear" w:color="auto" w:fill="auto"/>
            <w:noWrap/>
            <w:vAlign w:val="bottom"/>
            <w:hideMark/>
          </w:tcPr>
          <w:p w14:paraId="08E8B1B2"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0.819</w:t>
            </w:r>
          </w:p>
        </w:tc>
        <w:tc>
          <w:tcPr>
            <w:tcW w:w="0" w:type="auto"/>
            <w:shd w:val="clear" w:color="auto" w:fill="auto"/>
            <w:noWrap/>
            <w:vAlign w:val="bottom"/>
            <w:hideMark/>
          </w:tcPr>
          <w:p w14:paraId="61F5A605"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0</w:t>
            </w:r>
          </w:p>
        </w:tc>
        <w:tc>
          <w:tcPr>
            <w:tcW w:w="0" w:type="auto"/>
            <w:shd w:val="clear" w:color="auto" w:fill="auto"/>
            <w:noWrap/>
            <w:vAlign w:val="bottom"/>
            <w:hideMark/>
          </w:tcPr>
          <w:p w14:paraId="27EEFC0A"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2</w:t>
            </w:r>
          </w:p>
        </w:tc>
        <w:tc>
          <w:tcPr>
            <w:tcW w:w="0" w:type="auto"/>
            <w:shd w:val="clear" w:color="auto" w:fill="auto"/>
            <w:noWrap/>
            <w:vAlign w:val="bottom"/>
            <w:hideMark/>
          </w:tcPr>
          <w:p w14:paraId="1647C688" w14:textId="77777777" w:rsidR="00EA7FE6" w:rsidRPr="009867C1" w:rsidRDefault="00EA7FE6" w:rsidP="00EA7FE6">
            <w:pPr>
              <w:spacing w:line="240" w:lineRule="auto"/>
              <w:rPr>
                <w:rFonts w:eastAsia="Times New Roman"/>
                <w:color w:val="000000"/>
                <w:sz w:val="16"/>
                <w:szCs w:val="16"/>
                <w:lang w:val="en-CA" w:eastAsia="en-CA"/>
              </w:rPr>
            </w:pPr>
            <w:r w:rsidRPr="009867C1">
              <w:rPr>
                <w:rFonts w:eastAsia="Times New Roman"/>
                <w:color w:val="000000"/>
                <w:sz w:val="16"/>
                <w:szCs w:val="16"/>
                <w:lang w:val="en-CA" w:eastAsia="en-CA"/>
              </w:rPr>
              <w:t>N</w:t>
            </w:r>
          </w:p>
        </w:tc>
        <w:tc>
          <w:tcPr>
            <w:tcW w:w="0" w:type="auto"/>
            <w:shd w:val="clear" w:color="auto" w:fill="auto"/>
            <w:noWrap/>
            <w:vAlign w:val="bottom"/>
            <w:hideMark/>
          </w:tcPr>
          <w:p w14:paraId="5A97FA0A"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0.0</w:t>
            </w:r>
          </w:p>
        </w:tc>
        <w:tc>
          <w:tcPr>
            <w:tcW w:w="0" w:type="auto"/>
            <w:shd w:val="clear" w:color="auto" w:fill="auto"/>
            <w:noWrap/>
            <w:vAlign w:val="bottom"/>
            <w:hideMark/>
          </w:tcPr>
          <w:p w14:paraId="13603909" w14:textId="77777777" w:rsidR="00EA7FE6" w:rsidRPr="009867C1" w:rsidRDefault="00EA7FE6" w:rsidP="00EA7FE6">
            <w:pPr>
              <w:spacing w:line="240" w:lineRule="auto"/>
              <w:jc w:val="right"/>
              <w:rPr>
                <w:rFonts w:eastAsia="Times New Roman"/>
                <w:color w:val="000000"/>
                <w:sz w:val="16"/>
                <w:szCs w:val="16"/>
                <w:lang w:val="en-CA" w:eastAsia="en-CA"/>
              </w:rPr>
            </w:pPr>
            <w:r w:rsidRPr="009867C1">
              <w:rPr>
                <w:rFonts w:eastAsia="Times New Roman"/>
                <w:color w:val="000000"/>
                <w:sz w:val="16"/>
                <w:szCs w:val="16"/>
                <w:lang w:val="en-CA" w:eastAsia="en-CA"/>
              </w:rPr>
              <w:t>0.0</w:t>
            </w:r>
          </w:p>
        </w:tc>
      </w:tr>
    </w:tbl>
    <w:p w14:paraId="5FFEB645" w14:textId="77777777" w:rsidR="00EA7FE6" w:rsidRPr="009867C1" w:rsidRDefault="00EA7FE6" w:rsidP="00EA7FE6">
      <w:pPr>
        <w:pStyle w:val="Caption"/>
        <w:keepNext/>
        <w:sectPr w:rsidR="00EA7FE6" w:rsidRPr="009867C1" w:rsidSect="00EA7FE6">
          <w:pgSz w:w="15840" w:h="12240" w:orient="landscape"/>
          <w:pgMar w:top="1440" w:right="1440" w:bottom="1440" w:left="1440" w:header="706" w:footer="706" w:gutter="0"/>
          <w:cols w:space="708"/>
          <w:docGrid w:linePitch="326"/>
        </w:sectPr>
      </w:pPr>
    </w:p>
    <w:p w14:paraId="4BAE69DA" w14:textId="096DA682" w:rsidR="00F279B5" w:rsidRPr="009867C1" w:rsidRDefault="00F279B5" w:rsidP="00F279B5">
      <w:pPr>
        <w:pStyle w:val="Caption"/>
        <w:keepNext/>
      </w:pPr>
      <w:bookmarkStart w:id="314" w:name="_Ref76307112"/>
      <w:bookmarkStart w:id="315" w:name="_Toc74949411"/>
      <w:r w:rsidRPr="009867C1">
        <w:t xml:space="preserve">Table </w:t>
      </w:r>
      <w:r w:rsidR="00840B50" w:rsidRPr="009867C1">
        <w:fldChar w:fldCharType="begin"/>
      </w:r>
      <w:r w:rsidR="00840B50" w:rsidRPr="009867C1">
        <w:instrText xml:space="preserve"> STYLEREF 7 \s </w:instrText>
      </w:r>
      <w:r w:rsidR="00840B50" w:rsidRPr="009867C1">
        <w:fldChar w:fldCharType="separate"/>
      </w:r>
      <w:r w:rsidR="000667DB">
        <w:rPr>
          <w:noProof/>
        </w:rPr>
        <w:t>A</w:t>
      </w:r>
      <w:r w:rsidR="00840B50" w:rsidRPr="009867C1">
        <w:fldChar w:fldCharType="end"/>
      </w:r>
      <w:r w:rsidR="00840B50" w:rsidRPr="009867C1">
        <w:noBreakHyphen/>
      </w:r>
      <w:r w:rsidR="00840B50" w:rsidRPr="009867C1">
        <w:fldChar w:fldCharType="begin"/>
      </w:r>
      <w:r w:rsidR="00840B50" w:rsidRPr="009867C1">
        <w:instrText xml:space="preserve"> SEQ Appendix_Table \* ARABIC \s 7 </w:instrText>
      </w:r>
      <w:r w:rsidR="00840B50" w:rsidRPr="009867C1">
        <w:fldChar w:fldCharType="separate"/>
      </w:r>
      <w:r w:rsidR="000667DB">
        <w:rPr>
          <w:noProof/>
        </w:rPr>
        <w:t>2</w:t>
      </w:r>
      <w:r w:rsidR="00840B50" w:rsidRPr="009867C1">
        <w:fldChar w:fldCharType="end"/>
      </w:r>
      <w:bookmarkEnd w:id="314"/>
      <w:r w:rsidRPr="009867C1">
        <w:t>: Correlation matrix of watershed size measures with salmon density (biomass per m of stream reach) for reference.</w:t>
      </w:r>
      <w:bookmarkEnd w:id="315"/>
      <w:r w:rsidRPr="009867C1">
        <w:t xml:space="preserve">  </w:t>
      </w:r>
    </w:p>
    <w:p w14:paraId="684066F4" w14:textId="77777777" w:rsidR="00495E89" w:rsidRPr="009867C1" w:rsidRDefault="00495E89" w:rsidP="00495E89">
      <w:r w:rsidRPr="009867C1">
        <w:rPr>
          <w:noProof/>
          <w:lang w:val="en-CA" w:eastAsia="en-CA"/>
        </w:rPr>
        <w:drawing>
          <wp:inline distT="0" distB="0" distL="0" distR="0" wp14:anchorId="6A953F5C" wp14:editId="7AAC8E80">
            <wp:extent cx="5943600" cy="941747"/>
            <wp:effectExtent l="0" t="0" r="0" b="0"/>
            <wp:docPr id="91" name="Picture 91" descr="D:\[0] Sync\[0] Syncbox\[0] Thesis\[0] Data and Analyses\[1] Site-level data\[3] Combined analysis\Table_watershed_size_index_correla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0] Sync\[0] Syncbox\[0] Thesis\[0] Data and Analyses\[1] Site-level data\[3] Combined analysis\Table_watershed_size_index_correlations.pn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r="48021"/>
                    <a:stretch/>
                  </pic:blipFill>
                  <pic:spPr bwMode="auto">
                    <a:xfrm>
                      <a:off x="0" y="0"/>
                      <a:ext cx="5943600" cy="941747"/>
                    </a:xfrm>
                    <a:prstGeom prst="rect">
                      <a:avLst/>
                    </a:prstGeom>
                    <a:noFill/>
                    <a:ln>
                      <a:noFill/>
                    </a:ln>
                    <a:extLst>
                      <a:ext uri="{53640926-AAD7-44D8-BBD7-CCE9431645EC}">
                        <a14:shadowObscured xmlns:a14="http://schemas.microsoft.com/office/drawing/2010/main"/>
                      </a:ext>
                    </a:extLst>
                  </pic:spPr>
                </pic:pic>
              </a:graphicData>
            </a:graphic>
          </wp:inline>
        </w:drawing>
      </w:r>
    </w:p>
    <w:p w14:paraId="37F788B3" w14:textId="6841A8C9" w:rsidR="00002537" w:rsidRPr="009867C1" w:rsidRDefault="00002537" w:rsidP="00002537">
      <w:pPr>
        <w:pStyle w:val="Caption"/>
        <w:keepNext/>
        <w:rPr>
          <w:vanish/>
          <w:specVanish/>
        </w:rPr>
      </w:pPr>
      <w:bookmarkStart w:id="316" w:name="_Ref76307124"/>
      <w:bookmarkStart w:id="317" w:name="_Toc74949412"/>
      <w:r w:rsidRPr="009867C1">
        <w:t xml:space="preserve">Table </w:t>
      </w:r>
      <w:r w:rsidR="00840B50" w:rsidRPr="009867C1">
        <w:fldChar w:fldCharType="begin"/>
      </w:r>
      <w:r w:rsidR="00840B50" w:rsidRPr="009867C1">
        <w:instrText xml:space="preserve"> STYLEREF 7 \s </w:instrText>
      </w:r>
      <w:r w:rsidR="00840B50" w:rsidRPr="009867C1">
        <w:fldChar w:fldCharType="separate"/>
      </w:r>
      <w:r w:rsidR="000667DB">
        <w:rPr>
          <w:noProof/>
        </w:rPr>
        <w:t>A</w:t>
      </w:r>
      <w:r w:rsidR="00840B50" w:rsidRPr="009867C1">
        <w:fldChar w:fldCharType="end"/>
      </w:r>
      <w:r w:rsidR="00840B50" w:rsidRPr="009867C1">
        <w:noBreakHyphen/>
      </w:r>
      <w:r w:rsidR="00840B50" w:rsidRPr="009867C1">
        <w:fldChar w:fldCharType="begin"/>
      </w:r>
      <w:r w:rsidR="00840B50" w:rsidRPr="009867C1">
        <w:instrText xml:space="preserve"> SEQ Appendix_Table \* ARABIC \s 7 </w:instrText>
      </w:r>
      <w:r w:rsidR="00840B50" w:rsidRPr="009867C1">
        <w:fldChar w:fldCharType="separate"/>
      </w:r>
      <w:r w:rsidR="000667DB">
        <w:rPr>
          <w:noProof/>
        </w:rPr>
        <w:t>3</w:t>
      </w:r>
      <w:r w:rsidR="00840B50" w:rsidRPr="009867C1">
        <w:fldChar w:fldCharType="end"/>
      </w:r>
      <w:bookmarkEnd w:id="316"/>
      <w:r w:rsidRPr="009867C1">
        <w:t>: Loadings of the four principal components of the ordination in Figure A-3.</w:t>
      </w:r>
      <w:bookmarkEnd w:id="317"/>
    </w:p>
    <w:p w14:paraId="2E4400A3" w14:textId="77777777" w:rsidR="00002537" w:rsidRPr="009867C1" w:rsidRDefault="00002537" w:rsidP="00002537">
      <w:pPr>
        <w:pStyle w:val="Caption"/>
        <w:keepNext/>
      </w:pPr>
      <w:r w:rsidRPr="009867C1">
        <w:t xml:space="preserve"> The first two principal axes encompass ~76% of the variation. </w:t>
      </w:r>
    </w:p>
    <w:p w14:paraId="01D93D3E" w14:textId="77777777" w:rsidR="00002537" w:rsidRPr="009867C1" w:rsidRDefault="00002537" w:rsidP="00002537">
      <w:r w:rsidRPr="009867C1">
        <w:rPr>
          <w:noProof/>
          <w:lang w:val="en-CA" w:eastAsia="en-CA"/>
        </w:rPr>
        <w:drawing>
          <wp:inline distT="0" distB="0" distL="0" distR="0" wp14:anchorId="060F26B4" wp14:editId="0E4C7D32">
            <wp:extent cx="5943600" cy="1368425"/>
            <wp:effectExtent l="0" t="0" r="0" b="317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1368425"/>
                    </a:xfrm>
                    <a:prstGeom prst="rect">
                      <a:avLst/>
                    </a:prstGeom>
                  </pic:spPr>
                </pic:pic>
              </a:graphicData>
            </a:graphic>
          </wp:inline>
        </w:drawing>
      </w:r>
    </w:p>
    <w:p w14:paraId="09BA9734" w14:textId="77777777" w:rsidR="00495E89" w:rsidRPr="009867C1" w:rsidRDefault="00495E89" w:rsidP="00495E89"/>
    <w:p w14:paraId="2DC47ABD" w14:textId="77777777" w:rsidR="00F279B5" w:rsidRPr="009867C1" w:rsidRDefault="00495E89" w:rsidP="00F279B5">
      <w:pPr>
        <w:keepNext/>
      </w:pPr>
      <w:r w:rsidRPr="009867C1">
        <w:rPr>
          <w:noProof/>
          <w:lang w:val="en-CA" w:eastAsia="en-CA"/>
        </w:rPr>
        <w:drawing>
          <wp:inline distT="0" distB="0" distL="0" distR="0" wp14:anchorId="48E3BBC9" wp14:editId="63A7EE73">
            <wp:extent cx="5943600" cy="5744338"/>
            <wp:effectExtent l="0" t="0" r="0" b="8890"/>
            <wp:docPr id="92" name="Picture 92" descr="D:\[0] Sync\[0] Syncbox\[0] Thesis\[0] Data and Analyses\[1] Site-level data\[3] Combined analysis\[1] Watershed pca bipl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0] Sync\[0] Syncbox\[0] Thesis\[0] Data and Analyses\[1] Site-level data\[3] Combined analysis\[1] Watershed pca biplot.jpg"/>
                    <pic:cNvPicPr>
                      <a:picLocks noChangeAspect="1" noChangeArrowheads="1"/>
                    </pic:cNvPicPr>
                  </pic:nvPicPr>
                  <pic:blipFill rotWithShape="1">
                    <a:blip r:embed="rId74">
                      <a:extLst>
                        <a:ext uri="{28A0092B-C50C-407E-A947-70E740481C1C}">
                          <a14:useLocalDpi xmlns:a14="http://schemas.microsoft.com/office/drawing/2010/main" val="0"/>
                        </a:ext>
                      </a:extLst>
                    </a:blip>
                    <a:srcRect t="3342"/>
                    <a:stretch/>
                  </pic:blipFill>
                  <pic:spPr bwMode="auto">
                    <a:xfrm>
                      <a:off x="0" y="0"/>
                      <a:ext cx="5943600" cy="5744338"/>
                    </a:xfrm>
                    <a:prstGeom prst="rect">
                      <a:avLst/>
                    </a:prstGeom>
                    <a:noFill/>
                    <a:ln>
                      <a:noFill/>
                    </a:ln>
                    <a:extLst>
                      <a:ext uri="{53640926-AAD7-44D8-BBD7-CCE9431645EC}">
                        <a14:shadowObscured xmlns:a14="http://schemas.microsoft.com/office/drawing/2010/main"/>
                      </a:ext>
                    </a:extLst>
                  </pic:spPr>
                </pic:pic>
              </a:graphicData>
            </a:graphic>
          </wp:inline>
        </w:drawing>
      </w:r>
    </w:p>
    <w:p w14:paraId="67C419B7" w14:textId="0A652BD5" w:rsidR="00F279B5" w:rsidRPr="009867C1" w:rsidRDefault="00F279B5" w:rsidP="00F279B5">
      <w:pPr>
        <w:pStyle w:val="Caption"/>
        <w:rPr>
          <w:vanish/>
          <w:specVanish/>
        </w:rPr>
      </w:pPr>
      <w:bookmarkStart w:id="318" w:name="_Ref76307144"/>
      <w:bookmarkStart w:id="319" w:name="_Ref76307128"/>
      <w:bookmarkStart w:id="320" w:name="_Toc86773934"/>
      <w:r w:rsidRPr="009867C1">
        <w:t xml:space="preserve">Figure </w:t>
      </w:r>
      <w:r w:rsidR="00840B50" w:rsidRPr="009867C1">
        <w:fldChar w:fldCharType="begin"/>
      </w:r>
      <w:r w:rsidR="00840B50" w:rsidRPr="009867C1">
        <w:instrText xml:space="preserve"> STYLEREF 7 \s </w:instrText>
      </w:r>
      <w:r w:rsidR="00840B50" w:rsidRPr="009867C1">
        <w:fldChar w:fldCharType="separate"/>
      </w:r>
      <w:r w:rsidR="000667DB">
        <w:rPr>
          <w:noProof/>
        </w:rPr>
        <w:t>A</w:t>
      </w:r>
      <w:r w:rsidR="00840B50" w:rsidRPr="009867C1">
        <w:fldChar w:fldCharType="end"/>
      </w:r>
      <w:r w:rsidR="00840B50" w:rsidRPr="009867C1">
        <w:noBreakHyphen/>
      </w:r>
      <w:r w:rsidR="00840B50" w:rsidRPr="009867C1">
        <w:fldChar w:fldCharType="begin"/>
      </w:r>
      <w:r w:rsidR="00840B50" w:rsidRPr="009867C1">
        <w:instrText xml:space="preserve"> SEQ Appendix_Figure \* ARABIC \s 7 </w:instrText>
      </w:r>
      <w:r w:rsidR="00840B50" w:rsidRPr="009867C1">
        <w:fldChar w:fldCharType="separate"/>
      </w:r>
      <w:r w:rsidR="000667DB">
        <w:rPr>
          <w:noProof/>
        </w:rPr>
        <w:t>2</w:t>
      </w:r>
      <w:r w:rsidR="00840B50" w:rsidRPr="009867C1">
        <w:fldChar w:fldCharType="end"/>
      </w:r>
      <w:bookmarkEnd w:id="318"/>
      <w:r w:rsidRPr="009867C1">
        <w:t>: PCA biplot of four watershed size indices</w:t>
      </w:r>
      <w:bookmarkEnd w:id="319"/>
      <w:bookmarkEnd w:id="320"/>
    </w:p>
    <w:p w14:paraId="691B60B6" w14:textId="50FF3883" w:rsidR="00F279B5" w:rsidRPr="009867C1" w:rsidRDefault="00F279B5" w:rsidP="00F279B5">
      <w:pPr>
        <w:pStyle w:val="Caption"/>
      </w:pPr>
      <w:r w:rsidRPr="009867C1">
        <w:t xml:space="preserve"> : catchment area (km</w:t>
      </w:r>
      <w:r w:rsidRPr="009867C1">
        <w:rPr>
          <w:vertAlign w:val="superscript"/>
        </w:rPr>
        <w:t>2</w:t>
      </w:r>
      <w:r w:rsidRPr="009867C1">
        <w:t xml:space="preserve">), bankfull width (m), stream magnitude (unitless), and length of spawning reach (m). </w:t>
      </w:r>
      <w:r w:rsidR="00BD585D" w:rsidRPr="009867C1">
        <w:t xml:space="preserve">Together the first two axes account for ~75% of the variation. </w:t>
      </w:r>
      <w:r w:rsidRPr="009867C1">
        <w:t xml:space="preserve">All variables were scaled prior to ordination. </w:t>
      </w:r>
    </w:p>
    <w:p w14:paraId="56476355" w14:textId="5A5A2126" w:rsidR="00495E89" w:rsidRPr="009867C1" w:rsidRDefault="00495E89" w:rsidP="00F279B5">
      <w:pPr>
        <w:pStyle w:val="Caption"/>
      </w:pPr>
    </w:p>
    <w:p w14:paraId="0E8B2124" w14:textId="77777777" w:rsidR="00495E89" w:rsidRPr="009867C1" w:rsidRDefault="00495E89" w:rsidP="00495E89"/>
    <w:p w14:paraId="7B7E089E" w14:textId="77777777" w:rsidR="002F23C7" w:rsidRPr="009867C1" w:rsidRDefault="002F23C7" w:rsidP="002F23C7">
      <w:pPr>
        <w:sectPr w:rsidR="002F23C7" w:rsidRPr="009867C1" w:rsidSect="00EA7FE6">
          <w:pgSz w:w="12240" w:h="15840"/>
          <w:pgMar w:top="1440" w:right="1440" w:bottom="1440" w:left="1440" w:header="706" w:footer="706" w:gutter="0"/>
          <w:cols w:space="708"/>
          <w:docGrid w:linePitch="326"/>
        </w:sectPr>
      </w:pPr>
      <w:bookmarkStart w:id="321" w:name="_Ref15805340"/>
      <w:bookmarkEnd w:id="304"/>
    </w:p>
    <w:p w14:paraId="5A7012DD" w14:textId="4D851556" w:rsidR="002F23C7" w:rsidRPr="009867C1" w:rsidRDefault="002F23C7" w:rsidP="002F23C7">
      <w:pPr>
        <w:pStyle w:val="Heading7"/>
      </w:pPr>
      <w:bookmarkStart w:id="322" w:name="_Toc99385529"/>
      <w:r w:rsidRPr="009867C1">
        <w:t>Salmon Density</w:t>
      </w:r>
      <w:bookmarkEnd w:id="322"/>
      <w:r w:rsidRPr="009867C1">
        <w:t xml:space="preserve"> </w:t>
      </w:r>
    </w:p>
    <w:p w14:paraId="14F5C144" w14:textId="36C12A97" w:rsidR="00495E89" w:rsidRPr="009867C1" w:rsidRDefault="00495E89" w:rsidP="005C481D">
      <w:pPr>
        <w:ind w:firstLine="720"/>
      </w:pPr>
      <w:r w:rsidRPr="009867C1">
        <w:t>This thesis uses a salmon count data set maintained by John Reynold’s lab at Simon Fraser University and the Heiltsuk Integrated Resource Management Department. This data set represents a collaboration between Fisheries and Oceans Canada, the Reynolds’ lab (SFU), and Heiltsuk First Nation, and as of data collection for this thesis (2017) covers years 2002-2016</w:t>
      </w:r>
      <w:r w:rsidR="00A05A7E" w:rsidRPr="009867C1">
        <w:t xml:space="preserve"> inclusive</w:t>
      </w:r>
      <w:r w:rsidRPr="009867C1">
        <w:t>. Years 2002-2007 are only included in this dataset as an agglomerated mean of those years (here labeled ‘mean 2002-2007’). Pinks (</w:t>
      </w:r>
      <w:r w:rsidRPr="009867C1">
        <w:rPr>
          <w:i/>
        </w:rPr>
        <w:t>Oncorhynchus gorbuscha</w:t>
      </w:r>
      <w:r w:rsidRPr="009867C1">
        <w:t>) and Chum (</w:t>
      </w:r>
      <w:r w:rsidRPr="009867C1">
        <w:rPr>
          <w:i/>
        </w:rPr>
        <w:t>O. keta</w:t>
      </w:r>
      <w:r w:rsidRPr="009867C1">
        <w:t>) where the primary species targeted in these surveys and other salmon species were only included if they were counted by chance; despite this, I’ve opted to include biomass estimates for coho (</w:t>
      </w:r>
      <w:r w:rsidRPr="009867C1">
        <w:rPr>
          <w:i/>
        </w:rPr>
        <w:t>O. kisutch</w:t>
      </w:r>
      <w:r w:rsidRPr="009867C1">
        <w:t>) and sockeye (</w:t>
      </w:r>
      <w:r w:rsidRPr="009867C1">
        <w:rPr>
          <w:i/>
        </w:rPr>
        <w:t>O. nerka</w:t>
      </w:r>
      <w:r w:rsidRPr="009867C1">
        <w:t xml:space="preserve">) in these calculations as these fish were present and hence contribute to SDN loading at these sites.   </w:t>
      </w:r>
    </w:p>
    <w:p w14:paraId="33040A9F" w14:textId="77777777" w:rsidR="00495E89" w:rsidRPr="009867C1" w:rsidRDefault="00495E89" w:rsidP="00495E89">
      <w:r w:rsidRPr="009867C1">
        <w:rPr>
          <w:b/>
        </w:rPr>
        <w:t>Temporal averaging</w:t>
      </w:r>
      <w:r w:rsidRPr="009867C1">
        <w:t xml:space="preserve">: Three sliding scales of temporal averaging were used to measure ‘salmon biomass density’ in this thesis. These were: </w:t>
      </w:r>
    </w:p>
    <w:p w14:paraId="3D184317" w14:textId="77777777" w:rsidR="00495E89" w:rsidRPr="009867C1" w:rsidRDefault="00495E89" w:rsidP="00FA1F35">
      <w:pPr>
        <w:pStyle w:val="ListParagraph"/>
        <w:numPr>
          <w:ilvl w:val="0"/>
          <w:numId w:val="2"/>
        </w:numPr>
      </w:pPr>
      <w:r w:rsidRPr="009867C1">
        <w:t>salmon density in the previous year (2016);</w:t>
      </w:r>
    </w:p>
    <w:p w14:paraId="66D28E36" w14:textId="77777777" w:rsidR="00495E89" w:rsidRPr="009867C1" w:rsidRDefault="00495E89" w:rsidP="00FA1F35">
      <w:pPr>
        <w:pStyle w:val="ListParagraph"/>
        <w:numPr>
          <w:ilvl w:val="0"/>
          <w:numId w:val="2"/>
        </w:numPr>
      </w:pPr>
      <w:r w:rsidRPr="009867C1">
        <w:t>salmon density averaged over the last three years (2014-2016)</w:t>
      </w:r>
    </w:p>
    <w:p w14:paraId="36A6AB0C" w14:textId="77777777" w:rsidR="00495E89" w:rsidRPr="009867C1" w:rsidRDefault="00495E89" w:rsidP="00FA1F35">
      <w:pPr>
        <w:pStyle w:val="ListParagraph"/>
        <w:numPr>
          <w:ilvl w:val="0"/>
          <w:numId w:val="2"/>
        </w:numPr>
      </w:pPr>
      <w:r w:rsidRPr="009867C1">
        <w:t>salmon density averaged over all years (2002-2016).</w:t>
      </w:r>
    </w:p>
    <w:p w14:paraId="2687C2CE" w14:textId="48559013" w:rsidR="00495E89" w:rsidRPr="009867C1" w:rsidRDefault="00A05A7E" w:rsidP="00495E89">
      <w:r w:rsidRPr="009867C1">
        <w:t xml:space="preserve">In most cases, for consistency with other literature published by the Reynolds lab I have used the second averaging window (averaged over the previous three years).  </w:t>
      </w:r>
    </w:p>
    <w:p w14:paraId="41491933" w14:textId="77777777" w:rsidR="00495E89" w:rsidRPr="009867C1" w:rsidRDefault="00495E89" w:rsidP="00495E89">
      <w:r w:rsidRPr="009867C1">
        <w:rPr>
          <w:b/>
        </w:rPr>
        <w:t>Spatial averaging</w:t>
      </w:r>
      <w:r w:rsidRPr="009867C1">
        <w:t xml:space="preserve">: Indices of ‘salmon density’ were calculated for each site </w:t>
      </w:r>
      <w:r w:rsidRPr="009867C1">
        <w:rPr>
          <w:i/>
        </w:rPr>
        <w:t>s</w:t>
      </w:r>
      <w:r w:rsidRPr="009867C1">
        <w:t xml:space="preserve"> according to the following equations:</w:t>
      </w:r>
    </w:p>
    <w:tbl>
      <w:tblPr>
        <w:tblStyle w:val="TableGrid"/>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8618"/>
        <w:gridCol w:w="1276"/>
      </w:tblGrid>
      <w:tr w:rsidR="00495E89" w:rsidRPr="009867C1" w14:paraId="76FC3F79" w14:textId="77777777" w:rsidTr="009273B5">
        <w:tc>
          <w:tcPr>
            <w:tcW w:w="562" w:type="dxa"/>
            <w:vAlign w:val="center"/>
          </w:tcPr>
          <w:p w14:paraId="2C58947E" w14:textId="69125AA8" w:rsidR="00495E89" w:rsidRPr="009867C1" w:rsidRDefault="00495E89" w:rsidP="00BA6F95">
            <w:pPr>
              <w:jc w:val="center"/>
            </w:pPr>
          </w:p>
        </w:tc>
        <w:tc>
          <w:tcPr>
            <w:tcW w:w="8618" w:type="dxa"/>
            <w:vAlign w:val="center"/>
          </w:tcPr>
          <w:p w14:paraId="5D456CE1" w14:textId="296A2B78" w:rsidR="00495E89" w:rsidRPr="009867C1" w:rsidRDefault="00557CA9" w:rsidP="00BA6F95">
            <w:pPr>
              <w:jc w:val="center"/>
            </w:pPr>
            <m:oMathPara>
              <m:oMath>
                <m:sSub>
                  <m:sSubPr>
                    <m:ctrlPr>
                      <w:rPr>
                        <w:rFonts w:ascii="Cambria Math" w:hAnsi="Cambria Math"/>
                      </w:rPr>
                    </m:ctrlPr>
                  </m:sSubPr>
                  <m:e>
                    <m:r>
                      <m:rPr>
                        <m:sty m:val="p"/>
                      </m:rPr>
                      <w:rPr>
                        <w:rFonts w:ascii="Cambria Math" w:hAnsi="Cambria Math"/>
                      </w:rPr>
                      <m:t>biomass</m:t>
                    </m:r>
                  </m:e>
                  <m:sub>
                    <m:r>
                      <w:rPr>
                        <w:rFonts w:ascii="Cambria Math" w:hAnsi="Cambria Math"/>
                      </w:rPr>
                      <m:t>s</m:t>
                    </m:r>
                  </m:sub>
                </m:sSub>
                <m:r>
                  <w:rPr>
                    <w:rFonts w:ascii="Cambria Math" w:hAnsi="Cambria Math"/>
                    <w:vertAlign w:val="subscript"/>
                  </w:rPr>
                  <m:t xml:space="preserve"> =</m:t>
                </m:r>
                <m:nary>
                  <m:naryPr>
                    <m:chr m:val="∑"/>
                    <m:limLoc m:val="undOvr"/>
                    <m:ctrlPr>
                      <w:rPr>
                        <w:rFonts w:ascii="Cambria Math" w:hAnsi="Cambria Math"/>
                        <w:i/>
                      </w:rPr>
                    </m:ctrlPr>
                  </m:naryPr>
                  <m:sub>
                    <m:r>
                      <w:rPr>
                        <w:rFonts w:ascii="Cambria Math" w:hAnsi="Cambria Math"/>
                      </w:rPr>
                      <m:t>1</m:t>
                    </m:r>
                  </m:sub>
                  <m:sup>
                    <m:r>
                      <w:rPr>
                        <w:rFonts w:ascii="Cambria Math" w:hAnsi="Cambria Math"/>
                      </w:rPr>
                      <m:t>SP</m:t>
                    </m:r>
                  </m:sup>
                  <m:e>
                    <m:sSub>
                      <m:sSubPr>
                        <m:ctrlPr>
                          <w:rPr>
                            <w:rFonts w:ascii="Cambria Math" w:hAnsi="Cambria Math"/>
                            <w:i/>
                          </w:rPr>
                        </m:ctrlPr>
                      </m:sSubPr>
                      <m:e>
                        <m:d>
                          <m:dPr>
                            <m:ctrlPr>
                              <w:rPr>
                                <w:rFonts w:ascii="Cambria Math" w:hAnsi="Cambria Math"/>
                                <w:i/>
                              </w:rPr>
                            </m:ctrlPr>
                          </m:dPr>
                          <m:e>
                            <m:r>
                              <w:rPr>
                                <w:rFonts w:ascii="Cambria Math" w:hAnsi="Cambria Math"/>
                              </w:rPr>
                              <m:t>number of salmon counted</m:t>
                            </m:r>
                          </m:e>
                        </m:d>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(average species mass)</m:t>
                        </m:r>
                      </m:e>
                      <m:sub>
                        <m:r>
                          <w:rPr>
                            <w:rFonts w:ascii="Cambria Math" w:hAnsi="Cambria Math"/>
                          </w:rPr>
                          <m:t>sp</m:t>
                        </m:r>
                      </m:sub>
                    </m:sSub>
                  </m:e>
                </m:nary>
              </m:oMath>
            </m:oMathPara>
          </w:p>
        </w:tc>
        <w:tc>
          <w:tcPr>
            <w:tcW w:w="1276" w:type="dxa"/>
            <w:vAlign w:val="center"/>
          </w:tcPr>
          <w:p w14:paraId="4B6EDC0A" w14:textId="5A111A8B" w:rsidR="00495E89" w:rsidRPr="009867C1" w:rsidRDefault="00495E89" w:rsidP="00BA6F95">
            <w:pPr>
              <w:jc w:val="center"/>
            </w:pPr>
            <w:r w:rsidRPr="009867C1">
              <w:t>(</w:t>
            </w:r>
            <w:r w:rsidR="00557CA9">
              <w:fldChar w:fldCharType="begin"/>
            </w:r>
            <w:r w:rsidR="00557CA9">
              <w:instrText xml:space="preserve"> SEQ Eq \* MERGEFORMAT </w:instrText>
            </w:r>
            <w:r w:rsidR="00557CA9">
              <w:fldChar w:fldCharType="separate"/>
            </w:r>
            <w:r w:rsidR="000667DB">
              <w:rPr>
                <w:noProof/>
              </w:rPr>
              <w:t>1</w:t>
            </w:r>
            <w:r w:rsidR="00557CA9">
              <w:rPr>
                <w:noProof/>
              </w:rPr>
              <w:fldChar w:fldCharType="end"/>
            </w:r>
            <w:r w:rsidRPr="009867C1">
              <w:t>)</w:t>
            </w:r>
          </w:p>
        </w:tc>
      </w:tr>
    </w:tbl>
    <w:p w14:paraId="461C0EFA" w14:textId="77777777" w:rsidR="00495E89" w:rsidRPr="009867C1" w:rsidRDefault="00495E89" w:rsidP="00495E89"/>
    <w:p w14:paraId="3D7756C6" w14:textId="71006066" w:rsidR="00495E89" w:rsidRPr="009867C1" w:rsidRDefault="00495E89" w:rsidP="00495E89">
      <w:r w:rsidRPr="009867C1">
        <w:t xml:space="preserve">where </w:t>
      </w:r>
      <w:r w:rsidRPr="009867C1">
        <w:rPr>
          <w:i/>
        </w:rPr>
        <w:t>(number of salmon counted)</w:t>
      </w:r>
      <w:r w:rsidRPr="009867C1">
        <w:t xml:space="preserve"> are from the Reynolds lab data and </w:t>
      </w:r>
      <w:r w:rsidRPr="009867C1">
        <w:rPr>
          <w:i/>
        </w:rPr>
        <w:t xml:space="preserve">(average species mass) </w:t>
      </w:r>
      <w:r w:rsidRPr="009867C1">
        <w:t xml:space="preserve">are the species average masses at spawning and pulled from past publications, summed over all salmon species </w:t>
      </w:r>
      <w:r w:rsidRPr="009867C1">
        <w:rPr>
          <w:i/>
        </w:rPr>
        <w:t>sp</w:t>
      </w:r>
      <w:r w:rsidRPr="009867C1">
        <w:t xml:space="preserve"> from 1 to </w:t>
      </w:r>
      <w:r w:rsidRPr="009867C1">
        <w:rPr>
          <w:i/>
        </w:rPr>
        <w:t>SP</w:t>
      </w:r>
      <w:r w:rsidRPr="009867C1">
        <w:t xml:space="preserve">, where SP is the total number of salmon species (n=4). For chum and pink, these averages are for fish measured from Central Coast streams </w:t>
      </w:r>
      <w:r w:rsidRPr="009867C1">
        <w:fldChar w:fldCharType="begin"/>
      </w:r>
      <w:r w:rsidR="00AC0205">
        <w:instrText xml:space="preserve"> ADDIN ZOTERO_ITEM CSL_CITATION {"citationID":"cniB7rGh","properties":{"formattedCitation":"(Hocking &amp; Reynolds, 2011)","plainCitation":"(Hocking &amp; Reynolds, 2011)","noteIndex":0},"citationItems":[{"id":550,"uris":["http://zotero.org/users/2189142/items/JR362H46"],"itemData":{"id":550,"type":"article-journal","abstract":"The study of natural gradients in nutrient subsidies between ecosystems allows for predictions of how changes in one system can affect biodiversity in another. We performed a large-scale empirical test of the role of Pacific salmon (Oncorhynchus spp.) in structuring riparian plant communities. A comparison of 50 watersheds in the remote Great Bear Rainforest of British Columbia’s central coast in Canada shows that salmon influence nutrient loading to plants, shifting plant communities toward nutrient-rich species, which in turn decreases plant diversity. These effects are mediated by interactions between salmon density and the physical characteristics of watersheds. Predicting how salmon affect terrestrial ecosystems is central to conservation plans that aim to better integrate ecosystem values into resource management.","container-title":"Science","DOI":"10.1126/science.1201079","ISSN":"0036-8075, 1095-9203","issue":"6024","journalAbbreviation":"Science","language":"en","note":"PMID: 21442794","page":"1609-1612","source":"www.sciencemag.org.ezproxy.library.ubc.ca","title":"Impacts of Salmon on Riparian Plant Diversity","volume":"331","author":[{"family":"Hocking","given":"Morgan D."},{"family":"Reynolds","given":"John D."}],"issued":{"date-parts":[["2011",3,25]]},"citation-key":"hocking_2011"}}],"schema":"https://github.com/citation-style-language/schema/raw/master/csl-citation.json"} </w:instrText>
      </w:r>
      <w:r w:rsidRPr="009867C1">
        <w:fldChar w:fldCharType="separate"/>
      </w:r>
      <w:r w:rsidR="0042141C" w:rsidRPr="009867C1">
        <w:t>(Hocking &amp; Reynolds, 2011)</w:t>
      </w:r>
      <w:r w:rsidRPr="009867C1">
        <w:fldChar w:fldCharType="end"/>
      </w:r>
      <w:r w:rsidRPr="009867C1">
        <w:t xml:space="preserve">; for Coho and sockeye these are approximations from troll and seine net data </w:t>
      </w:r>
      <w:r w:rsidRPr="009867C1">
        <w:fldChar w:fldCharType="begin"/>
      </w:r>
      <w:r w:rsidR="00AC0205">
        <w:instrText xml:space="preserve"> ADDIN ZOTERO_ITEM CSL_CITATION {"citationID":"YTlN14uJ","properties":{"formattedCitation":"(Bigler et al., 1996)","plainCitation":"(Bigler et al., 1996)","noteIndex":0},"citationItems":[{"id":597,"uris":["http://zotero.org/users/2189142/items/BNHSW546"],"itemData":{"id":597,"type":"article-journal","container-title":"Canadian journal of fisheries and aquatic sciences","ISSN":"0706-652X","issue":"2","language":"eng","page":"455-465","source":"cat.inist.fr","title":"A review of size trends among North Pacific salmon (Oncorhynchus spp.)","volume":"53","author":[{"family":"Bigler","given":"B. S."},{"family":"Welch","given":"D. W."},{"family":"Helle","given":"J. H."}],"issued":{"date-parts":[["1996"]]},"citation-key":"bigler_1996a"}}],"schema":"https://github.com/citation-style-language/schema/raw/master/csl-citation.json"} </w:instrText>
      </w:r>
      <w:r w:rsidRPr="009867C1">
        <w:fldChar w:fldCharType="separate"/>
      </w:r>
      <w:r w:rsidR="0042141C" w:rsidRPr="009867C1">
        <w:t>(Bigler et al., 1996)</w:t>
      </w:r>
      <w:r w:rsidRPr="009867C1">
        <w:fldChar w:fldCharType="end"/>
      </w:r>
      <w:r w:rsidR="009273B5">
        <w:t xml:space="preserve"> (Table B-1)</w:t>
      </w:r>
      <w:r w:rsidRPr="009867C1">
        <w:fldChar w:fldCharType="begin"/>
      </w:r>
      <w:r w:rsidRPr="009867C1">
        <w:instrText xml:space="preserve"> REF _Ref69221571 \h </w:instrText>
      </w:r>
      <w:r w:rsidR="009867C1">
        <w:instrText xml:space="preserve"> \* MERGEFORMAT </w:instrText>
      </w:r>
      <w:r w:rsidRPr="009867C1">
        <w:fldChar w:fldCharType="separate"/>
      </w:r>
      <w:r w:rsidR="000667DB">
        <w:rPr>
          <w:b/>
          <w:bCs/>
        </w:rPr>
        <w:t>Error! Reference source not found.</w:t>
      </w:r>
      <w:r w:rsidRPr="009867C1">
        <w:fldChar w:fldCharType="end"/>
      </w:r>
      <w:r w:rsidRPr="009867C1">
        <w:t xml:space="preserve">.  </w:t>
      </w:r>
    </w:p>
    <w:p w14:paraId="52263BBE" w14:textId="77777777" w:rsidR="00495E89" w:rsidRPr="009867C1" w:rsidRDefault="00495E89" w:rsidP="00495E89">
      <w:r w:rsidRPr="009867C1">
        <w:t xml:space="preserve">The salmon density at site </w:t>
      </w:r>
      <w:r w:rsidRPr="009867C1">
        <w:rPr>
          <w:i/>
        </w:rPr>
        <w:t>s</w:t>
      </w:r>
      <w:r w:rsidRPr="009867C1">
        <w:t xml:space="preserve"> was then calculated by the equation:</w:t>
      </w:r>
    </w:p>
    <w:tbl>
      <w:tblPr>
        <w:tblStyle w:val="TableGrid"/>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7938"/>
        <w:gridCol w:w="1276"/>
      </w:tblGrid>
      <w:tr w:rsidR="00495E89" w:rsidRPr="009867C1" w14:paraId="44833E01" w14:textId="77777777" w:rsidTr="00BA6F95">
        <w:tc>
          <w:tcPr>
            <w:tcW w:w="1242" w:type="dxa"/>
            <w:vAlign w:val="center"/>
          </w:tcPr>
          <w:p w14:paraId="1FCED9EB" w14:textId="2E289AEC" w:rsidR="00495E89" w:rsidRPr="009867C1" w:rsidRDefault="00495E89" w:rsidP="00BA6F95">
            <w:pPr>
              <w:jc w:val="center"/>
            </w:pPr>
          </w:p>
        </w:tc>
        <w:tc>
          <w:tcPr>
            <w:tcW w:w="7938" w:type="dxa"/>
            <w:vAlign w:val="center"/>
          </w:tcPr>
          <w:p w14:paraId="5D8AC371" w14:textId="17C2FB1F" w:rsidR="00495E89" w:rsidRPr="009867C1" w:rsidRDefault="00557CA9" w:rsidP="00BA6F95">
            <w:pPr>
              <w:jc w:val="center"/>
            </w:pPr>
            <m:oMathPara>
              <m:oMath>
                <m:sSub>
                  <m:sSubPr>
                    <m:ctrlPr>
                      <w:rPr>
                        <w:rFonts w:ascii="Cambria Math" w:hAnsi="Cambria Math"/>
                        <w:i/>
                      </w:rPr>
                    </m:ctrlPr>
                  </m:sSubPr>
                  <m:e>
                    <m:r>
                      <w:rPr>
                        <w:rFonts w:ascii="Cambria Math" w:hAnsi="Cambria Math"/>
                      </w:rPr>
                      <m:t>density</m:t>
                    </m:r>
                  </m:e>
                  <m:sub>
                    <m:r>
                      <w:rPr>
                        <w:rFonts w:ascii="Cambria Math" w:hAnsi="Cambria Math"/>
                      </w:rPr>
                      <m:t>s</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 xml:space="preserve"> biomass</m:t>
                        </m:r>
                      </m:e>
                      <m:sub>
                        <m:r>
                          <w:rPr>
                            <w:rFonts w:ascii="Cambria Math" w:hAnsi="Cambria Math"/>
                          </w:rPr>
                          <m:t>s</m:t>
                        </m:r>
                      </m:sub>
                    </m:sSub>
                    <m:r>
                      <w:rPr>
                        <w:rFonts w:ascii="Cambria Math" w:hAnsi="Cambria Math"/>
                      </w:rPr>
                      <m:t xml:space="preserve"> (kg)</m:t>
                    </m:r>
                  </m:num>
                  <m:den>
                    <m:sSub>
                      <m:sSubPr>
                        <m:ctrlPr>
                          <w:rPr>
                            <w:rFonts w:ascii="Cambria Math" w:hAnsi="Cambria Math"/>
                            <w:i/>
                          </w:rPr>
                        </m:ctrlPr>
                      </m:sSubPr>
                      <m:e>
                        <m:r>
                          <w:rPr>
                            <w:rFonts w:ascii="Cambria Math" w:hAnsi="Cambria Math"/>
                          </w:rPr>
                          <m:t>length of stream reach</m:t>
                        </m:r>
                      </m:e>
                      <m:sub>
                        <m:r>
                          <w:rPr>
                            <w:rFonts w:ascii="Cambria Math" w:hAnsi="Cambria Math"/>
                          </w:rPr>
                          <m:t>s</m:t>
                        </m:r>
                      </m:sub>
                    </m:sSub>
                    <m:r>
                      <w:rPr>
                        <w:rFonts w:ascii="Cambria Math" w:hAnsi="Cambria Math"/>
                      </w:rPr>
                      <m:t xml:space="preserve"> (m)</m:t>
                    </m:r>
                  </m:den>
                </m:f>
                <m:r>
                  <w:rPr>
                    <w:rFonts w:ascii="Cambria Math" w:hAnsi="Cambria Math"/>
                  </w:rPr>
                  <m:t xml:space="preserve"> </m:t>
                </m:r>
              </m:oMath>
            </m:oMathPara>
          </w:p>
        </w:tc>
        <w:tc>
          <w:tcPr>
            <w:tcW w:w="1276" w:type="dxa"/>
            <w:vAlign w:val="center"/>
          </w:tcPr>
          <w:p w14:paraId="2F78B34C" w14:textId="4710FE24" w:rsidR="00495E89" w:rsidRPr="009867C1" w:rsidRDefault="00495E89" w:rsidP="00BA6F95">
            <w:pPr>
              <w:jc w:val="center"/>
            </w:pPr>
            <w:r w:rsidRPr="009867C1">
              <w:t>(</w:t>
            </w:r>
            <w:r w:rsidR="00557CA9">
              <w:fldChar w:fldCharType="begin"/>
            </w:r>
            <w:r w:rsidR="00557CA9">
              <w:instrText xml:space="preserve"> SEQ Eq \* MERGEFORMAT </w:instrText>
            </w:r>
            <w:r w:rsidR="00557CA9">
              <w:fldChar w:fldCharType="separate"/>
            </w:r>
            <w:r w:rsidR="000667DB">
              <w:rPr>
                <w:noProof/>
              </w:rPr>
              <w:t>2</w:t>
            </w:r>
            <w:r w:rsidR="00557CA9">
              <w:rPr>
                <w:noProof/>
              </w:rPr>
              <w:fldChar w:fldCharType="end"/>
            </w:r>
            <w:r w:rsidRPr="009867C1">
              <w:t>)</w:t>
            </w:r>
          </w:p>
        </w:tc>
      </w:tr>
    </w:tbl>
    <w:p w14:paraId="79EE8C91" w14:textId="77777777" w:rsidR="00495E89" w:rsidRPr="009867C1" w:rsidRDefault="00495E89" w:rsidP="00495E89">
      <w:r w:rsidRPr="009867C1">
        <w:t>Where the length of stream reach is the length in meters of salmon-accessible stream.</w:t>
      </w:r>
    </w:p>
    <w:p w14:paraId="6D5D787B" w14:textId="73DDEE10" w:rsidR="00495E89" w:rsidRPr="009867C1" w:rsidRDefault="00495E89" w:rsidP="005C481D">
      <w:pPr>
        <w:ind w:firstLine="720"/>
      </w:pPr>
      <w:r w:rsidRPr="009867C1">
        <w:t xml:space="preserve">For each stream considered in this study, time series of salmon densities for each stream </w:t>
      </w:r>
      <w:r w:rsidRPr="009867C1">
        <w:rPr>
          <w:i/>
        </w:rPr>
        <w:t xml:space="preserve">s </w:t>
      </w:r>
      <w:r w:rsidRPr="009867C1">
        <w:t xml:space="preserve">are plotted for reference in </w:t>
      </w:r>
      <w:r w:rsidR="00E72F72" w:rsidRPr="009867C1">
        <w:fldChar w:fldCharType="begin"/>
      </w:r>
      <w:r w:rsidR="00E72F72" w:rsidRPr="009867C1">
        <w:instrText xml:space="preserve"> REF _Ref76307477 \h </w:instrText>
      </w:r>
      <w:r w:rsidR="009867C1">
        <w:instrText xml:space="preserve"> \* MERGEFORMAT </w:instrText>
      </w:r>
      <w:r w:rsidR="00E72F72" w:rsidRPr="009867C1">
        <w:fldChar w:fldCharType="separate"/>
      </w:r>
      <w:r w:rsidR="000667DB" w:rsidRPr="009867C1">
        <w:t xml:space="preserve">Figure </w:t>
      </w:r>
      <w:r w:rsidR="000667DB">
        <w:rPr>
          <w:noProof/>
        </w:rPr>
        <w:t>B</w:t>
      </w:r>
      <w:r w:rsidR="000667DB" w:rsidRPr="009867C1">
        <w:rPr>
          <w:noProof/>
        </w:rPr>
        <w:noBreakHyphen/>
      </w:r>
      <w:r w:rsidR="000667DB">
        <w:rPr>
          <w:noProof/>
        </w:rPr>
        <w:t>1</w:t>
      </w:r>
      <w:r w:rsidR="00E72F72" w:rsidRPr="009867C1">
        <w:fldChar w:fldCharType="end"/>
      </w:r>
      <w:r w:rsidRPr="009867C1">
        <w:t>and</w:t>
      </w:r>
      <w:r w:rsidR="00E72F72" w:rsidRPr="009867C1">
        <w:t xml:space="preserve"> </w:t>
      </w:r>
      <w:r w:rsidR="00E72F72" w:rsidRPr="009867C1">
        <w:fldChar w:fldCharType="begin"/>
      </w:r>
      <w:r w:rsidR="00E72F72" w:rsidRPr="009867C1">
        <w:instrText xml:space="preserve"> REF _Ref76307483 \h </w:instrText>
      </w:r>
      <w:r w:rsidR="009867C1">
        <w:instrText xml:space="preserve"> \* MERGEFORMAT </w:instrText>
      </w:r>
      <w:r w:rsidR="00E72F72" w:rsidRPr="009867C1">
        <w:fldChar w:fldCharType="separate"/>
      </w:r>
      <w:r w:rsidR="000667DB" w:rsidRPr="009867C1">
        <w:t xml:space="preserve">Figure </w:t>
      </w:r>
      <w:r w:rsidR="000667DB">
        <w:rPr>
          <w:noProof/>
        </w:rPr>
        <w:t>B</w:t>
      </w:r>
      <w:r w:rsidR="000667DB" w:rsidRPr="009867C1">
        <w:rPr>
          <w:noProof/>
        </w:rPr>
        <w:noBreakHyphen/>
      </w:r>
      <w:r w:rsidR="000667DB">
        <w:rPr>
          <w:noProof/>
        </w:rPr>
        <w:t>2</w:t>
      </w:r>
      <w:r w:rsidR="00E72F72" w:rsidRPr="009867C1">
        <w:fldChar w:fldCharType="end"/>
      </w:r>
      <w:r w:rsidRPr="009867C1">
        <w:t xml:space="preserve">; summed over all sites plotted in </w:t>
      </w:r>
      <w:r w:rsidR="00E72F72" w:rsidRPr="009867C1">
        <w:fldChar w:fldCharType="begin"/>
      </w:r>
      <w:r w:rsidR="00E72F72" w:rsidRPr="009867C1">
        <w:instrText xml:space="preserve"> REF _Ref76307505 \h </w:instrText>
      </w:r>
      <w:r w:rsidR="009867C1">
        <w:instrText xml:space="preserve"> \* MERGEFORMAT </w:instrText>
      </w:r>
      <w:r w:rsidR="00E72F72" w:rsidRPr="009867C1">
        <w:fldChar w:fldCharType="separate"/>
      </w:r>
      <w:r w:rsidR="000667DB" w:rsidRPr="009867C1">
        <w:t xml:space="preserve">Figure </w:t>
      </w:r>
      <w:r w:rsidR="000667DB">
        <w:rPr>
          <w:noProof/>
        </w:rPr>
        <w:t>B</w:t>
      </w:r>
      <w:r w:rsidR="000667DB" w:rsidRPr="009867C1">
        <w:rPr>
          <w:noProof/>
        </w:rPr>
        <w:noBreakHyphen/>
      </w:r>
      <w:r w:rsidR="000667DB">
        <w:rPr>
          <w:noProof/>
        </w:rPr>
        <w:t>3</w:t>
      </w:r>
      <w:r w:rsidR="00E72F72" w:rsidRPr="009867C1">
        <w:fldChar w:fldCharType="end"/>
      </w:r>
      <w:r w:rsidRPr="009867C1">
        <w:fldChar w:fldCharType="begin"/>
      </w:r>
      <w:r w:rsidRPr="009867C1">
        <w:instrText xml:space="preserve"> REF _Ref32778107 \h </w:instrText>
      </w:r>
      <w:r w:rsidR="009867C1">
        <w:instrText xml:space="preserve"> \* MERGEFORMAT </w:instrText>
      </w:r>
      <w:r w:rsidRPr="009867C1">
        <w:fldChar w:fldCharType="separate"/>
      </w:r>
      <w:r w:rsidR="000667DB">
        <w:rPr>
          <w:b/>
          <w:bCs/>
        </w:rPr>
        <w:t>Error! Reference source not found.</w:t>
      </w:r>
      <w:r w:rsidRPr="009867C1">
        <w:fldChar w:fldCharType="end"/>
      </w:r>
      <w:r w:rsidRPr="009867C1">
        <w:t xml:space="preserve">, and a histogram of all sites </w:t>
      </w:r>
      <w:r w:rsidR="00E72F72" w:rsidRPr="009867C1">
        <w:t xml:space="preserve">in </w:t>
      </w:r>
      <w:r w:rsidR="00E72F72" w:rsidRPr="009867C1">
        <w:fldChar w:fldCharType="begin"/>
      </w:r>
      <w:r w:rsidR="00E72F72" w:rsidRPr="009867C1">
        <w:instrText xml:space="preserve"> REF _Ref76307516 \h </w:instrText>
      </w:r>
      <w:r w:rsidR="009867C1">
        <w:instrText xml:space="preserve"> \* MERGEFORMAT </w:instrText>
      </w:r>
      <w:r w:rsidR="00E72F72" w:rsidRPr="009867C1">
        <w:fldChar w:fldCharType="separate"/>
      </w:r>
      <w:r w:rsidR="000667DB" w:rsidRPr="009867C1">
        <w:t xml:space="preserve">Figure </w:t>
      </w:r>
      <w:r w:rsidR="000667DB">
        <w:rPr>
          <w:noProof/>
        </w:rPr>
        <w:t>B</w:t>
      </w:r>
      <w:r w:rsidR="000667DB" w:rsidRPr="009867C1">
        <w:rPr>
          <w:noProof/>
        </w:rPr>
        <w:noBreakHyphen/>
      </w:r>
      <w:r w:rsidR="000667DB">
        <w:rPr>
          <w:noProof/>
        </w:rPr>
        <w:t>4</w:t>
      </w:r>
      <w:r w:rsidR="00E72F72" w:rsidRPr="009867C1">
        <w:fldChar w:fldCharType="end"/>
      </w:r>
      <w:r w:rsidRPr="009867C1">
        <w:t>. Of note are the preponderance of pink and chum salmon, as well as the right-skew distribution where Neekas and Clatse have many more salmon than the other sites. Also of note is the gap in the data between 20 and 40 kg/m between Neekas and Clatse and the rest of the streams.</w:t>
      </w:r>
    </w:p>
    <w:p w14:paraId="625AAA23" w14:textId="77777777" w:rsidR="00495E89" w:rsidRPr="009867C1" w:rsidRDefault="00495E89" w:rsidP="00495E89">
      <w:r w:rsidRPr="009867C1">
        <w:rPr>
          <w:b/>
        </w:rPr>
        <w:t>Choice of density index</w:t>
      </w:r>
      <w:r w:rsidRPr="009867C1">
        <w:t>: Two other density indices were considered. The first adds bankfull width to the density calculation:</w:t>
      </w:r>
    </w:p>
    <w:tbl>
      <w:tblPr>
        <w:tblStyle w:val="TableGrid"/>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7938"/>
        <w:gridCol w:w="1276"/>
      </w:tblGrid>
      <w:tr w:rsidR="00495E89" w:rsidRPr="009867C1" w14:paraId="1A57D337" w14:textId="77777777" w:rsidTr="00BA6F95">
        <w:tc>
          <w:tcPr>
            <w:tcW w:w="1242" w:type="dxa"/>
            <w:vAlign w:val="center"/>
          </w:tcPr>
          <w:p w14:paraId="4B3DDB9A" w14:textId="77777777" w:rsidR="00495E89" w:rsidRPr="009867C1" w:rsidRDefault="00495E89" w:rsidP="00BA6F95">
            <w:pPr>
              <w:jc w:val="center"/>
            </w:pPr>
            <w:r w:rsidRPr="009867C1">
              <w:t>density</w:t>
            </w:r>
            <w:r w:rsidRPr="009867C1">
              <w:rPr>
                <w:vertAlign w:val="subscript"/>
              </w:rPr>
              <w:t>s</w:t>
            </w:r>
            <w:r w:rsidRPr="009867C1">
              <w:t xml:space="preserve"> (SLxBW)</w:t>
            </w:r>
          </w:p>
        </w:tc>
        <w:tc>
          <w:tcPr>
            <w:tcW w:w="7938" w:type="dxa"/>
            <w:vAlign w:val="center"/>
          </w:tcPr>
          <w:p w14:paraId="1F1E8973" w14:textId="77777777" w:rsidR="00495E89" w:rsidRPr="009867C1" w:rsidRDefault="00557CA9" w:rsidP="00BA6F95">
            <w:pPr>
              <w:jc w:val="center"/>
            </w:pPr>
            <m:oMathPara>
              <m:oMath>
                <m:f>
                  <m:fPr>
                    <m:ctrlPr>
                      <w:rPr>
                        <w:rFonts w:ascii="Cambria Math" w:hAnsi="Cambria Math"/>
                        <w:i/>
                      </w:rPr>
                    </m:ctrlPr>
                  </m:fPr>
                  <m:num>
                    <m:sSub>
                      <m:sSubPr>
                        <m:ctrlPr>
                          <w:rPr>
                            <w:rFonts w:ascii="Cambria Math" w:hAnsi="Cambria Math"/>
                            <w:i/>
                          </w:rPr>
                        </m:ctrlPr>
                      </m:sSubPr>
                      <m:e>
                        <m:r>
                          <w:rPr>
                            <w:rFonts w:ascii="Cambria Math" w:hAnsi="Cambria Math"/>
                          </w:rPr>
                          <m:t xml:space="preserve"> biomass</m:t>
                        </m:r>
                      </m:e>
                      <m:sub>
                        <m:r>
                          <w:rPr>
                            <w:rFonts w:ascii="Cambria Math" w:hAnsi="Cambria Math"/>
                          </w:rPr>
                          <m:t>s</m:t>
                        </m:r>
                      </m:sub>
                    </m:sSub>
                    <m:r>
                      <w:rPr>
                        <w:rFonts w:ascii="Cambria Math" w:hAnsi="Cambria Math"/>
                      </w:rPr>
                      <m:t xml:space="preserve"> (kg)</m:t>
                    </m:r>
                  </m:num>
                  <m:den>
                    <m:sSub>
                      <m:sSubPr>
                        <m:ctrlPr>
                          <w:rPr>
                            <w:rFonts w:ascii="Cambria Math" w:hAnsi="Cambria Math"/>
                            <w:i/>
                          </w:rPr>
                        </m:ctrlPr>
                      </m:sSubPr>
                      <m:e>
                        <m:r>
                          <w:rPr>
                            <w:rFonts w:ascii="Cambria Math" w:hAnsi="Cambria Math"/>
                          </w:rPr>
                          <m:t>length of stream reach</m:t>
                        </m:r>
                      </m:e>
                      <m:sub>
                        <m:r>
                          <w:rPr>
                            <w:rFonts w:ascii="Cambria Math" w:hAnsi="Cambria Math"/>
                          </w:rPr>
                          <m:t>s</m:t>
                        </m:r>
                      </m:sub>
                    </m:sSub>
                    <m:r>
                      <w:rPr>
                        <w:rFonts w:ascii="Cambria Math" w:hAnsi="Cambria Math"/>
                      </w:rPr>
                      <m:t xml:space="preserve"> </m:t>
                    </m:r>
                    <m:d>
                      <m:dPr>
                        <m:ctrlPr>
                          <w:rPr>
                            <w:rFonts w:ascii="Cambria Math" w:hAnsi="Cambria Math"/>
                            <w:i/>
                          </w:rPr>
                        </m:ctrlPr>
                      </m:dPr>
                      <m:e>
                        <m:r>
                          <w:rPr>
                            <w:rFonts w:ascii="Cambria Math" w:hAnsi="Cambria Math"/>
                          </w:rPr>
                          <m:t>m</m:t>
                        </m:r>
                      </m:e>
                    </m:d>
                    <m:r>
                      <w:rPr>
                        <w:rFonts w:ascii="Cambria Math" w:hAnsi="Cambria Math"/>
                      </w:rPr>
                      <m:t>*</m:t>
                    </m:r>
                    <m:sSub>
                      <m:sSubPr>
                        <m:ctrlPr>
                          <w:rPr>
                            <w:rFonts w:ascii="Cambria Math" w:hAnsi="Cambria Math"/>
                            <w:i/>
                          </w:rPr>
                        </m:ctrlPr>
                      </m:sSubPr>
                      <m:e>
                        <m:r>
                          <w:rPr>
                            <w:rFonts w:ascii="Cambria Math" w:hAnsi="Cambria Math"/>
                          </w:rPr>
                          <m:t>bankfull width</m:t>
                        </m:r>
                      </m:e>
                      <m:sub>
                        <m:r>
                          <w:rPr>
                            <w:rFonts w:ascii="Cambria Math" w:hAnsi="Cambria Math"/>
                          </w:rPr>
                          <m:t>s</m:t>
                        </m:r>
                      </m:sub>
                    </m:sSub>
                    <m:r>
                      <w:rPr>
                        <w:rFonts w:ascii="Cambria Math" w:hAnsi="Cambria Math"/>
                      </w:rPr>
                      <m:t>(m)</m:t>
                    </m:r>
                  </m:den>
                </m:f>
              </m:oMath>
            </m:oMathPara>
          </w:p>
        </w:tc>
        <w:tc>
          <w:tcPr>
            <w:tcW w:w="1276" w:type="dxa"/>
            <w:vAlign w:val="center"/>
          </w:tcPr>
          <w:p w14:paraId="718BC6D5" w14:textId="1D0FD395" w:rsidR="00495E89" w:rsidRPr="009867C1" w:rsidRDefault="00495E89" w:rsidP="00BA6F95">
            <w:pPr>
              <w:jc w:val="center"/>
            </w:pPr>
            <w:r w:rsidRPr="009867C1">
              <w:t>(</w:t>
            </w:r>
            <w:r w:rsidR="00557CA9">
              <w:fldChar w:fldCharType="begin"/>
            </w:r>
            <w:r w:rsidR="00557CA9">
              <w:instrText xml:space="preserve"> SEQ Eq \* MERGEFORMAT </w:instrText>
            </w:r>
            <w:r w:rsidR="00557CA9">
              <w:fldChar w:fldCharType="separate"/>
            </w:r>
            <w:r w:rsidR="000667DB">
              <w:rPr>
                <w:noProof/>
              </w:rPr>
              <w:t>3</w:t>
            </w:r>
            <w:r w:rsidR="00557CA9">
              <w:rPr>
                <w:noProof/>
              </w:rPr>
              <w:fldChar w:fldCharType="end"/>
            </w:r>
            <w:r w:rsidRPr="009867C1">
              <w:t>)</w:t>
            </w:r>
          </w:p>
        </w:tc>
      </w:tr>
    </w:tbl>
    <w:p w14:paraId="364EA5F2" w14:textId="77777777" w:rsidR="00495E89" w:rsidRPr="009867C1" w:rsidRDefault="00495E89" w:rsidP="00495E89">
      <w:r w:rsidRPr="009867C1">
        <w:t xml:space="preserve">where ‘stream bankfull width’ is the mean width of stream </w:t>
      </w:r>
      <w:r w:rsidRPr="009867C1">
        <w:rPr>
          <w:i/>
        </w:rPr>
        <w:t>s</w:t>
      </w:r>
      <w:r w:rsidRPr="009867C1">
        <w:t xml:space="preserve"> at the stream’s mouth at the approximate period of maximum flow (in the fall).</w:t>
      </w:r>
    </w:p>
    <w:p w14:paraId="0240FAE7" w14:textId="77777777" w:rsidR="00495E89" w:rsidRPr="009867C1" w:rsidRDefault="00495E89" w:rsidP="00495E89"/>
    <w:p w14:paraId="11E6160F" w14:textId="77777777" w:rsidR="00495E89" w:rsidRPr="009867C1" w:rsidRDefault="00495E89" w:rsidP="00495E89">
      <w:r w:rsidRPr="009867C1">
        <w:t>The second divides instead by the catchment area:</w:t>
      </w:r>
    </w:p>
    <w:tbl>
      <w:tblPr>
        <w:tblStyle w:val="TableGrid"/>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7938"/>
        <w:gridCol w:w="1276"/>
      </w:tblGrid>
      <w:tr w:rsidR="00495E89" w:rsidRPr="009867C1" w14:paraId="0F3013E9" w14:textId="77777777" w:rsidTr="00BA6F95">
        <w:tc>
          <w:tcPr>
            <w:tcW w:w="1242" w:type="dxa"/>
            <w:vAlign w:val="center"/>
          </w:tcPr>
          <w:p w14:paraId="42E90263" w14:textId="77777777" w:rsidR="00495E89" w:rsidRPr="009867C1" w:rsidRDefault="00495E89" w:rsidP="00BA6F95">
            <w:pPr>
              <w:jc w:val="center"/>
            </w:pPr>
            <w:r w:rsidRPr="009867C1">
              <w:t>density</w:t>
            </w:r>
            <w:r w:rsidRPr="009867C1">
              <w:rPr>
                <w:vertAlign w:val="subscript"/>
              </w:rPr>
              <w:t>s</w:t>
            </w:r>
            <w:r w:rsidRPr="009867C1">
              <w:t xml:space="preserve"> (CA)</w:t>
            </w:r>
          </w:p>
        </w:tc>
        <w:tc>
          <w:tcPr>
            <w:tcW w:w="7938" w:type="dxa"/>
            <w:vAlign w:val="center"/>
          </w:tcPr>
          <w:p w14:paraId="000D5EA5" w14:textId="77777777" w:rsidR="00495E89" w:rsidRPr="009867C1" w:rsidRDefault="00557CA9" w:rsidP="00BA6F95">
            <w:pPr>
              <w:jc w:val="center"/>
            </w:pPr>
            <m:oMathPara>
              <m:oMath>
                <m:f>
                  <m:fPr>
                    <m:ctrlPr>
                      <w:rPr>
                        <w:rFonts w:ascii="Cambria Math" w:hAnsi="Cambria Math"/>
                        <w:i/>
                      </w:rPr>
                    </m:ctrlPr>
                  </m:fPr>
                  <m:num>
                    <m:sSub>
                      <m:sSubPr>
                        <m:ctrlPr>
                          <w:rPr>
                            <w:rFonts w:ascii="Cambria Math" w:hAnsi="Cambria Math"/>
                            <w:i/>
                          </w:rPr>
                        </m:ctrlPr>
                      </m:sSubPr>
                      <m:e>
                        <m:r>
                          <w:rPr>
                            <w:rFonts w:ascii="Cambria Math" w:hAnsi="Cambria Math"/>
                          </w:rPr>
                          <m:t>biomass</m:t>
                        </m:r>
                      </m:e>
                      <m:sub>
                        <m:r>
                          <w:rPr>
                            <w:rFonts w:ascii="Cambria Math" w:hAnsi="Cambria Math"/>
                          </w:rPr>
                          <m:t>s</m:t>
                        </m:r>
                      </m:sub>
                    </m:sSub>
                    <m:r>
                      <w:rPr>
                        <w:rFonts w:ascii="Cambria Math" w:hAnsi="Cambria Math"/>
                      </w:rPr>
                      <m:t xml:space="preserve"> (kg)</m:t>
                    </m:r>
                  </m:num>
                  <m:den>
                    <m:r>
                      <w:rPr>
                        <w:rFonts w:ascii="Cambria Math" w:hAnsi="Cambria Math"/>
                      </w:rPr>
                      <m:t>catchment area (</m:t>
                    </m:r>
                    <m:sSup>
                      <m:sSupPr>
                        <m:ctrlPr>
                          <w:rPr>
                            <w:rFonts w:ascii="Cambria Math" w:hAnsi="Cambria Math"/>
                            <w:i/>
                          </w:rPr>
                        </m:ctrlPr>
                      </m:sSupPr>
                      <m:e>
                        <m:r>
                          <w:rPr>
                            <w:rFonts w:ascii="Cambria Math" w:hAnsi="Cambria Math"/>
                          </w:rPr>
                          <m:t>km</m:t>
                        </m:r>
                      </m:e>
                      <m:sup>
                        <m:r>
                          <w:rPr>
                            <w:rFonts w:ascii="Cambria Math" w:hAnsi="Cambria Math"/>
                          </w:rPr>
                          <m:t>2</m:t>
                        </m:r>
                      </m:sup>
                    </m:sSup>
                    <m:r>
                      <w:rPr>
                        <w:rFonts w:ascii="Cambria Math" w:hAnsi="Cambria Math"/>
                      </w:rPr>
                      <m:t>)</m:t>
                    </m:r>
                  </m:den>
                </m:f>
              </m:oMath>
            </m:oMathPara>
          </w:p>
        </w:tc>
        <w:tc>
          <w:tcPr>
            <w:tcW w:w="1276" w:type="dxa"/>
            <w:vAlign w:val="center"/>
          </w:tcPr>
          <w:p w14:paraId="1BF488C8" w14:textId="1809D740" w:rsidR="00495E89" w:rsidRPr="009867C1" w:rsidRDefault="00495E89" w:rsidP="00BA6F95">
            <w:pPr>
              <w:jc w:val="center"/>
            </w:pPr>
            <w:r w:rsidRPr="009867C1">
              <w:t>(</w:t>
            </w:r>
            <w:r w:rsidR="00557CA9">
              <w:fldChar w:fldCharType="begin"/>
            </w:r>
            <w:r w:rsidR="00557CA9">
              <w:instrText xml:space="preserve"> SEQ Eq \* MERGEFORMAT </w:instrText>
            </w:r>
            <w:r w:rsidR="00557CA9">
              <w:fldChar w:fldCharType="separate"/>
            </w:r>
            <w:r w:rsidR="000667DB">
              <w:rPr>
                <w:noProof/>
              </w:rPr>
              <w:t>4</w:t>
            </w:r>
            <w:r w:rsidR="00557CA9">
              <w:rPr>
                <w:noProof/>
              </w:rPr>
              <w:fldChar w:fldCharType="end"/>
            </w:r>
            <w:r w:rsidRPr="009867C1">
              <w:t>)</w:t>
            </w:r>
          </w:p>
        </w:tc>
      </w:tr>
    </w:tbl>
    <w:p w14:paraId="42789C0C" w14:textId="60552552" w:rsidR="00495E89" w:rsidRPr="009867C1" w:rsidRDefault="00495E89" w:rsidP="00495E89">
      <w:r w:rsidRPr="009867C1">
        <w:t xml:space="preserve">Where ‘catchment area’ is from Hocking 2011, with missing sites added by Allen Larocque via estimates calculated from watershed data provided by iMAP BC </w:t>
      </w:r>
      <w:r w:rsidRPr="009867C1">
        <w:fldChar w:fldCharType="begin"/>
      </w:r>
      <w:r w:rsidR="00AC0205">
        <w:instrText xml:space="preserve"> ADDIN ZOTERO_ITEM CSL_CITATION {"citationID":"JFfLi4Sp","properties":{"formattedCitation":"({\\i{}IMapBC}, 2018)","plainCitation":"(IMapBC, 2018)","noteIndex":0},"citationItems":[{"id":1747,"uris":["http://zotero.org/users/2189142/items/V5U357DI"],"itemData":{"id":1747,"type":"book","publisher":"Ministry of Citizens Services BC","title":"iMapBC","URL":"https://www2.gov.bc.ca/gov/content/data/geographic-data-services/web-based-mapping/imapbc","issued":{"date-parts":[["2018"]]},"citation-key":"_2018"}}],"schema":"https://github.com/citation-style-language/schema/raw/master/csl-citation.json"} </w:instrText>
      </w:r>
      <w:r w:rsidRPr="009867C1">
        <w:fldChar w:fldCharType="separate"/>
      </w:r>
      <w:r w:rsidR="0042141C" w:rsidRPr="009867C1">
        <w:t>(</w:t>
      </w:r>
      <w:r w:rsidR="0042141C" w:rsidRPr="009867C1">
        <w:rPr>
          <w:i/>
          <w:iCs/>
        </w:rPr>
        <w:t>IMapBC</w:t>
      </w:r>
      <w:r w:rsidR="0042141C" w:rsidRPr="009867C1">
        <w:t>, 2018)</w:t>
      </w:r>
      <w:r w:rsidRPr="009867C1">
        <w:fldChar w:fldCharType="end"/>
      </w:r>
      <w:r w:rsidRPr="009867C1">
        <w:t>.</w:t>
      </w:r>
    </w:p>
    <w:p w14:paraId="3E0887C2" w14:textId="7CC358F8" w:rsidR="00495E89" w:rsidRPr="009867C1" w:rsidRDefault="00495E89" w:rsidP="005C481D">
      <w:pPr>
        <w:ind w:firstLine="720"/>
      </w:pPr>
      <w:r w:rsidRPr="009867C1">
        <w:t xml:space="preserve">Various of these four spatial density estimates have been used in the literature </w:t>
      </w:r>
      <w:r w:rsidRPr="009867C1">
        <w:fldChar w:fldCharType="begin"/>
      </w:r>
      <w:r w:rsidR="00AC0205">
        <w:instrText xml:space="preserve"> ADDIN ZOTERO_ITEM CSL_CITATION {"citationID":"soCFxDx8","properties":{"formattedCitation":"(Hocking &amp; Reynolds, 2011; Wagner &amp; Reynolds, 2019)","plainCitation":"(Hocking &amp; Reynolds, 2011; Wagner &amp; Reynolds, 2019)","noteIndex":0},"citationItems":[{"id":550,"uris":["http://zotero.org/users/2189142/items/JR362H46"],"itemData":{"id":550,"type":"article-journal","abstract":"The study of natural gradients in nutrient subsidies between ecosystems allows for predictions of how changes in one system can affect biodiversity in another. We performed a large-scale empirical test of the role of Pacific salmon (Oncorhynchus spp.) in structuring riparian plant communities. A comparison of 50 watersheds in the remote Great Bear Rainforest of British Columbia’s central coast in Canada shows that salmon influence nutrient loading to plants, shifting plant communities toward nutrient-rich species, which in turn decreases plant diversity. These effects are mediated by interactions between salmon density and the physical characteristics of watersheds. Predicting how salmon affect terrestrial ecosystems is central to conservation plans that aim to better integrate ecosystem values into resource management.","container-title":"Science","DOI":"10.1126/science.1201079","ISSN":"0036-8075, 1095-9203","issue":"6024","journalAbbreviation":"Science","language":"en","note":"PMID: 21442794","page":"1609-1612","source":"www.sciencemag.org.ezproxy.library.ubc.ca","title":"Impacts of Salmon on Riparian Plant Diversity","volume":"331","author":[{"family":"Hocking","given":"Morgan D."},{"family":"Reynolds","given":"John D."}],"issued":{"date-parts":[["2011",3,25]]},"citation-key":"hocking_2011"}},{"id":1850,"uris":["http://zotero.org/users/2189142/items/AHUMBHEI"],"itemData":{"id":1850,"type":"article-journal","abstract":"Resource subsidies across ecosystems can have strong and unforeseen ecological impacts. Marine-derived nutrients from Pacific salmon (Onchorhycus spp.) can be transferred to streams and riparian forests through diverse food web pathways, fertilizing forests and increasing invertebrate abundance, which may in turn affect breeding birds. We quantified the influence of salmon on the abundance and composition of songbird communities across a wide range of salmon-spawning biomass on 14 streams along a remote coastal region of British Columbia, Canada. Point-count data spanning two years were combined with salmon biomass and 13 environmental covariates in riparian forests to test for correlates with bird abundance, foraging guilds, individual species, and avian diversity. We show that bird abundance and diversity increase with salmon biomass and that watershed size and forest composition are less important predictors. This work provides new evidence for the importance of salmon to terrestrial ecosystems and information that can inform ecosystem-based management.","container-title":"PLOS ONE","DOI":"10.1371/journal.pone.0210031","ISSN":"1932-6203","issue":"2","journalAbbreviation":"PLOS ONE","language":"en","page":"e0210031","source":"PLoS Journals","title":"Salmon increase forest bird abundance and diversity","volume":"14","author":[{"family":"Wagner","given":"Marlene A."},{"family":"Reynolds","given":"John D."}],"issued":{"date-parts":[["2019",2,6]]},"citation-key":"wagner_2019"}}],"schema":"https://github.com/citation-style-language/schema/raw/master/csl-citation.json"} </w:instrText>
      </w:r>
      <w:r w:rsidRPr="009867C1">
        <w:fldChar w:fldCharType="separate"/>
      </w:r>
      <w:r w:rsidR="0042141C" w:rsidRPr="009867C1">
        <w:t>(Hocking &amp; Reynolds, 2011; Wagner &amp; Reynolds, 2019)</w:t>
      </w:r>
      <w:r w:rsidRPr="009867C1">
        <w:fldChar w:fldCharType="end"/>
      </w:r>
      <w:r w:rsidRPr="009867C1">
        <w:t xml:space="preserve">. These indices are highly correlated </w:t>
      </w:r>
      <w:r w:rsidR="00E72F72" w:rsidRPr="009867C1">
        <w:t>(</w:t>
      </w:r>
      <w:r w:rsidR="00E72F72" w:rsidRPr="009867C1">
        <w:fldChar w:fldCharType="begin"/>
      </w:r>
      <w:r w:rsidR="00E72F72" w:rsidRPr="009867C1">
        <w:instrText xml:space="preserve"> REF _Ref76307585 \h </w:instrText>
      </w:r>
      <w:r w:rsidR="009867C1">
        <w:instrText xml:space="preserve"> \* MERGEFORMAT </w:instrText>
      </w:r>
      <w:r w:rsidR="00E72F72" w:rsidRPr="009867C1">
        <w:fldChar w:fldCharType="separate"/>
      </w:r>
      <w:r w:rsidR="000667DB" w:rsidRPr="009867C1">
        <w:t xml:space="preserve">Table </w:t>
      </w:r>
      <w:r w:rsidR="000667DB">
        <w:rPr>
          <w:noProof/>
        </w:rPr>
        <w:t>B</w:t>
      </w:r>
      <w:r w:rsidR="000667DB" w:rsidRPr="009867C1">
        <w:rPr>
          <w:noProof/>
        </w:rPr>
        <w:noBreakHyphen/>
      </w:r>
      <w:r w:rsidR="000667DB">
        <w:rPr>
          <w:noProof/>
        </w:rPr>
        <w:t>2</w:t>
      </w:r>
      <w:r w:rsidR="00E72F72" w:rsidRPr="009867C1">
        <w:fldChar w:fldCharType="end"/>
      </w:r>
      <w:r w:rsidR="00E72F72" w:rsidRPr="009867C1">
        <w:t>)</w:t>
      </w:r>
      <w:r w:rsidRPr="009867C1">
        <w:t>, and a PCA was run to further measure their degree of shared variation (</w:t>
      </w:r>
      <w:r w:rsidR="00E72F72" w:rsidRPr="009867C1">
        <w:fldChar w:fldCharType="begin"/>
      </w:r>
      <w:r w:rsidR="00E72F72" w:rsidRPr="009867C1">
        <w:instrText xml:space="preserve"> REF _Ref76307556 \h </w:instrText>
      </w:r>
      <w:r w:rsidR="009867C1">
        <w:instrText xml:space="preserve"> \* MERGEFORMAT </w:instrText>
      </w:r>
      <w:r w:rsidR="00E72F72" w:rsidRPr="009867C1">
        <w:fldChar w:fldCharType="separate"/>
      </w:r>
      <w:r w:rsidR="000667DB" w:rsidRPr="009867C1">
        <w:t xml:space="preserve">Figure </w:t>
      </w:r>
      <w:r w:rsidR="000667DB">
        <w:rPr>
          <w:noProof/>
        </w:rPr>
        <w:t>B</w:t>
      </w:r>
      <w:r w:rsidR="000667DB" w:rsidRPr="009867C1">
        <w:rPr>
          <w:noProof/>
        </w:rPr>
        <w:noBreakHyphen/>
      </w:r>
      <w:r w:rsidR="000667DB">
        <w:rPr>
          <w:noProof/>
        </w:rPr>
        <w:t>5</w:t>
      </w:r>
      <w:r w:rsidR="00E72F72" w:rsidRPr="009867C1">
        <w:fldChar w:fldCharType="end"/>
      </w:r>
      <w:r w:rsidRPr="009867C1">
        <w:t xml:space="preserve">). </w:t>
      </w:r>
    </w:p>
    <w:p w14:paraId="69E9E4EB" w14:textId="77777777" w:rsidR="00495E89" w:rsidRPr="009867C1" w:rsidRDefault="00495E89" w:rsidP="005C481D">
      <w:pPr>
        <w:ind w:firstLine="720"/>
      </w:pPr>
      <w:r w:rsidRPr="009867C1">
        <w:t xml:space="preserve">For this thesis I settle on density per m of stream reach (eq. 2) for conceptual simplicity, consistency with previous and on-going studies, and because initial analysis showed that the ‘stream reach’ index (eq. 2) had the highest correlation with response variables (Chapter 2, 4, 5). Throughout this thesis this is referred to as ‘salmon density’. </w:t>
      </w:r>
    </w:p>
    <w:p w14:paraId="4CFFF013" w14:textId="77777777" w:rsidR="00495E89" w:rsidRPr="009867C1" w:rsidRDefault="00495E89" w:rsidP="00495E89"/>
    <w:p w14:paraId="2D295383" w14:textId="77777777" w:rsidR="00C320E6" w:rsidRPr="009867C1" w:rsidRDefault="00495E89" w:rsidP="00C320E6">
      <w:pPr>
        <w:keepNext/>
      </w:pPr>
      <w:r w:rsidRPr="009867C1">
        <w:rPr>
          <w:noProof/>
          <w:lang w:val="en-CA" w:eastAsia="en-CA"/>
        </w:rPr>
        <w:drawing>
          <wp:inline distT="0" distB="0" distL="0" distR="0" wp14:anchorId="022834BF" wp14:editId="43170FA4">
            <wp:extent cx="5937250" cy="5730516"/>
            <wp:effectExtent l="0" t="0" r="6350" b="3810"/>
            <wp:docPr id="94" name="Picture 94" descr="D:\[0] Sync\[0] Syncbox\[0] Thesis\[0] Data and Analyses\[1] Site-level data\[3] Combined analysis\Figure - Salmon density by watersh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0] Sync\[0] Syncbox\[0] Thesis\[0] Data and Analyses\[1] Site-level data\[3] Combined analysis\Figure - Salmon density by watershed.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3482"/>
                    <a:stretch/>
                  </pic:blipFill>
                  <pic:spPr bwMode="auto">
                    <a:xfrm>
                      <a:off x="0" y="0"/>
                      <a:ext cx="5937250" cy="5730516"/>
                    </a:xfrm>
                    <a:prstGeom prst="rect">
                      <a:avLst/>
                    </a:prstGeom>
                    <a:noFill/>
                    <a:ln>
                      <a:noFill/>
                    </a:ln>
                    <a:extLst>
                      <a:ext uri="{53640926-AAD7-44D8-BBD7-CCE9431645EC}">
                        <a14:shadowObscured xmlns:a14="http://schemas.microsoft.com/office/drawing/2010/main"/>
                      </a:ext>
                    </a:extLst>
                  </pic:spPr>
                </pic:pic>
              </a:graphicData>
            </a:graphic>
          </wp:inline>
        </w:drawing>
      </w:r>
    </w:p>
    <w:p w14:paraId="56BC413E" w14:textId="4A056AFD" w:rsidR="00C320E6" w:rsidRPr="009867C1" w:rsidRDefault="00C320E6" w:rsidP="00C320E6">
      <w:pPr>
        <w:pStyle w:val="Caption"/>
        <w:rPr>
          <w:vanish/>
          <w:specVanish/>
        </w:rPr>
      </w:pPr>
      <w:bookmarkStart w:id="323" w:name="_Ref76307477"/>
      <w:bookmarkStart w:id="324" w:name="_Toc86773935"/>
      <w:r w:rsidRPr="009867C1">
        <w:t xml:space="preserve">Figure </w:t>
      </w:r>
      <w:r w:rsidR="00840B50" w:rsidRPr="009867C1">
        <w:fldChar w:fldCharType="begin"/>
      </w:r>
      <w:r w:rsidR="00840B50" w:rsidRPr="009867C1">
        <w:instrText xml:space="preserve"> STYLEREF 7 \s </w:instrText>
      </w:r>
      <w:r w:rsidR="00840B50" w:rsidRPr="009867C1">
        <w:fldChar w:fldCharType="separate"/>
      </w:r>
      <w:r w:rsidR="000667DB">
        <w:rPr>
          <w:noProof/>
        </w:rPr>
        <w:t>B</w:t>
      </w:r>
      <w:r w:rsidR="00840B50" w:rsidRPr="009867C1">
        <w:fldChar w:fldCharType="end"/>
      </w:r>
      <w:r w:rsidR="00840B50" w:rsidRPr="009867C1">
        <w:noBreakHyphen/>
      </w:r>
      <w:r w:rsidR="00840B50" w:rsidRPr="009867C1">
        <w:fldChar w:fldCharType="begin"/>
      </w:r>
      <w:r w:rsidR="00840B50" w:rsidRPr="009867C1">
        <w:instrText xml:space="preserve"> SEQ Appendix_Figure \* ARABIC \s 7 </w:instrText>
      </w:r>
      <w:r w:rsidR="00840B50" w:rsidRPr="009867C1">
        <w:fldChar w:fldCharType="separate"/>
      </w:r>
      <w:r w:rsidR="000667DB">
        <w:rPr>
          <w:noProof/>
        </w:rPr>
        <w:t>1</w:t>
      </w:r>
      <w:r w:rsidR="00840B50" w:rsidRPr="009867C1">
        <w:fldChar w:fldCharType="end"/>
      </w:r>
      <w:bookmarkEnd w:id="323"/>
      <w:r w:rsidRPr="009867C1">
        <w:t>: Salmon density (kg of salmon/m of accessible stream reach) for all streams used in this study.</w:t>
      </w:r>
      <w:bookmarkEnd w:id="324"/>
    </w:p>
    <w:p w14:paraId="0F1FD0A7" w14:textId="559BBAE7" w:rsidR="00C320E6" w:rsidRPr="009867C1" w:rsidRDefault="00C320E6" w:rsidP="00C320E6">
      <w:pPr>
        <w:pStyle w:val="Caption"/>
      </w:pPr>
      <w:r w:rsidRPr="009867C1">
        <w:t xml:space="preserve"> Y-axis scale is held constant across streams for </w:t>
      </w:r>
      <w:r w:rsidR="00E72F72" w:rsidRPr="009867C1">
        <w:t xml:space="preserve">cross watershed </w:t>
      </w:r>
      <w:r w:rsidRPr="009867C1">
        <w:t>comparison.</w:t>
      </w:r>
    </w:p>
    <w:p w14:paraId="11A9E78A" w14:textId="52944413" w:rsidR="00495E89" w:rsidRPr="009867C1" w:rsidRDefault="00495E89" w:rsidP="00C320E6">
      <w:pPr>
        <w:pStyle w:val="Caption"/>
      </w:pPr>
    </w:p>
    <w:p w14:paraId="13FA530F" w14:textId="77777777" w:rsidR="00495E89" w:rsidRPr="009867C1" w:rsidRDefault="00495E89" w:rsidP="00495E89"/>
    <w:p w14:paraId="0551264B" w14:textId="77777777" w:rsidR="00495E89" w:rsidRPr="009867C1" w:rsidRDefault="00495E89" w:rsidP="00495E89"/>
    <w:p w14:paraId="255E0881" w14:textId="77777777" w:rsidR="006D575C" w:rsidRPr="009867C1" w:rsidRDefault="00495E89" w:rsidP="006D575C">
      <w:pPr>
        <w:keepNext/>
      </w:pPr>
      <w:r w:rsidRPr="009867C1">
        <w:rPr>
          <w:noProof/>
          <w:lang w:val="en-CA" w:eastAsia="en-CA"/>
        </w:rPr>
        <w:drawing>
          <wp:inline distT="0" distB="0" distL="0" distR="0" wp14:anchorId="44C22B72" wp14:editId="2A190C74">
            <wp:extent cx="5937250" cy="5730516"/>
            <wp:effectExtent l="0" t="0" r="6350" b="3810"/>
            <wp:docPr id="95" name="Picture 95" descr="D:\[0] Sync\[0] Syncbox\[0] Thesis\[0] Data and Analyses\[1] Site-level data\[3] Combined analysis\Figure - Salmon density by watershed - scale f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 Sync\[0] Syncbox\[0] Thesis\[0] Data and Analyses\[1] Site-level data\[3] Combined analysis\Figure - Salmon density by watershed - scale free.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3482"/>
                    <a:stretch/>
                  </pic:blipFill>
                  <pic:spPr bwMode="auto">
                    <a:xfrm>
                      <a:off x="0" y="0"/>
                      <a:ext cx="5937250" cy="5730516"/>
                    </a:xfrm>
                    <a:prstGeom prst="rect">
                      <a:avLst/>
                    </a:prstGeom>
                    <a:noFill/>
                    <a:ln>
                      <a:noFill/>
                    </a:ln>
                    <a:extLst>
                      <a:ext uri="{53640926-AAD7-44D8-BBD7-CCE9431645EC}">
                        <a14:shadowObscured xmlns:a14="http://schemas.microsoft.com/office/drawing/2010/main"/>
                      </a:ext>
                    </a:extLst>
                  </pic:spPr>
                </pic:pic>
              </a:graphicData>
            </a:graphic>
          </wp:inline>
        </w:drawing>
      </w:r>
    </w:p>
    <w:p w14:paraId="60164E3A" w14:textId="33C29EB5" w:rsidR="006D575C" w:rsidRPr="009867C1" w:rsidRDefault="006D575C" w:rsidP="006D575C">
      <w:pPr>
        <w:pStyle w:val="Caption"/>
        <w:rPr>
          <w:vanish/>
          <w:specVanish/>
        </w:rPr>
      </w:pPr>
      <w:bookmarkStart w:id="325" w:name="_Ref76307483"/>
      <w:bookmarkStart w:id="326" w:name="_Toc86773936"/>
      <w:r w:rsidRPr="009867C1">
        <w:t xml:space="preserve">Figure </w:t>
      </w:r>
      <w:r w:rsidR="00840B50" w:rsidRPr="009867C1">
        <w:fldChar w:fldCharType="begin"/>
      </w:r>
      <w:r w:rsidR="00840B50" w:rsidRPr="009867C1">
        <w:instrText xml:space="preserve"> STYLEREF 7 \s </w:instrText>
      </w:r>
      <w:r w:rsidR="00840B50" w:rsidRPr="009867C1">
        <w:fldChar w:fldCharType="separate"/>
      </w:r>
      <w:r w:rsidR="000667DB">
        <w:rPr>
          <w:noProof/>
        </w:rPr>
        <w:t>B</w:t>
      </w:r>
      <w:r w:rsidR="00840B50" w:rsidRPr="009867C1">
        <w:fldChar w:fldCharType="end"/>
      </w:r>
      <w:r w:rsidR="00840B50" w:rsidRPr="009867C1">
        <w:noBreakHyphen/>
      </w:r>
      <w:r w:rsidR="00840B50" w:rsidRPr="009867C1">
        <w:fldChar w:fldCharType="begin"/>
      </w:r>
      <w:r w:rsidR="00840B50" w:rsidRPr="009867C1">
        <w:instrText xml:space="preserve"> SEQ Appendix_Figure \* ARABIC \s 7 </w:instrText>
      </w:r>
      <w:r w:rsidR="00840B50" w:rsidRPr="009867C1">
        <w:fldChar w:fldCharType="separate"/>
      </w:r>
      <w:r w:rsidR="000667DB">
        <w:rPr>
          <w:noProof/>
        </w:rPr>
        <w:t>2</w:t>
      </w:r>
      <w:r w:rsidR="00840B50" w:rsidRPr="009867C1">
        <w:fldChar w:fldCharType="end"/>
      </w:r>
      <w:bookmarkEnd w:id="325"/>
      <w:r w:rsidRPr="009867C1">
        <w:t>: Salmon density (kg of salmon/m of accessible stream reach) for all streams used in this study.</w:t>
      </w:r>
      <w:bookmarkEnd w:id="326"/>
    </w:p>
    <w:p w14:paraId="52C3FC55" w14:textId="1BC47FFF" w:rsidR="006D575C" w:rsidRPr="009867C1" w:rsidRDefault="006D575C" w:rsidP="006D575C">
      <w:pPr>
        <w:pStyle w:val="Caption"/>
      </w:pPr>
      <w:r w:rsidRPr="009867C1">
        <w:t xml:space="preserve"> Y-axis scale dynamic across streams too allow for </w:t>
      </w:r>
      <w:r w:rsidR="00E72F72" w:rsidRPr="009867C1">
        <w:t>within-watershed comparison</w:t>
      </w:r>
      <w:r w:rsidRPr="009867C1">
        <w:t>.</w:t>
      </w:r>
    </w:p>
    <w:p w14:paraId="1536B56F" w14:textId="43B42CFC" w:rsidR="00495E89" w:rsidRPr="009867C1" w:rsidRDefault="00495E89" w:rsidP="006D575C">
      <w:pPr>
        <w:pStyle w:val="Caption"/>
      </w:pPr>
    </w:p>
    <w:p w14:paraId="7ABC31A0" w14:textId="77777777" w:rsidR="006D575C" w:rsidRPr="009867C1" w:rsidRDefault="00495E89" w:rsidP="006D575C">
      <w:pPr>
        <w:keepNext/>
      </w:pPr>
      <w:r w:rsidRPr="009867C1">
        <w:rPr>
          <w:noProof/>
          <w:lang w:val="en-CA" w:eastAsia="en-CA"/>
        </w:rPr>
        <w:drawing>
          <wp:inline distT="0" distB="0" distL="0" distR="0" wp14:anchorId="5218FFFB" wp14:editId="7D284776">
            <wp:extent cx="5937250" cy="5746419"/>
            <wp:effectExtent l="0" t="0" r="6350" b="6985"/>
            <wp:docPr id="96" name="Picture 96" descr="D:\[0] Sync\[0] Syncbox\[0] Thesis\[0] Data and Analyses\[1] Site-level data\[3] Combined analysis\Figure - total biomass across all watershe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0] Sync\[0] Syncbox\[0] Thesis\[0] Data and Analyses\[1] Site-level data\[3] Combined analysis\Figure - total biomass across all watersheds.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3214"/>
                    <a:stretch/>
                  </pic:blipFill>
                  <pic:spPr bwMode="auto">
                    <a:xfrm>
                      <a:off x="0" y="0"/>
                      <a:ext cx="5937250" cy="5746419"/>
                    </a:xfrm>
                    <a:prstGeom prst="rect">
                      <a:avLst/>
                    </a:prstGeom>
                    <a:noFill/>
                    <a:ln>
                      <a:noFill/>
                    </a:ln>
                    <a:extLst>
                      <a:ext uri="{53640926-AAD7-44D8-BBD7-CCE9431645EC}">
                        <a14:shadowObscured xmlns:a14="http://schemas.microsoft.com/office/drawing/2010/main"/>
                      </a:ext>
                    </a:extLst>
                  </pic:spPr>
                </pic:pic>
              </a:graphicData>
            </a:graphic>
          </wp:inline>
        </w:drawing>
      </w:r>
    </w:p>
    <w:p w14:paraId="1AFE24E1" w14:textId="3A6B7F6F" w:rsidR="006D575C" w:rsidRPr="009867C1" w:rsidRDefault="006D575C" w:rsidP="006D575C">
      <w:pPr>
        <w:pStyle w:val="Caption"/>
        <w:rPr>
          <w:vanish/>
          <w:specVanish/>
        </w:rPr>
      </w:pPr>
      <w:bookmarkStart w:id="327" w:name="_Ref76307505"/>
      <w:bookmarkStart w:id="328" w:name="_Toc86773937"/>
      <w:r w:rsidRPr="009867C1">
        <w:t xml:space="preserve">Figure </w:t>
      </w:r>
      <w:r w:rsidR="00840B50" w:rsidRPr="009867C1">
        <w:fldChar w:fldCharType="begin"/>
      </w:r>
      <w:r w:rsidR="00840B50" w:rsidRPr="009867C1">
        <w:instrText xml:space="preserve"> STYLEREF 7 \s </w:instrText>
      </w:r>
      <w:r w:rsidR="00840B50" w:rsidRPr="009867C1">
        <w:fldChar w:fldCharType="separate"/>
      </w:r>
      <w:r w:rsidR="000667DB">
        <w:rPr>
          <w:noProof/>
        </w:rPr>
        <w:t>B</w:t>
      </w:r>
      <w:r w:rsidR="00840B50" w:rsidRPr="009867C1">
        <w:fldChar w:fldCharType="end"/>
      </w:r>
      <w:r w:rsidR="00840B50" w:rsidRPr="009867C1">
        <w:noBreakHyphen/>
      </w:r>
      <w:r w:rsidR="00840B50" w:rsidRPr="009867C1">
        <w:fldChar w:fldCharType="begin"/>
      </w:r>
      <w:r w:rsidR="00840B50" w:rsidRPr="009867C1">
        <w:instrText xml:space="preserve"> SEQ Appendix_Figure \* ARABIC \s 7 </w:instrText>
      </w:r>
      <w:r w:rsidR="00840B50" w:rsidRPr="009867C1">
        <w:fldChar w:fldCharType="separate"/>
      </w:r>
      <w:r w:rsidR="000667DB">
        <w:rPr>
          <w:noProof/>
        </w:rPr>
        <w:t>3</w:t>
      </w:r>
      <w:r w:rsidR="00840B50" w:rsidRPr="009867C1">
        <w:fldChar w:fldCharType="end"/>
      </w:r>
      <w:bookmarkEnd w:id="327"/>
      <w:r w:rsidRPr="009867C1">
        <w:t>: Salmon biomass (metric tons) by year over all streams used in this thesis.</w:t>
      </w:r>
      <w:bookmarkEnd w:id="328"/>
    </w:p>
    <w:p w14:paraId="22D9940C" w14:textId="77777777" w:rsidR="006D575C" w:rsidRPr="009867C1" w:rsidRDefault="006D575C" w:rsidP="006D575C">
      <w:pPr>
        <w:pStyle w:val="Caption"/>
      </w:pPr>
      <w:r w:rsidRPr="009867C1">
        <w:t xml:space="preserve"> Four species are present in this region, with chum and pink being most represented.  </w:t>
      </w:r>
    </w:p>
    <w:p w14:paraId="678A96AF" w14:textId="10114EB4" w:rsidR="00495E89" w:rsidRPr="009867C1" w:rsidRDefault="00495E89" w:rsidP="006D575C">
      <w:pPr>
        <w:pStyle w:val="Caption"/>
      </w:pPr>
    </w:p>
    <w:p w14:paraId="4E7D00D9" w14:textId="77777777" w:rsidR="00495E89" w:rsidRPr="009867C1" w:rsidRDefault="00495E89" w:rsidP="00495E89"/>
    <w:p w14:paraId="1AA11244" w14:textId="77777777" w:rsidR="006D575C" w:rsidRPr="009867C1" w:rsidRDefault="00495E89" w:rsidP="006D575C">
      <w:pPr>
        <w:keepNext/>
      </w:pPr>
      <w:r w:rsidRPr="009867C1">
        <w:rPr>
          <w:noProof/>
          <w:lang w:val="en-CA" w:eastAsia="en-CA"/>
        </w:rPr>
        <w:drawing>
          <wp:inline distT="0" distB="0" distL="0" distR="0" wp14:anchorId="284BA32F" wp14:editId="482AB1C2">
            <wp:extent cx="3949700" cy="3830430"/>
            <wp:effectExtent l="0" t="0" r="0" b="0"/>
            <wp:docPr id="97" name="Picture 97" descr="D:\[0] Sync\[0] Syncbox\[0] Thesis\[0] Data and Analyses\[1] Site-level data\[3] Combined analysis\Figure - histogram - salmon den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0] Sync\[0] Syncbox\[0] Thesis\[0] Data and Analyses\[1] Site-level data\[3] Combined analysis\Figure - histogram - salmon density.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3020"/>
                    <a:stretch/>
                  </pic:blipFill>
                  <pic:spPr bwMode="auto">
                    <a:xfrm>
                      <a:off x="0" y="0"/>
                      <a:ext cx="3949700" cy="3830430"/>
                    </a:xfrm>
                    <a:prstGeom prst="rect">
                      <a:avLst/>
                    </a:prstGeom>
                    <a:noFill/>
                    <a:ln>
                      <a:noFill/>
                    </a:ln>
                    <a:extLst>
                      <a:ext uri="{53640926-AAD7-44D8-BBD7-CCE9431645EC}">
                        <a14:shadowObscured xmlns:a14="http://schemas.microsoft.com/office/drawing/2010/main"/>
                      </a:ext>
                    </a:extLst>
                  </pic:spPr>
                </pic:pic>
              </a:graphicData>
            </a:graphic>
          </wp:inline>
        </w:drawing>
      </w:r>
    </w:p>
    <w:p w14:paraId="2C9663C5" w14:textId="141AEB25" w:rsidR="00495E89" w:rsidRPr="009867C1" w:rsidRDefault="006D575C" w:rsidP="006D575C">
      <w:pPr>
        <w:pStyle w:val="Caption"/>
      </w:pPr>
      <w:bookmarkStart w:id="329" w:name="_Ref76307516"/>
      <w:bookmarkStart w:id="330" w:name="_Toc86773938"/>
      <w:r w:rsidRPr="009867C1">
        <w:t xml:space="preserve">Figure </w:t>
      </w:r>
      <w:r w:rsidR="00840B50" w:rsidRPr="009867C1">
        <w:fldChar w:fldCharType="begin"/>
      </w:r>
      <w:r w:rsidR="00840B50" w:rsidRPr="009867C1">
        <w:instrText xml:space="preserve"> STYLEREF 7 \s </w:instrText>
      </w:r>
      <w:r w:rsidR="00840B50" w:rsidRPr="009867C1">
        <w:fldChar w:fldCharType="separate"/>
      </w:r>
      <w:r w:rsidR="000667DB">
        <w:rPr>
          <w:noProof/>
        </w:rPr>
        <w:t>B</w:t>
      </w:r>
      <w:r w:rsidR="00840B50" w:rsidRPr="009867C1">
        <w:fldChar w:fldCharType="end"/>
      </w:r>
      <w:r w:rsidR="00840B50" w:rsidRPr="009867C1">
        <w:noBreakHyphen/>
      </w:r>
      <w:r w:rsidR="00840B50" w:rsidRPr="009867C1">
        <w:fldChar w:fldCharType="begin"/>
      </w:r>
      <w:r w:rsidR="00840B50" w:rsidRPr="009867C1">
        <w:instrText xml:space="preserve"> SEQ Appendix_Figure \* ARABIC \s 7 </w:instrText>
      </w:r>
      <w:r w:rsidR="00840B50" w:rsidRPr="009867C1">
        <w:fldChar w:fldCharType="separate"/>
      </w:r>
      <w:r w:rsidR="000667DB">
        <w:rPr>
          <w:noProof/>
        </w:rPr>
        <w:t>4</w:t>
      </w:r>
      <w:r w:rsidR="00840B50" w:rsidRPr="009867C1">
        <w:fldChar w:fldCharType="end"/>
      </w:r>
      <w:bookmarkEnd w:id="329"/>
      <w:r w:rsidRPr="009867C1">
        <w:t>: Histogram of the distribution of salmon density (kg/m) across streams for all years. Note the skew-right distribution and gap between 20 and 40 kg/m (high density streams are Neekas and Clatse).</w:t>
      </w:r>
      <w:bookmarkEnd w:id="330"/>
    </w:p>
    <w:p w14:paraId="271CC2C0" w14:textId="77777777" w:rsidR="00495E89" w:rsidRPr="009867C1" w:rsidRDefault="00495E89" w:rsidP="00495E89"/>
    <w:p w14:paraId="629B1205" w14:textId="62E438E9" w:rsidR="006D575C" w:rsidRPr="009867C1" w:rsidRDefault="006D575C" w:rsidP="006D575C">
      <w:pPr>
        <w:pStyle w:val="Caption"/>
        <w:keepNext/>
      </w:pPr>
      <w:bookmarkStart w:id="331" w:name="_Toc74949413"/>
      <w:r w:rsidRPr="009867C1">
        <w:t xml:space="preserve">Table </w:t>
      </w:r>
      <w:r w:rsidR="00840B50" w:rsidRPr="009867C1">
        <w:fldChar w:fldCharType="begin"/>
      </w:r>
      <w:r w:rsidR="00840B50" w:rsidRPr="009867C1">
        <w:instrText xml:space="preserve"> STYLEREF 7 \s </w:instrText>
      </w:r>
      <w:r w:rsidR="00840B50" w:rsidRPr="009867C1">
        <w:fldChar w:fldCharType="separate"/>
      </w:r>
      <w:r w:rsidR="000667DB">
        <w:rPr>
          <w:noProof/>
        </w:rPr>
        <w:t>B</w:t>
      </w:r>
      <w:r w:rsidR="00840B50" w:rsidRPr="009867C1">
        <w:fldChar w:fldCharType="end"/>
      </w:r>
      <w:r w:rsidR="00840B50" w:rsidRPr="009867C1">
        <w:noBreakHyphen/>
      </w:r>
      <w:r w:rsidR="00840B50" w:rsidRPr="009867C1">
        <w:fldChar w:fldCharType="begin"/>
      </w:r>
      <w:r w:rsidR="00840B50" w:rsidRPr="009867C1">
        <w:instrText xml:space="preserve"> SEQ Appendix_Table \* ARABIC \s 7 </w:instrText>
      </w:r>
      <w:r w:rsidR="00840B50" w:rsidRPr="009867C1">
        <w:fldChar w:fldCharType="separate"/>
      </w:r>
      <w:r w:rsidR="000667DB">
        <w:rPr>
          <w:noProof/>
        </w:rPr>
        <w:t>1</w:t>
      </w:r>
      <w:r w:rsidR="00840B50" w:rsidRPr="009867C1">
        <w:fldChar w:fldCharType="end"/>
      </w:r>
      <w:r w:rsidRPr="009867C1">
        <w:t>: Average mass at spawning for different salmon species used in salmon density calculations.</w:t>
      </w:r>
      <w:bookmarkEnd w:id="331"/>
    </w:p>
    <w:tbl>
      <w:tblPr>
        <w:tblStyle w:val="TableGrid"/>
        <w:tblW w:w="0" w:type="auto"/>
        <w:tblLook w:val="04A0" w:firstRow="1" w:lastRow="0" w:firstColumn="1" w:lastColumn="0" w:noHBand="0" w:noVBand="1"/>
      </w:tblPr>
      <w:tblGrid>
        <w:gridCol w:w="3182"/>
        <w:gridCol w:w="3258"/>
        <w:gridCol w:w="2910"/>
      </w:tblGrid>
      <w:tr w:rsidR="00495E89" w:rsidRPr="009867C1" w14:paraId="0EF678DA" w14:textId="77777777" w:rsidTr="00BA6F95">
        <w:tc>
          <w:tcPr>
            <w:tcW w:w="3182" w:type="dxa"/>
          </w:tcPr>
          <w:p w14:paraId="5229AFE0" w14:textId="77777777" w:rsidR="00495E89" w:rsidRPr="009867C1" w:rsidRDefault="00495E89" w:rsidP="00BA6F95">
            <w:r w:rsidRPr="009867C1">
              <w:t>Species</w:t>
            </w:r>
          </w:p>
        </w:tc>
        <w:tc>
          <w:tcPr>
            <w:tcW w:w="3258" w:type="dxa"/>
          </w:tcPr>
          <w:p w14:paraId="244D118C" w14:textId="77777777" w:rsidR="00495E89" w:rsidRPr="009867C1" w:rsidRDefault="00495E89" w:rsidP="00BA6F95">
            <w:r w:rsidRPr="009867C1">
              <w:t>Average weight at spawning (kg)</w:t>
            </w:r>
          </w:p>
        </w:tc>
        <w:tc>
          <w:tcPr>
            <w:tcW w:w="2910" w:type="dxa"/>
          </w:tcPr>
          <w:p w14:paraId="3BA6F449" w14:textId="77777777" w:rsidR="00495E89" w:rsidRPr="009867C1" w:rsidRDefault="00495E89" w:rsidP="00BA6F95">
            <w:r w:rsidRPr="009867C1">
              <w:t>Reference</w:t>
            </w:r>
          </w:p>
        </w:tc>
      </w:tr>
      <w:tr w:rsidR="00495E89" w:rsidRPr="009867C1" w14:paraId="37613378" w14:textId="77777777" w:rsidTr="00BA6F95">
        <w:tc>
          <w:tcPr>
            <w:tcW w:w="3182" w:type="dxa"/>
          </w:tcPr>
          <w:p w14:paraId="2086FEFE" w14:textId="77777777" w:rsidR="00495E89" w:rsidRPr="009867C1" w:rsidRDefault="00495E89" w:rsidP="00BA6F95">
            <w:r w:rsidRPr="009867C1">
              <w:t>Chum</w:t>
            </w:r>
          </w:p>
        </w:tc>
        <w:tc>
          <w:tcPr>
            <w:tcW w:w="3258" w:type="dxa"/>
          </w:tcPr>
          <w:p w14:paraId="75F107CC" w14:textId="77777777" w:rsidR="00495E89" w:rsidRPr="009867C1" w:rsidRDefault="00495E89" w:rsidP="00BA6F95">
            <w:r w:rsidRPr="009867C1">
              <w:t>3.1</w:t>
            </w:r>
          </w:p>
        </w:tc>
        <w:tc>
          <w:tcPr>
            <w:tcW w:w="2910" w:type="dxa"/>
          </w:tcPr>
          <w:p w14:paraId="3AC51FC9" w14:textId="75FBB2A7" w:rsidR="00495E89" w:rsidRPr="009867C1" w:rsidRDefault="00495E89" w:rsidP="00BA6F95">
            <w:r w:rsidRPr="009867C1">
              <w:fldChar w:fldCharType="begin"/>
            </w:r>
            <w:r w:rsidR="00AC0205">
              <w:instrText xml:space="preserve"> ADDIN ZOTERO_ITEM CSL_CITATION {"citationID":"0TqvGGbz","properties":{"formattedCitation":"(Hocking &amp; Reynolds, 2011)","plainCitation":"(Hocking &amp; Reynolds, 2011)","noteIndex":0},"citationItems":[{"id":550,"uris":["http://zotero.org/users/2189142/items/JR362H46"],"itemData":{"id":550,"type":"article-journal","abstract":"The study of natural gradients in nutrient subsidies between ecosystems allows for predictions of how changes in one system can affect biodiversity in another. We performed a large-scale empirical test of the role of Pacific salmon (Oncorhynchus spp.) in structuring riparian plant communities. A comparison of 50 watersheds in the remote Great Bear Rainforest of British Columbia’s central coast in Canada shows that salmon influence nutrient loading to plants, shifting plant communities toward nutrient-rich species, which in turn decreases plant diversity. These effects are mediated by interactions between salmon density and the physical characteristics of watersheds. Predicting how salmon affect terrestrial ecosystems is central to conservation plans that aim to better integrate ecosystem values into resource management.","container-title":"Science","DOI":"10.1126/science.1201079","ISSN":"0036-8075, 1095-9203","issue":"6024","journalAbbreviation":"Science","language":"en","note":"PMID: 21442794","page":"1609-1612","source":"www.sciencemag.org.ezproxy.library.ubc.ca","title":"Impacts of Salmon on Riparian Plant Diversity","volume":"331","author":[{"family":"Hocking","given":"Morgan D."},{"family":"Reynolds","given":"John D."}],"issued":{"date-parts":[["2011",3,25]]},"citation-key":"hocking_2011"}}],"schema":"https://github.com/citation-style-language/schema/raw/master/csl-citation.json"} </w:instrText>
            </w:r>
            <w:r w:rsidRPr="009867C1">
              <w:fldChar w:fldCharType="separate"/>
            </w:r>
            <w:r w:rsidR="0042141C" w:rsidRPr="009867C1">
              <w:t>(Hocking &amp; Reynolds, 2011)</w:t>
            </w:r>
            <w:r w:rsidRPr="009867C1">
              <w:fldChar w:fldCharType="end"/>
            </w:r>
          </w:p>
        </w:tc>
      </w:tr>
      <w:tr w:rsidR="00495E89" w:rsidRPr="009867C1" w14:paraId="18ED77FB" w14:textId="77777777" w:rsidTr="00BA6F95">
        <w:tc>
          <w:tcPr>
            <w:tcW w:w="3182" w:type="dxa"/>
          </w:tcPr>
          <w:p w14:paraId="27004714" w14:textId="77777777" w:rsidR="00495E89" w:rsidRPr="009867C1" w:rsidRDefault="00495E89" w:rsidP="00BA6F95">
            <w:r w:rsidRPr="009867C1">
              <w:t>Pink</w:t>
            </w:r>
          </w:p>
        </w:tc>
        <w:tc>
          <w:tcPr>
            <w:tcW w:w="3258" w:type="dxa"/>
          </w:tcPr>
          <w:p w14:paraId="50B3A4DA" w14:textId="77777777" w:rsidR="00495E89" w:rsidRPr="009867C1" w:rsidRDefault="00495E89" w:rsidP="00BA6F95">
            <w:r w:rsidRPr="009867C1">
              <w:t>1.05</w:t>
            </w:r>
          </w:p>
        </w:tc>
        <w:tc>
          <w:tcPr>
            <w:tcW w:w="2910" w:type="dxa"/>
          </w:tcPr>
          <w:p w14:paraId="16C83031" w14:textId="78F94E7E" w:rsidR="00495E89" w:rsidRPr="009867C1" w:rsidRDefault="00495E89" w:rsidP="00BA6F95">
            <w:r w:rsidRPr="009867C1">
              <w:fldChar w:fldCharType="begin"/>
            </w:r>
            <w:r w:rsidR="00AC0205">
              <w:instrText xml:space="preserve"> ADDIN ZOTERO_ITEM CSL_CITATION {"citationID":"aCEzAiqn","properties":{"formattedCitation":"(Hocking &amp; Reynolds, 2011)","plainCitation":"(Hocking &amp; Reynolds, 2011)","noteIndex":0},"citationItems":[{"id":550,"uris":["http://zotero.org/users/2189142/items/JR362H46"],"itemData":{"id":550,"type":"article-journal","abstract":"The study of natural gradients in nutrient subsidies between ecosystems allows for predictions of how changes in one system can affect biodiversity in another. We performed a large-scale empirical test of the role of Pacific salmon (Oncorhynchus spp.) in structuring riparian plant communities. A comparison of 50 watersheds in the remote Great Bear Rainforest of British Columbia’s central coast in Canada shows that salmon influence nutrient loading to plants, shifting plant communities toward nutrient-rich species, which in turn decreases plant diversity. These effects are mediated by interactions between salmon density and the physical characteristics of watersheds. Predicting how salmon affect terrestrial ecosystems is central to conservation plans that aim to better integrate ecosystem values into resource management.","container-title":"Science","DOI":"10.1126/science.1201079","ISSN":"0036-8075, 1095-9203","issue":"6024","journalAbbreviation":"Science","language":"en","note":"PMID: 21442794","page":"1609-1612","source":"www.sciencemag.org.ezproxy.library.ubc.ca","title":"Impacts of Salmon on Riparian Plant Diversity","volume":"331","author":[{"family":"Hocking","given":"Morgan D."},{"family":"Reynolds","given":"John D."}],"issued":{"date-parts":[["2011",3,25]]},"citation-key":"hocking_2011"}}],"schema":"https://github.com/citation-style-language/schema/raw/master/csl-citation.json"} </w:instrText>
            </w:r>
            <w:r w:rsidRPr="009867C1">
              <w:fldChar w:fldCharType="separate"/>
            </w:r>
            <w:r w:rsidR="0042141C" w:rsidRPr="009867C1">
              <w:t>(Hocking &amp; Reynolds, 2011)</w:t>
            </w:r>
            <w:r w:rsidRPr="009867C1">
              <w:fldChar w:fldCharType="end"/>
            </w:r>
          </w:p>
        </w:tc>
      </w:tr>
      <w:tr w:rsidR="00495E89" w:rsidRPr="009867C1" w14:paraId="178A806E" w14:textId="77777777" w:rsidTr="00BA6F95">
        <w:tc>
          <w:tcPr>
            <w:tcW w:w="3182" w:type="dxa"/>
          </w:tcPr>
          <w:p w14:paraId="6920AA27" w14:textId="77777777" w:rsidR="00495E89" w:rsidRPr="009867C1" w:rsidRDefault="00495E89" w:rsidP="00BA6F95">
            <w:r w:rsidRPr="009867C1">
              <w:t>Coho</w:t>
            </w:r>
          </w:p>
        </w:tc>
        <w:tc>
          <w:tcPr>
            <w:tcW w:w="3258" w:type="dxa"/>
          </w:tcPr>
          <w:p w14:paraId="252C8F6F" w14:textId="77777777" w:rsidR="00495E89" w:rsidRPr="009867C1" w:rsidRDefault="00495E89" w:rsidP="00BA6F95">
            <w:r w:rsidRPr="009867C1">
              <w:t>4.5</w:t>
            </w:r>
          </w:p>
        </w:tc>
        <w:tc>
          <w:tcPr>
            <w:tcW w:w="2910" w:type="dxa"/>
          </w:tcPr>
          <w:p w14:paraId="39875311" w14:textId="3D254070" w:rsidR="00495E89" w:rsidRPr="009867C1" w:rsidRDefault="00495E89" w:rsidP="00BA6F95">
            <w:r w:rsidRPr="009867C1">
              <w:t xml:space="preserve">Approximate; </w:t>
            </w:r>
            <w:r w:rsidRPr="009867C1">
              <w:fldChar w:fldCharType="begin"/>
            </w:r>
            <w:r w:rsidR="00AC0205">
              <w:instrText xml:space="preserve"> ADDIN ZOTERO_ITEM CSL_CITATION {"citationID":"kt2nz30F","properties":{"formattedCitation":"(Bigler et al., 1996)","plainCitation":"(Bigler et al., 1996)","noteIndex":0},"citationItems":[{"id":597,"uris":["http://zotero.org/users/2189142/items/BNHSW546"],"itemData":{"id":597,"type":"article-journal","container-title":"Canadian journal of fisheries and aquatic sciences","ISSN":"0706-652X","issue":"2","language":"eng","page":"455-465","source":"cat.inist.fr","title":"A review of size trends among North Pacific salmon (Oncorhynchus spp.)","volume":"53","author":[{"family":"Bigler","given":"B. S."},{"family":"Welch","given":"D. W."},{"family":"Helle","given":"J. H."}],"issued":{"date-parts":[["1996"]]},"citation-key":"bigler_1996a"}}],"schema":"https://github.com/citation-style-language/schema/raw/master/csl-citation.json"} </w:instrText>
            </w:r>
            <w:r w:rsidRPr="009867C1">
              <w:fldChar w:fldCharType="separate"/>
            </w:r>
            <w:r w:rsidR="0042141C" w:rsidRPr="009867C1">
              <w:t>(Bigler et al., 1996)</w:t>
            </w:r>
            <w:r w:rsidRPr="009867C1">
              <w:fldChar w:fldCharType="end"/>
            </w:r>
          </w:p>
        </w:tc>
      </w:tr>
      <w:tr w:rsidR="00495E89" w:rsidRPr="009867C1" w14:paraId="4020B4F9" w14:textId="77777777" w:rsidTr="00BA6F95">
        <w:tc>
          <w:tcPr>
            <w:tcW w:w="3182" w:type="dxa"/>
          </w:tcPr>
          <w:p w14:paraId="376DB9DA" w14:textId="77777777" w:rsidR="00495E89" w:rsidRPr="009867C1" w:rsidRDefault="00495E89" w:rsidP="00BA6F95">
            <w:r w:rsidRPr="009867C1">
              <w:t>Sockeye</w:t>
            </w:r>
          </w:p>
        </w:tc>
        <w:tc>
          <w:tcPr>
            <w:tcW w:w="3258" w:type="dxa"/>
          </w:tcPr>
          <w:p w14:paraId="077FBB63" w14:textId="77777777" w:rsidR="00495E89" w:rsidRPr="009867C1" w:rsidRDefault="00495E89" w:rsidP="00BA6F95">
            <w:r w:rsidRPr="009867C1">
              <w:t>2.7</w:t>
            </w:r>
          </w:p>
        </w:tc>
        <w:tc>
          <w:tcPr>
            <w:tcW w:w="2910" w:type="dxa"/>
          </w:tcPr>
          <w:p w14:paraId="4A447A9D" w14:textId="5B632C43" w:rsidR="00495E89" w:rsidRPr="009867C1" w:rsidRDefault="00495E89" w:rsidP="00BA6F95">
            <w:pPr>
              <w:keepNext/>
            </w:pPr>
            <w:r w:rsidRPr="009867C1">
              <w:t xml:space="preserve">Approximate; </w:t>
            </w:r>
            <w:r w:rsidRPr="009867C1">
              <w:fldChar w:fldCharType="begin"/>
            </w:r>
            <w:r w:rsidR="00AC0205">
              <w:instrText xml:space="preserve"> ADDIN ZOTERO_ITEM CSL_CITATION {"citationID":"U40m8C0O","properties":{"formattedCitation":"(Bigler et al., 1996)","plainCitation":"(Bigler et al., 1996)","noteIndex":0},"citationItems":[{"id":597,"uris":["http://zotero.org/users/2189142/items/BNHSW546"],"itemData":{"id":597,"type":"article-journal","container-title":"Canadian journal of fisheries and aquatic sciences","ISSN":"0706-652X","issue":"2","language":"eng","page":"455-465","source":"cat.inist.fr","title":"A review of size trends among North Pacific salmon (Oncorhynchus spp.)","volume":"53","author":[{"family":"Bigler","given":"B. S."},{"family":"Welch","given":"D. W."},{"family":"Helle","given":"J. H."}],"issued":{"date-parts":[["1996"]]},"citation-key":"bigler_1996a"}}],"schema":"https://github.com/citation-style-language/schema/raw/master/csl-citation.json"} </w:instrText>
            </w:r>
            <w:r w:rsidRPr="009867C1">
              <w:fldChar w:fldCharType="separate"/>
            </w:r>
            <w:r w:rsidR="0042141C" w:rsidRPr="009867C1">
              <w:t>(Bigler et al., 1996)</w:t>
            </w:r>
            <w:r w:rsidRPr="009867C1">
              <w:fldChar w:fldCharType="end"/>
            </w:r>
          </w:p>
        </w:tc>
      </w:tr>
    </w:tbl>
    <w:p w14:paraId="41CB896D" w14:textId="77777777" w:rsidR="00495E89" w:rsidRPr="009867C1" w:rsidRDefault="00495E89" w:rsidP="00495E89">
      <w:pPr>
        <w:pStyle w:val="Caption"/>
      </w:pPr>
    </w:p>
    <w:p w14:paraId="611803EE" w14:textId="489BAC05" w:rsidR="006D575C" w:rsidRPr="009867C1" w:rsidRDefault="006D575C" w:rsidP="006D575C">
      <w:pPr>
        <w:pStyle w:val="Caption"/>
        <w:keepNext/>
        <w:rPr>
          <w:vanish/>
          <w:specVanish/>
        </w:rPr>
      </w:pPr>
      <w:bookmarkStart w:id="332" w:name="_Ref76307585"/>
      <w:bookmarkStart w:id="333" w:name="_Toc74949414"/>
      <w:bookmarkStart w:id="334" w:name="_Ref76307577"/>
      <w:r w:rsidRPr="009867C1">
        <w:t xml:space="preserve">Table </w:t>
      </w:r>
      <w:r w:rsidR="00840B50" w:rsidRPr="009867C1">
        <w:fldChar w:fldCharType="begin"/>
      </w:r>
      <w:r w:rsidR="00840B50" w:rsidRPr="009867C1">
        <w:instrText xml:space="preserve"> STYLEREF 7 \s </w:instrText>
      </w:r>
      <w:r w:rsidR="00840B50" w:rsidRPr="009867C1">
        <w:fldChar w:fldCharType="separate"/>
      </w:r>
      <w:r w:rsidR="000667DB">
        <w:rPr>
          <w:noProof/>
        </w:rPr>
        <w:t>B</w:t>
      </w:r>
      <w:r w:rsidR="00840B50" w:rsidRPr="009867C1">
        <w:fldChar w:fldCharType="end"/>
      </w:r>
      <w:r w:rsidR="00840B50" w:rsidRPr="009867C1">
        <w:noBreakHyphen/>
      </w:r>
      <w:r w:rsidR="00840B50" w:rsidRPr="009867C1">
        <w:fldChar w:fldCharType="begin"/>
      </w:r>
      <w:r w:rsidR="00840B50" w:rsidRPr="009867C1">
        <w:instrText xml:space="preserve"> SEQ Appendix_Table \* ARABIC \s 7 </w:instrText>
      </w:r>
      <w:r w:rsidR="00840B50" w:rsidRPr="009867C1">
        <w:fldChar w:fldCharType="separate"/>
      </w:r>
      <w:r w:rsidR="000667DB">
        <w:rPr>
          <w:noProof/>
        </w:rPr>
        <w:t>2</w:t>
      </w:r>
      <w:r w:rsidR="00840B50" w:rsidRPr="009867C1">
        <w:fldChar w:fldCharType="end"/>
      </w:r>
      <w:bookmarkEnd w:id="332"/>
      <w:r w:rsidRPr="009867C1">
        <w:t>: Correlation table between salmon-density indices.</w:t>
      </w:r>
      <w:bookmarkEnd w:id="333"/>
      <w:bookmarkEnd w:id="334"/>
    </w:p>
    <w:p w14:paraId="715BBE4A" w14:textId="77777777" w:rsidR="006D575C" w:rsidRPr="009867C1" w:rsidRDefault="006D575C" w:rsidP="006D575C">
      <w:pPr>
        <w:pStyle w:val="Caption"/>
        <w:keepNext/>
      </w:pPr>
      <w:r w:rsidRPr="009867C1">
        <w:t xml:space="preserve"> a. total salmon biomass (biomass, kg); b. biomass per m of stream reach (density.SL, kg/m); c. biomass / (m of stream reach*m of bankfull width) g/m</w:t>
      </w:r>
      <w:r w:rsidRPr="009867C1">
        <w:rPr>
          <w:vertAlign w:val="superscript"/>
        </w:rPr>
        <w:t>2</w:t>
      </w:r>
      <w:r w:rsidRPr="009867C1">
        <w:t>); d. biomass / catchment area (kg/km</w:t>
      </w:r>
      <w:r w:rsidRPr="009867C1">
        <w:rPr>
          <w:vertAlign w:val="superscript"/>
        </w:rPr>
        <w:t>2</w:t>
      </w:r>
      <w:r w:rsidRPr="009867C1">
        <w:t>). All measures are correlated. For most of this thesis density per m of stream reach was used to represent ‘salmon biomass density’.</w:t>
      </w:r>
    </w:p>
    <w:p w14:paraId="289605E8" w14:textId="77777777" w:rsidR="00495E89" w:rsidRPr="009867C1" w:rsidRDefault="00495E89" w:rsidP="00495E89">
      <w:r w:rsidRPr="009867C1">
        <w:rPr>
          <w:noProof/>
          <w:lang w:val="en-CA" w:eastAsia="en-CA"/>
        </w:rPr>
        <w:drawing>
          <wp:inline distT="0" distB="0" distL="0" distR="0" wp14:anchorId="7C3B1A57" wp14:editId="026E8301">
            <wp:extent cx="5943600" cy="1083945"/>
            <wp:effectExtent l="0" t="0" r="0" b="1905"/>
            <wp:docPr id="98" name="Picture 98" descr="D:\[0] Sync\[0] Syncbox\[0] Thesis\[0] Data and Analyses\[1] Site-level data\[3] Combined analysis\Table_biomass_index_correla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0] Sync\[0] Syncbox\[0] Thesis\[0] Data and Analyses\[1] Site-level data\[3] Combined analysis\Table_biomass_index_correlations.pn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r="51337"/>
                    <a:stretch/>
                  </pic:blipFill>
                  <pic:spPr bwMode="auto">
                    <a:xfrm>
                      <a:off x="0" y="0"/>
                      <a:ext cx="5943600" cy="1083945"/>
                    </a:xfrm>
                    <a:prstGeom prst="rect">
                      <a:avLst/>
                    </a:prstGeom>
                    <a:noFill/>
                    <a:ln>
                      <a:noFill/>
                    </a:ln>
                    <a:extLst>
                      <a:ext uri="{53640926-AAD7-44D8-BBD7-CCE9431645EC}">
                        <a14:shadowObscured xmlns:a14="http://schemas.microsoft.com/office/drawing/2010/main"/>
                      </a:ext>
                    </a:extLst>
                  </pic:spPr>
                </pic:pic>
              </a:graphicData>
            </a:graphic>
          </wp:inline>
        </w:drawing>
      </w:r>
    </w:p>
    <w:p w14:paraId="07B697C9" w14:textId="77777777" w:rsidR="00B306B8" w:rsidRPr="009867C1" w:rsidRDefault="00495E89" w:rsidP="00B306B8">
      <w:pPr>
        <w:keepNext/>
      </w:pPr>
      <w:r w:rsidRPr="009867C1">
        <w:rPr>
          <w:noProof/>
          <w:lang w:val="en-CA" w:eastAsia="en-CA"/>
        </w:rPr>
        <w:drawing>
          <wp:inline distT="0" distB="0" distL="0" distR="0" wp14:anchorId="64A47987" wp14:editId="14D72AC8">
            <wp:extent cx="5390984" cy="5246837"/>
            <wp:effectExtent l="0" t="0" r="635" b="0"/>
            <wp:docPr id="99" name="Picture 99" descr="D:\[0] Sync\[0] Syncbox\[0] Thesis\[0] Data and Analyses\[1] Site-level data\[3] Combined analysis\[1] Biomass indices pca bipl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0] Sync\[0] Syncbox\[0] Thesis\[0] Data and Analyses\[1] Site-level data\[3] Combined analysis\[1] Biomass indices pca biplot.jpg"/>
                    <pic:cNvPicPr>
                      <a:picLocks noChangeAspect="1" noChangeArrowheads="1"/>
                    </pic:cNvPicPr>
                  </pic:nvPicPr>
                  <pic:blipFill rotWithShape="1">
                    <a:blip r:embed="rId80">
                      <a:extLst>
                        <a:ext uri="{28A0092B-C50C-407E-A947-70E740481C1C}">
                          <a14:useLocalDpi xmlns:a14="http://schemas.microsoft.com/office/drawing/2010/main" val="0"/>
                        </a:ext>
                      </a:extLst>
                    </a:blip>
                    <a:srcRect t="2674"/>
                    <a:stretch/>
                  </pic:blipFill>
                  <pic:spPr bwMode="auto">
                    <a:xfrm>
                      <a:off x="0" y="0"/>
                      <a:ext cx="5391857" cy="5247687"/>
                    </a:xfrm>
                    <a:prstGeom prst="rect">
                      <a:avLst/>
                    </a:prstGeom>
                    <a:noFill/>
                    <a:ln>
                      <a:noFill/>
                    </a:ln>
                    <a:extLst>
                      <a:ext uri="{53640926-AAD7-44D8-BBD7-CCE9431645EC}">
                        <a14:shadowObscured xmlns:a14="http://schemas.microsoft.com/office/drawing/2010/main"/>
                      </a:ext>
                    </a:extLst>
                  </pic:spPr>
                </pic:pic>
              </a:graphicData>
            </a:graphic>
          </wp:inline>
        </w:drawing>
      </w:r>
    </w:p>
    <w:p w14:paraId="1B7F43C8" w14:textId="1B8B678A" w:rsidR="00B306B8" w:rsidRPr="009867C1" w:rsidRDefault="00B306B8" w:rsidP="00B306B8">
      <w:pPr>
        <w:pStyle w:val="Caption"/>
        <w:rPr>
          <w:vanish/>
          <w:specVanish/>
        </w:rPr>
      </w:pPr>
      <w:bookmarkStart w:id="335" w:name="_Ref76307556"/>
      <w:bookmarkStart w:id="336" w:name="_Toc86773939"/>
      <w:r w:rsidRPr="009867C1">
        <w:t xml:space="preserve">Figure </w:t>
      </w:r>
      <w:r w:rsidR="00840B50" w:rsidRPr="009867C1">
        <w:fldChar w:fldCharType="begin"/>
      </w:r>
      <w:r w:rsidR="00840B50" w:rsidRPr="009867C1">
        <w:instrText xml:space="preserve"> STYLEREF 7 \s </w:instrText>
      </w:r>
      <w:r w:rsidR="00840B50" w:rsidRPr="009867C1">
        <w:fldChar w:fldCharType="separate"/>
      </w:r>
      <w:r w:rsidR="000667DB">
        <w:rPr>
          <w:noProof/>
        </w:rPr>
        <w:t>B</w:t>
      </w:r>
      <w:r w:rsidR="00840B50" w:rsidRPr="009867C1">
        <w:fldChar w:fldCharType="end"/>
      </w:r>
      <w:r w:rsidR="00840B50" w:rsidRPr="009867C1">
        <w:noBreakHyphen/>
      </w:r>
      <w:r w:rsidR="00840B50" w:rsidRPr="009867C1">
        <w:fldChar w:fldCharType="begin"/>
      </w:r>
      <w:r w:rsidR="00840B50" w:rsidRPr="009867C1">
        <w:instrText xml:space="preserve"> SEQ Appendix_Figure \* ARABIC \s 7 </w:instrText>
      </w:r>
      <w:r w:rsidR="00840B50" w:rsidRPr="009867C1">
        <w:fldChar w:fldCharType="separate"/>
      </w:r>
      <w:r w:rsidR="000667DB">
        <w:rPr>
          <w:noProof/>
        </w:rPr>
        <w:t>5</w:t>
      </w:r>
      <w:r w:rsidR="00840B50" w:rsidRPr="009867C1">
        <w:fldChar w:fldCharType="end"/>
      </w:r>
      <w:bookmarkEnd w:id="335"/>
      <w:r w:rsidRPr="009867C1">
        <w:t>: PCA biplot of density indices.</w:t>
      </w:r>
      <w:bookmarkEnd w:id="336"/>
      <w:r w:rsidRPr="009867C1">
        <w:t xml:space="preserve"> </w:t>
      </w:r>
    </w:p>
    <w:p w14:paraId="7C581D0E" w14:textId="77777777" w:rsidR="00B306B8" w:rsidRPr="009867C1" w:rsidRDefault="00B306B8" w:rsidP="00B306B8">
      <w:pPr>
        <w:pStyle w:val="Caption"/>
      </w:pPr>
      <w:r w:rsidRPr="009867C1">
        <w:t xml:space="preserve"> Salmon biomass, biomass/ stream reach length (SL), and biomass / (stream reach length*bankfull width) are all highly correlated. Density / catchment area (CA) lies along a slightly different axis. All variables were scaled prior to ordination.</w:t>
      </w:r>
    </w:p>
    <w:p w14:paraId="1E6D5FD6" w14:textId="5B5F9446" w:rsidR="00495E89" w:rsidRPr="009867C1" w:rsidRDefault="00495E89" w:rsidP="00B306B8">
      <w:pPr>
        <w:pStyle w:val="Caption"/>
      </w:pPr>
    </w:p>
    <w:p w14:paraId="27CF4D85" w14:textId="77777777" w:rsidR="00495E89" w:rsidRPr="009867C1" w:rsidRDefault="00495E89" w:rsidP="00495E89"/>
    <w:p w14:paraId="34C87C4C" w14:textId="5F889319" w:rsidR="00B306B8" w:rsidRPr="009867C1" w:rsidRDefault="00B306B8" w:rsidP="00B306B8">
      <w:pPr>
        <w:pStyle w:val="Caption"/>
        <w:keepNext/>
        <w:rPr>
          <w:vanish/>
          <w:specVanish/>
        </w:rPr>
      </w:pPr>
      <w:bookmarkStart w:id="337" w:name="_Toc74949415"/>
      <w:r w:rsidRPr="009867C1">
        <w:t xml:space="preserve">Table </w:t>
      </w:r>
      <w:r w:rsidR="00840B50" w:rsidRPr="009867C1">
        <w:fldChar w:fldCharType="begin"/>
      </w:r>
      <w:r w:rsidR="00840B50" w:rsidRPr="009867C1">
        <w:instrText xml:space="preserve"> STYLEREF 7 \s </w:instrText>
      </w:r>
      <w:r w:rsidR="00840B50" w:rsidRPr="009867C1">
        <w:fldChar w:fldCharType="separate"/>
      </w:r>
      <w:r w:rsidR="000667DB">
        <w:rPr>
          <w:noProof/>
        </w:rPr>
        <w:t>B</w:t>
      </w:r>
      <w:r w:rsidR="00840B50" w:rsidRPr="009867C1">
        <w:fldChar w:fldCharType="end"/>
      </w:r>
      <w:r w:rsidR="00840B50" w:rsidRPr="009867C1">
        <w:noBreakHyphen/>
      </w:r>
      <w:r w:rsidR="00840B50" w:rsidRPr="009867C1">
        <w:fldChar w:fldCharType="begin"/>
      </w:r>
      <w:r w:rsidR="00840B50" w:rsidRPr="009867C1">
        <w:instrText xml:space="preserve"> SEQ Appendix_Table \* ARABIC \s 7 </w:instrText>
      </w:r>
      <w:r w:rsidR="00840B50" w:rsidRPr="009867C1">
        <w:fldChar w:fldCharType="separate"/>
      </w:r>
      <w:r w:rsidR="000667DB">
        <w:rPr>
          <w:noProof/>
        </w:rPr>
        <w:t>3</w:t>
      </w:r>
      <w:r w:rsidR="00840B50" w:rsidRPr="009867C1">
        <w:fldChar w:fldCharType="end"/>
      </w:r>
      <w:r w:rsidRPr="009867C1">
        <w:t>: Four principal components of biomass and the three density indices.</w:t>
      </w:r>
      <w:bookmarkEnd w:id="337"/>
    </w:p>
    <w:p w14:paraId="32E844FF" w14:textId="26FF343C" w:rsidR="00B306B8" w:rsidRPr="009867C1" w:rsidRDefault="00B306B8" w:rsidP="00B306B8">
      <w:pPr>
        <w:pStyle w:val="Caption"/>
        <w:keepNext/>
      </w:pPr>
      <w:r w:rsidRPr="009867C1">
        <w:t xml:space="preserve"> 77%  of the variance falls upon the first axis, and 90% on the first two. </w:t>
      </w:r>
    </w:p>
    <w:p w14:paraId="1295E0BC" w14:textId="358E80D0" w:rsidR="00495E89" w:rsidRPr="009867C1" w:rsidRDefault="00495E89" w:rsidP="00495E89">
      <w:r w:rsidRPr="009867C1">
        <w:rPr>
          <w:noProof/>
          <w:lang w:val="en-CA" w:eastAsia="en-CA"/>
        </w:rPr>
        <w:drawing>
          <wp:inline distT="0" distB="0" distL="0" distR="0" wp14:anchorId="1D90F301" wp14:editId="5CC7379E">
            <wp:extent cx="5943600" cy="1439545"/>
            <wp:effectExtent l="0" t="0" r="0" b="825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1439545"/>
                    </a:xfrm>
                    <a:prstGeom prst="rect">
                      <a:avLst/>
                    </a:prstGeom>
                  </pic:spPr>
                </pic:pic>
              </a:graphicData>
            </a:graphic>
          </wp:inline>
        </w:drawing>
      </w:r>
    </w:p>
    <w:p w14:paraId="081FED85" w14:textId="77777777" w:rsidR="0053199E" w:rsidRPr="009867C1" w:rsidRDefault="0053199E" w:rsidP="00495E89">
      <w:pPr>
        <w:sectPr w:rsidR="0053199E" w:rsidRPr="009867C1" w:rsidSect="00EA08AB">
          <w:pgSz w:w="12240" w:h="15840"/>
          <w:pgMar w:top="1440" w:right="1440" w:bottom="1440" w:left="1440" w:header="706" w:footer="706" w:gutter="0"/>
          <w:cols w:space="708"/>
        </w:sectPr>
      </w:pPr>
    </w:p>
    <w:p w14:paraId="36F06D47" w14:textId="1E60F190" w:rsidR="0053199E" w:rsidRPr="009867C1" w:rsidRDefault="0053199E" w:rsidP="00495E89"/>
    <w:p w14:paraId="1ADB47CB" w14:textId="77777777" w:rsidR="00495E89" w:rsidRPr="009867C1" w:rsidRDefault="00495E89" w:rsidP="00495E89">
      <w:pPr>
        <w:pStyle w:val="Heading7"/>
      </w:pPr>
      <w:bookmarkStart w:id="338" w:name="_Toc99385530"/>
      <w:bookmarkEnd w:id="321"/>
      <w:r w:rsidRPr="009867C1">
        <w:t>Vegetation summer 2017</w:t>
      </w:r>
      <w:bookmarkEnd w:id="338"/>
    </w:p>
    <w:p w14:paraId="695DF2C3" w14:textId="77777777" w:rsidR="00495E89" w:rsidRPr="009867C1" w:rsidRDefault="00495E89" w:rsidP="00495E89">
      <w:pPr>
        <w:pStyle w:val="Heading8"/>
      </w:pPr>
      <w:bookmarkStart w:id="339" w:name="_Toc99385531"/>
      <w:r w:rsidRPr="009867C1">
        <w:t>Vegetation measures</w:t>
      </w:r>
      <w:bookmarkEnd w:id="339"/>
    </w:p>
    <w:p w14:paraId="54370FA3" w14:textId="77777777" w:rsidR="00495E89" w:rsidRPr="009867C1" w:rsidRDefault="00495E89" w:rsidP="00495E89">
      <w:pPr>
        <w:ind w:firstLine="720"/>
      </w:pPr>
      <w:r w:rsidRPr="009867C1">
        <w:t>The goal of the summer measures was to characterize the vegetation community around each soil core. To do this, a nested methodology was used: first, percent cover of moss and herbs were estimated in a small 1 m</w:t>
      </w:r>
      <w:r w:rsidRPr="009867C1">
        <w:rPr>
          <w:vertAlign w:val="superscript"/>
        </w:rPr>
        <w:t>2</w:t>
      </w:r>
      <w:r w:rsidRPr="009867C1">
        <w:t xml:space="preserve"> square plot around the soil core. Second, shrubs greater than 1m in height were comprehensively measured in a circular plot with radius 5 m. Shrubs were identified to species, and their distance and absolute bearing from the soil core measured. Their volume was approximated as a rectangular prism with measured </w:t>
      </w:r>
      <m:oMath>
        <m:r>
          <w:rPr>
            <w:rFonts w:ascii="Cambria Math" w:hAnsi="Cambria Math"/>
          </w:rPr>
          <m:t>h x l x w</m:t>
        </m:r>
      </m:oMath>
      <w:r w:rsidRPr="009867C1">
        <w:t xml:space="preserve">. For each individual shrub </w:t>
      </w:r>
      <w:r w:rsidRPr="009867C1">
        <w:rPr>
          <w:i/>
          <w:iCs/>
        </w:rPr>
        <w:t>i</w:t>
      </w:r>
      <w:r w:rsidRPr="009867C1">
        <w:t xml:space="preserve">, these volumes were combined with distance into a ‘shrub influence index’ measuring the effect of individual shrub </w:t>
      </w:r>
      <w:r w:rsidRPr="009867C1">
        <w:rPr>
          <w:i/>
          <w:iCs/>
        </w:rPr>
        <w:t>i</w:t>
      </w:r>
      <w:r w:rsidRPr="009867C1">
        <w:t xml:space="preserve"> on core </w:t>
      </w:r>
      <w:r w:rsidRPr="009867C1">
        <w:rPr>
          <w:i/>
          <w:iCs/>
        </w:rPr>
        <w:t>j</w:t>
      </w:r>
      <w:r w:rsidRPr="009867C1">
        <w:t>:</w:t>
      </w:r>
    </w:p>
    <w:p w14:paraId="5F5FB029" w14:textId="77777777" w:rsidR="00495E89" w:rsidRPr="009867C1" w:rsidRDefault="00557CA9" w:rsidP="00495E89">
      <m:oMathPara>
        <m:oMath>
          <m:sSub>
            <m:sSubPr>
              <m:ctrlPr>
                <w:rPr>
                  <w:rFonts w:ascii="Cambria Math" w:hAnsi="Cambria Math"/>
                  <w:i/>
                </w:rPr>
              </m:ctrlPr>
            </m:sSubPr>
            <m:e>
              <m:r>
                <w:rPr>
                  <w:rFonts w:ascii="Cambria Math" w:hAnsi="Cambria Math"/>
                </w:rPr>
                <m:t>Shrub influence index</m:t>
              </m:r>
            </m:e>
            <m:sub>
              <m:r>
                <w:rPr>
                  <w:rFonts w:ascii="Cambria Math" w:hAnsi="Cambria Math"/>
                </w:rPr>
                <m:t>ij</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shrub volume</m:t>
                  </m:r>
                </m:e>
                <m:sub>
                  <m:r>
                    <w:rPr>
                      <w:rFonts w:ascii="Cambria Math" w:hAnsi="Cambria Math"/>
                    </w:rPr>
                    <m:t>i</m:t>
                  </m:r>
                </m:sub>
              </m:sSub>
            </m:num>
            <m:den>
              <m:sSub>
                <m:sSubPr>
                  <m:ctrlPr>
                    <w:rPr>
                      <w:rFonts w:ascii="Cambria Math" w:hAnsi="Cambria Math"/>
                      <w:i/>
                    </w:rPr>
                  </m:ctrlPr>
                </m:sSubPr>
                <m:e>
                  <m:r>
                    <w:rPr>
                      <w:rFonts w:ascii="Cambria Math" w:hAnsi="Cambria Math"/>
                    </w:rPr>
                    <m:t>distance to soil core</m:t>
                  </m:r>
                </m:e>
                <m:sub>
                  <m:r>
                    <w:rPr>
                      <w:rFonts w:ascii="Cambria Math" w:hAnsi="Cambria Math"/>
                    </w:rPr>
                    <m:t>ij</m:t>
                  </m:r>
                </m:sub>
              </m:sSub>
            </m:den>
          </m:f>
        </m:oMath>
      </m:oMathPara>
    </w:p>
    <w:p w14:paraId="74F60DD3" w14:textId="77777777" w:rsidR="00495E89" w:rsidRPr="009867C1" w:rsidRDefault="00495E89" w:rsidP="00495E89">
      <w:r w:rsidRPr="009867C1">
        <w:t xml:space="preserve">And these influence indices summed for each species </w:t>
      </w:r>
      <w:r w:rsidRPr="009867C1">
        <w:rPr>
          <w:i/>
          <w:iCs/>
        </w:rPr>
        <w:t>k</w:t>
      </w:r>
      <w:r w:rsidRPr="009867C1">
        <w:t xml:space="preserve"> to determine the influence of each shrub species </w:t>
      </w:r>
      <w:r w:rsidRPr="009867C1">
        <w:rPr>
          <w:i/>
          <w:iCs/>
        </w:rPr>
        <w:t>k</w:t>
      </w:r>
      <w:r w:rsidRPr="009867C1">
        <w:t xml:space="preserve"> on each soil core </w:t>
      </w:r>
      <w:r w:rsidRPr="009867C1">
        <w:rPr>
          <w:i/>
          <w:iCs/>
        </w:rPr>
        <w:t>j</w:t>
      </w:r>
      <w:r w:rsidRPr="009867C1">
        <w:t xml:space="preserve">: </w:t>
      </w:r>
    </w:p>
    <w:p w14:paraId="1E7D5E4D" w14:textId="77777777" w:rsidR="00495E89" w:rsidRPr="009867C1" w:rsidRDefault="00557CA9" w:rsidP="00495E89">
      <m:oMathPara>
        <m:oMath>
          <m:sSub>
            <m:sSubPr>
              <m:ctrlPr>
                <w:rPr>
                  <w:rFonts w:ascii="Cambria Math" w:hAnsi="Cambria Math"/>
                  <w:i/>
                </w:rPr>
              </m:ctrlPr>
            </m:sSubPr>
            <m:e>
              <m:r>
                <w:rPr>
                  <w:rFonts w:ascii="Cambria Math" w:hAnsi="Cambria Math"/>
                </w:rPr>
                <m:t>Summed influence index</m:t>
              </m:r>
            </m:e>
            <m:sub>
              <m:r>
                <w:rPr>
                  <w:rFonts w:ascii="Cambria Math" w:hAnsi="Cambria Math"/>
                </w:rPr>
                <m:t>kj</m:t>
              </m:r>
            </m:sub>
          </m:sSub>
          <m:r>
            <w:rPr>
              <w:rFonts w:ascii="Cambria Math" w:hAnsi="Cambria Math"/>
            </w:rPr>
            <m:t xml:space="preserve">= </m:t>
          </m:r>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Shrub influence index</m:t>
                  </m:r>
                </m:e>
                <m:sub>
                  <m:r>
                    <w:rPr>
                      <w:rFonts w:ascii="Cambria Math" w:hAnsi="Cambria Math"/>
                    </w:rPr>
                    <m:t>ij</m:t>
                  </m:r>
                </m:sub>
              </m:sSub>
            </m:e>
          </m:nary>
        </m:oMath>
      </m:oMathPara>
    </w:p>
    <w:p w14:paraId="4A97732F" w14:textId="77777777" w:rsidR="00495E89" w:rsidRPr="009867C1" w:rsidRDefault="00495E89" w:rsidP="00495E89">
      <w:r w:rsidRPr="009867C1">
        <w:t xml:space="preserve">Where </w:t>
      </w:r>
      <w:r w:rsidRPr="009867C1">
        <w:rPr>
          <w:i/>
          <w:iCs/>
        </w:rPr>
        <w:t>n</w:t>
      </w:r>
      <w:r w:rsidRPr="009867C1">
        <w:t xml:space="preserve"> is the number of individuals </w:t>
      </w:r>
      <w:r w:rsidRPr="009867C1">
        <w:rPr>
          <w:i/>
          <w:iCs/>
        </w:rPr>
        <w:t>i</w:t>
      </w:r>
      <w:r w:rsidRPr="009867C1">
        <w:t xml:space="preserve"> of species </w:t>
      </w:r>
      <w:r w:rsidRPr="009867C1">
        <w:rPr>
          <w:i/>
          <w:iCs/>
        </w:rPr>
        <w:t xml:space="preserve">k </w:t>
      </w:r>
      <w:r w:rsidRPr="009867C1">
        <w:t xml:space="preserve">in plot </w:t>
      </w:r>
      <w:r w:rsidRPr="009867C1">
        <w:rPr>
          <w:i/>
          <w:iCs/>
        </w:rPr>
        <w:t>j</w:t>
      </w:r>
      <w:r w:rsidRPr="009867C1">
        <w:t>.</w:t>
      </w:r>
    </w:p>
    <w:p w14:paraId="12AD6636" w14:textId="77777777" w:rsidR="00495E89" w:rsidRPr="009867C1" w:rsidRDefault="00495E89" w:rsidP="005C481D">
      <w:pPr>
        <w:ind w:firstLine="720"/>
      </w:pPr>
      <w:r w:rsidRPr="009867C1">
        <w:t xml:space="preserve">Similarly, every tree with circumference &gt; 3 cm in the 5 m radius plot was identified. Species identity, distance, absolute bearing from the soil core, and circumference was measured. For each individual tree </w:t>
      </w:r>
      <w:r w:rsidRPr="009867C1">
        <w:rPr>
          <w:i/>
          <w:iCs/>
        </w:rPr>
        <w:t>i</w:t>
      </w:r>
      <w:r w:rsidRPr="009867C1">
        <w:t xml:space="preserve">, circumference was combined with distance to create a ‘tree influence index’ measuring the effect of individual tree </w:t>
      </w:r>
      <w:r w:rsidRPr="009867C1">
        <w:rPr>
          <w:i/>
          <w:iCs/>
        </w:rPr>
        <w:t>i</w:t>
      </w:r>
      <w:r w:rsidRPr="009867C1">
        <w:t xml:space="preserve"> on core </w:t>
      </w:r>
      <w:r w:rsidRPr="009867C1">
        <w:rPr>
          <w:i/>
          <w:iCs/>
        </w:rPr>
        <w:t>j</w:t>
      </w:r>
      <w:r w:rsidRPr="009867C1">
        <w:t>:</w:t>
      </w:r>
    </w:p>
    <w:p w14:paraId="2136CF6E" w14:textId="77777777" w:rsidR="00495E89" w:rsidRPr="009867C1" w:rsidRDefault="00557CA9" w:rsidP="00495E89">
      <m:oMathPara>
        <m:oMath>
          <m:sSub>
            <m:sSubPr>
              <m:ctrlPr>
                <w:rPr>
                  <w:rFonts w:ascii="Cambria Math" w:hAnsi="Cambria Math"/>
                  <w:i/>
                </w:rPr>
              </m:ctrlPr>
            </m:sSubPr>
            <m:e>
              <m:r>
                <w:rPr>
                  <w:rFonts w:ascii="Cambria Math" w:hAnsi="Cambria Math"/>
                </w:rPr>
                <m:t>Tree influence index</m:t>
              </m:r>
            </m:e>
            <m:sub>
              <m:r>
                <w:rPr>
                  <w:rFonts w:ascii="Cambria Math" w:hAnsi="Cambria Math"/>
                </w:rPr>
                <m:t>ij</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circumference</m:t>
                  </m:r>
                </m:e>
                <m:sub>
                  <m:r>
                    <w:rPr>
                      <w:rFonts w:ascii="Cambria Math" w:hAnsi="Cambria Math"/>
                    </w:rPr>
                    <m:t>i</m:t>
                  </m:r>
                </m:sub>
              </m:sSub>
            </m:num>
            <m:den>
              <m:sSub>
                <m:sSubPr>
                  <m:ctrlPr>
                    <w:rPr>
                      <w:rFonts w:ascii="Cambria Math" w:hAnsi="Cambria Math"/>
                      <w:i/>
                    </w:rPr>
                  </m:ctrlPr>
                </m:sSubPr>
                <m:e>
                  <m:r>
                    <w:rPr>
                      <w:rFonts w:ascii="Cambria Math" w:hAnsi="Cambria Math"/>
                    </w:rPr>
                    <m:t>distance to soil core</m:t>
                  </m:r>
                </m:e>
                <m:sub>
                  <m:r>
                    <w:rPr>
                      <w:rFonts w:ascii="Cambria Math" w:hAnsi="Cambria Math"/>
                    </w:rPr>
                    <m:t>ij</m:t>
                  </m:r>
                </m:sub>
              </m:sSub>
            </m:den>
          </m:f>
        </m:oMath>
      </m:oMathPara>
    </w:p>
    <w:p w14:paraId="4EC07013" w14:textId="77777777" w:rsidR="00495E89" w:rsidRPr="009867C1" w:rsidRDefault="00495E89" w:rsidP="00495E89">
      <w:r w:rsidRPr="009867C1">
        <w:t xml:space="preserve">And these influence indices summed for each species </w:t>
      </w:r>
      <w:r w:rsidRPr="009867C1">
        <w:rPr>
          <w:i/>
          <w:iCs/>
        </w:rPr>
        <w:t>k</w:t>
      </w:r>
      <w:r w:rsidRPr="009867C1">
        <w:t xml:space="preserve"> to determine the influence of each tree species </w:t>
      </w:r>
      <w:r w:rsidRPr="009867C1">
        <w:rPr>
          <w:i/>
          <w:iCs/>
        </w:rPr>
        <w:t>k</w:t>
      </w:r>
      <w:r w:rsidRPr="009867C1">
        <w:t xml:space="preserve"> on each soil core </w:t>
      </w:r>
      <w:r w:rsidRPr="009867C1">
        <w:rPr>
          <w:i/>
          <w:iCs/>
        </w:rPr>
        <w:t>j</w:t>
      </w:r>
      <w:r w:rsidRPr="009867C1">
        <w:t xml:space="preserve">: </w:t>
      </w:r>
    </w:p>
    <w:p w14:paraId="47985CD2" w14:textId="77777777" w:rsidR="00495E89" w:rsidRPr="009867C1" w:rsidRDefault="00557CA9" w:rsidP="00495E89">
      <m:oMathPara>
        <m:oMath>
          <m:sSub>
            <m:sSubPr>
              <m:ctrlPr>
                <w:rPr>
                  <w:rFonts w:ascii="Cambria Math" w:hAnsi="Cambria Math"/>
                  <w:i/>
                </w:rPr>
              </m:ctrlPr>
            </m:sSubPr>
            <m:e>
              <m:r>
                <w:rPr>
                  <w:rFonts w:ascii="Cambria Math" w:hAnsi="Cambria Math"/>
                </w:rPr>
                <m:t>Summed influence index</m:t>
              </m:r>
            </m:e>
            <m:sub>
              <m:r>
                <w:rPr>
                  <w:rFonts w:ascii="Cambria Math" w:hAnsi="Cambria Math"/>
                </w:rPr>
                <m:t>kj</m:t>
              </m:r>
            </m:sub>
          </m:sSub>
          <m:r>
            <w:rPr>
              <w:rFonts w:ascii="Cambria Math" w:hAnsi="Cambria Math"/>
            </w:rPr>
            <m:t xml:space="preserve">= </m:t>
          </m:r>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Tree influence index</m:t>
                  </m:r>
                </m:e>
                <m:sub>
                  <m:r>
                    <w:rPr>
                      <w:rFonts w:ascii="Cambria Math" w:hAnsi="Cambria Math"/>
                    </w:rPr>
                    <m:t>ij</m:t>
                  </m:r>
                </m:sub>
              </m:sSub>
            </m:e>
          </m:nary>
        </m:oMath>
      </m:oMathPara>
    </w:p>
    <w:p w14:paraId="3B2DCEEA" w14:textId="77777777" w:rsidR="00495E89" w:rsidRPr="009867C1" w:rsidRDefault="00495E89" w:rsidP="00495E89">
      <w:r w:rsidRPr="009867C1">
        <w:t xml:space="preserve">Where </w:t>
      </w:r>
      <w:r w:rsidRPr="009867C1">
        <w:rPr>
          <w:i/>
          <w:iCs/>
        </w:rPr>
        <w:t>n</w:t>
      </w:r>
      <w:r w:rsidRPr="009867C1">
        <w:t xml:space="preserve"> is the number of individuals </w:t>
      </w:r>
      <w:r w:rsidRPr="009867C1">
        <w:rPr>
          <w:i/>
          <w:iCs/>
        </w:rPr>
        <w:t>i</w:t>
      </w:r>
      <w:r w:rsidRPr="009867C1">
        <w:t xml:space="preserve"> in species </w:t>
      </w:r>
      <w:r w:rsidRPr="009867C1">
        <w:rPr>
          <w:i/>
          <w:iCs/>
        </w:rPr>
        <w:t xml:space="preserve">k </w:t>
      </w:r>
      <w:r w:rsidRPr="009867C1">
        <w:t xml:space="preserve">in plot </w:t>
      </w:r>
      <w:r w:rsidRPr="009867C1">
        <w:rPr>
          <w:i/>
          <w:iCs/>
        </w:rPr>
        <w:t>j</w:t>
      </w:r>
      <w:r w:rsidRPr="009867C1">
        <w:t>.</w:t>
      </w:r>
    </w:p>
    <w:p w14:paraId="0F58D94C" w14:textId="2C5D0DEA" w:rsidR="00495E89" w:rsidRPr="009867C1" w:rsidRDefault="00495E89" w:rsidP="005C481D">
      <w:pPr>
        <w:ind w:firstLine="720"/>
      </w:pPr>
      <w:r w:rsidRPr="009867C1">
        <w:t xml:space="preserve">The list of all identified species can be found in </w:t>
      </w:r>
      <w:r w:rsidR="00732898" w:rsidRPr="009867C1">
        <w:fldChar w:fldCharType="begin"/>
      </w:r>
      <w:r w:rsidR="00732898" w:rsidRPr="009867C1">
        <w:instrText xml:space="preserve"> REF _Ref76307714 \h </w:instrText>
      </w:r>
      <w:r w:rsidR="009867C1">
        <w:instrText xml:space="preserve"> \* MERGEFORMAT </w:instrText>
      </w:r>
      <w:r w:rsidR="00732898" w:rsidRPr="009867C1">
        <w:fldChar w:fldCharType="separate"/>
      </w:r>
      <w:r w:rsidR="000667DB" w:rsidRPr="009867C1">
        <w:t xml:space="preserve">Table </w:t>
      </w:r>
      <w:r w:rsidR="000667DB">
        <w:rPr>
          <w:noProof/>
        </w:rPr>
        <w:t>C</w:t>
      </w:r>
      <w:r w:rsidR="000667DB" w:rsidRPr="009867C1">
        <w:rPr>
          <w:noProof/>
        </w:rPr>
        <w:noBreakHyphen/>
      </w:r>
      <w:r w:rsidR="000667DB">
        <w:rPr>
          <w:noProof/>
        </w:rPr>
        <w:t>1</w:t>
      </w:r>
      <w:r w:rsidR="00732898" w:rsidRPr="009867C1">
        <w:fldChar w:fldCharType="end"/>
      </w:r>
      <w:r w:rsidRPr="009867C1">
        <w:fldChar w:fldCharType="begin"/>
      </w:r>
      <w:r w:rsidRPr="009867C1">
        <w:instrText xml:space="preserve"> REF _Ref71278924 \h </w:instrText>
      </w:r>
      <w:r w:rsidR="009867C1">
        <w:instrText xml:space="preserve"> \* MERGEFORMAT </w:instrText>
      </w:r>
      <w:r w:rsidRPr="009867C1">
        <w:fldChar w:fldCharType="separate"/>
      </w:r>
      <w:r w:rsidR="000667DB">
        <w:rPr>
          <w:b/>
          <w:bCs/>
        </w:rPr>
        <w:t>Error! Reference source not found.</w:t>
      </w:r>
      <w:r w:rsidRPr="009867C1">
        <w:fldChar w:fldCharType="end"/>
      </w:r>
      <w:r w:rsidRPr="009867C1">
        <w:t>, and heatmaps of species abundance measures can be found in</w:t>
      </w:r>
      <w:r w:rsidR="00732898" w:rsidRPr="009867C1">
        <w:t xml:space="preserve"> </w:t>
      </w:r>
      <w:r w:rsidRPr="009867C1">
        <w:t>to</w:t>
      </w:r>
      <w:r w:rsidR="00732898" w:rsidRPr="009867C1">
        <w:t xml:space="preserve"> </w:t>
      </w:r>
      <w:r w:rsidR="00732898" w:rsidRPr="009867C1">
        <w:fldChar w:fldCharType="begin"/>
      </w:r>
      <w:r w:rsidR="00732898" w:rsidRPr="009867C1">
        <w:instrText xml:space="preserve"> REF _Ref76307766 \h </w:instrText>
      </w:r>
      <w:r w:rsidR="009867C1">
        <w:instrText xml:space="preserve"> \* MERGEFORMAT </w:instrText>
      </w:r>
      <w:r w:rsidR="00732898" w:rsidRPr="009867C1">
        <w:fldChar w:fldCharType="separate"/>
      </w:r>
      <w:r w:rsidR="000667DB" w:rsidRPr="009867C1">
        <w:t xml:space="preserve">Figure </w:t>
      </w:r>
      <w:r w:rsidR="000667DB">
        <w:rPr>
          <w:noProof/>
        </w:rPr>
        <w:t>C</w:t>
      </w:r>
      <w:r w:rsidR="000667DB" w:rsidRPr="009867C1">
        <w:rPr>
          <w:noProof/>
        </w:rPr>
        <w:noBreakHyphen/>
      </w:r>
      <w:r w:rsidR="000667DB">
        <w:rPr>
          <w:noProof/>
        </w:rPr>
        <w:t>1</w:t>
      </w:r>
      <w:r w:rsidR="00732898" w:rsidRPr="009867C1">
        <w:fldChar w:fldCharType="end"/>
      </w:r>
      <w:r w:rsidR="00732898" w:rsidRPr="009867C1">
        <w:t xml:space="preserve"> to </w:t>
      </w:r>
      <w:r w:rsidR="00732898" w:rsidRPr="009867C1">
        <w:fldChar w:fldCharType="begin"/>
      </w:r>
      <w:r w:rsidR="00732898" w:rsidRPr="009867C1">
        <w:instrText xml:space="preserve"> REF _Ref76307767 \h </w:instrText>
      </w:r>
      <w:r w:rsidR="009867C1">
        <w:instrText xml:space="preserve"> \* MERGEFORMAT </w:instrText>
      </w:r>
      <w:r w:rsidR="00732898" w:rsidRPr="009867C1">
        <w:fldChar w:fldCharType="separate"/>
      </w:r>
      <w:r w:rsidR="000667DB" w:rsidRPr="009867C1">
        <w:t xml:space="preserve">Figure </w:t>
      </w:r>
      <w:r w:rsidR="000667DB">
        <w:rPr>
          <w:noProof/>
        </w:rPr>
        <w:t>C</w:t>
      </w:r>
      <w:r w:rsidR="000667DB" w:rsidRPr="009867C1">
        <w:rPr>
          <w:noProof/>
        </w:rPr>
        <w:noBreakHyphen/>
      </w:r>
      <w:r w:rsidR="000667DB">
        <w:rPr>
          <w:noProof/>
        </w:rPr>
        <w:t>4</w:t>
      </w:r>
      <w:r w:rsidR="00732898" w:rsidRPr="009867C1">
        <w:fldChar w:fldCharType="end"/>
      </w:r>
      <w:r w:rsidRPr="009867C1">
        <w:t xml:space="preserve">. Also visualized are species traits (soil nutrient regime (SNR) and mycorrhizal guild), which are taken from Indicator Plants of British Columbia </w:t>
      </w:r>
      <w:r w:rsidRPr="009867C1">
        <w:fldChar w:fldCharType="begin"/>
      </w:r>
      <w:r w:rsidR="00AC0205">
        <w:instrText xml:space="preserve"> ADDIN ZOTERO_ITEM CSL_CITATION {"citationID":"ayUhjuWZ","properties":{"formattedCitation":"(Klinka et al., 1989)","plainCitation":"(Klinka et al., 1989)","noteIndex":0},"citationItems":[{"id":2573,"uris":["http://zotero.org/users/2189142/items/99HTHPBW"],"itemData":{"id":2573,"type":"book","abstract":"This original work makes unprecedented use of some of the most important research to date in plant ecology. It is a guide for assessing site quality, that is, the climate and soil of particular forest and non-forest ecosystems. Foresters have long been interested in using plants as indicators in predicting the growth performance of reforestation sites, but the data have not been readily available. Indicator Plants of Coastal British Columbia fully discusses how indicator plants are recognized and demonstrates how indicator plants can be used in site diagnosis. The book presents colour illustrations and descriptions of 419 selected vascular plants, bryophytes and lichens of coastal British Columbia. Indicators with similar values are grouped into indicator species groups which are used to evaluate site quality. These data are supplemented by information on geographic distribution, life-form, shade tolerance, and other ecological characteristics of the species. Three methods are given on how to use indicator plants for the purpose of site diagnosis. Indicator Plants of Coastal British Columbia summarizes original research in a format which both students and practitioners will find easy to use.","ISBN":"978-0-7748-4474-1","language":"en","note":"Google-Books-ID: HDk1lcgE5IEC","number-of-pages":"300","publisher":"UBC Press","source":"Google Books","title":"Indicator Plants of Coastal British Columbia","author":[{"family":"Klinka","given":"K."},{"family":"Krajina","given":"V.J."},{"family":"Ceska","given":"A."},{"family":"Scagel","given":"A. M."}],"issued":{"date-parts":[["1989"]]},"citation-key":"klinka_1989"}}],"schema":"https://github.com/citation-style-language/schema/raw/master/csl-citation.json"} </w:instrText>
      </w:r>
      <w:r w:rsidRPr="009867C1">
        <w:fldChar w:fldCharType="separate"/>
      </w:r>
      <w:r w:rsidR="0042141C" w:rsidRPr="009867C1">
        <w:t>(Klinka et al., 1989)</w:t>
      </w:r>
      <w:r w:rsidRPr="009867C1">
        <w:fldChar w:fldCharType="end"/>
      </w:r>
      <w:r w:rsidRPr="009867C1">
        <w:t xml:space="preserve"> and the FungalRoot database </w:t>
      </w:r>
      <w:r w:rsidRPr="009867C1">
        <w:fldChar w:fldCharType="begin"/>
      </w:r>
      <w:r w:rsidR="00AC0205">
        <w:instrText xml:space="preserve"> ADDIN ZOTERO_ITEM CSL_CITATION {"citationID":"QS0g13Wg","properties":{"formattedCitation":"(Soudzilovskaia et al., 2020)","plainCitation":"(Soudzilovskaia et al., 2020)","noteIndex":0},"citationItems":[{"id":2564,"uris":["http://zotero.org/users/2189142/items/FYBHBVDM"],"itemData":{"id":2564,"type":"article-journal","abstract":"Testing of ecological, biogeographical and phylogenetic hypotheses of mycorrhizal traits requires a comprehensive reference dataset about plant mycorrhizal associations. Here we present a database, FungalRoot, which summarizes publicly available data about vascular plant mycorrhizal type and intensity of root colonization by mycorrhizal fungi, accompanied with rich metadata. We compiled and digitized data about plant mycorrhizal colonization in nine widespread languages. The present version of the FungalRoot database contains 36 303 species-by-site observations for 14 870 plant species, tripling the previously available compiled information about plant mycorrhizal associations. Based on these data, we provide a recommended list of genus-level plant mycorrhizal associations, based on the majority of data for species and careful analysis of conflicting data. The majority of ectomycorrhizal and ericoid mycorrhizal plants are trees (92%) and shrubs (85%), respectively. The majority of arbuscular and nonmycorrhizal plant species are herbaceous (50% and 70%, respectively). Our publicly available database is a powerful resource for mycorrhizal scientists and ecologists. It features possibilities for dynamic updating and addition of data about plant mycorrhizal associations. The new database will promote research on plant and fungal biogeography and evolution, and on links between above- and belowground biodiversity and ecosystem functioning.","container-title":"New Phytologist","DOI":"https://doi.org/10.1111/nph.16569","ISSN":"1469-8137","issue":"3","language":"en","note":"_eprint: https://nph.onlinelibrary.wiley.com/doi/pdf/10.1111/nph.16569","page":"955-966","source":"Wiley Online Library","title":"FungalRoot: global online database of plant mycorrhizal associations","title-short":"FungalRoot","volume":"227","author":[{"family":"Soudzilovskaia","given":"Nadejda A."},{"family":"Vaessen","given":"Stijn"},{"family":"Barcelo","given":"Milagros"},{"family":"He","given":"Jinhong"},{"family":"Rahimlou","given":"Saleh"},{"family":"Abarenkov","given":"Kessy"},{"family":"Brundrett","given":"Mark C."},{"family":"Gomes","given":"Sofia I. F."},{"family":"Merckx","given":"Vincent"},{"family":"Tedersoo","given":"Leho"}],"issued":{"date-parts":[["2020"]]},"citation-key":"soudzilovskaia_2020"}}],"schema":"https://github.com/citation-style-language/schema/raw/master/csl-citation.json"} </w:instrText>
      </w:r>
      <w:r w:rsidRPr="009867C1">
        <w:fldChar w:fldCharType="separate"/>
      </w:r>
      <w:r w:rsidR="0042141C" w:rsidRPr="009867C1">
        <w:t>(Soudzilovskaia et al., 2020)</w:t>
      </w:r>
      <w:r w:rsidRPr="009867C1">
        <w:fldChar w:fldCharType="end"/>
      </w:r>
      <w:r w:rsidRPr="009867C1">
        <w:t>.</w:t>
      </w:r>
    </w:p>
    <w:p w14:paraId="1188414C" w14:textId="77777777" w:rsidR="00495E89" w:rsidRPr="009867C1" w:rsidRDefault="00495E89" w:rsidP="00495E89">
      <w:r w:rsidRPr="009867C1">
        <w:t xml:space="preserve"> </w:t>
      </w:r>
    </w:p>
    <w:p w14:paraId="333DC099" w14:textId="77777777" w:rsidR="00495E89" w:rsidRPr="009867C1" w:rsidRDefault="00495E89" w:rsidP="00495E89">
      <w:pPr>
        <w:pStyle w:val="Heading8"/>
      </w:pPr>
      <w:bookmarkStart w:id="340" w:name="_Toc99385532"/>
      <w:r w:rsidRPr="009867C1">
        <w:t>Dimension reduction (PCA)</w:t>
      </w:r>
      <w:bookmarkEnd w:id="340"/>
    </w:p>
    <w:p w14:paraId="63128C11" w14:textId="6F65B709" w:rsidR="00495E89" w:rsidRPr="009867C1" w:rsidRDefault="00495E89" w:rsidP="00495E89">
      <w:pPr>
        <w:ind w:firstLine="720"/>
      </w:pPr>
      <w:r w:rsidRPr="009867C1">
        <w:t xml:space="preserve">To simplify interpretation and allow for use of these data as explanatory variables in downstream analyses, principal components analysis (PCA) was used to reduce the dimensionality of species abundance data. For each species group measurement (moss percent cover, herb percent cover, shrub influence index, and tree influence index) the lowest 10% of variables were removed based on low variance </w:t>
      </w:r>
      <w:r w:rsidRPr="009867C1">
        <w:fldChar w:fldCharType="begin"/>
      </w:r>
      <w:r w:rsidR="00AC0205">
        <w:instrText xml:space="preserve"> ADDIN ZOTERO_ITEM CSL_CITATION {"citationID":"LY6bnoDg","properties":{"formattedCitation":"(Poos &amp; Jackson, 2012)","plainCitation":"(Poos &amp; Jackson, 2012)","noteIndex":0},"citationItems":[{"id":1659,"uris":["http://zotero.org/users/2189142/items/TKZK2N6W"],"itemData":{"id":1659,"type":"article-journal","container-title":"Ecological Indicators","page":"82–90","source":"Google Scholar","title":"Addressing the removal of rare species in multivariate bioassessments: the impact of methodological choices","title-short":"Addressing the removal of rare species in multivariate bioassessments","volume":"18","author":[{"family":"Poos","given":"Mark S."},{"family":"Jackson","given":"Donald A."}],"issued":{"date-parts":[["2012"]]},"citation-key":"poos_2012a"}}],"schema":"https://github.com/citation-style-language/schema/raw/master/csl-citation.json"} </w:instrText>
      </w:r>
      <w:r w:rsidRPr="009867C1">
        <w:fldChar w:fldCharType="separate"/>
      </w:r>
      <w:r w:rsidR="0042141C" w:rsidRPr="009867C1">
        <w:t>(Poos &amp; Jackson, 2012)</w:t>
      </w:r>
      <w:r w:rsidRPr="009867C1">
        <w:fldChar w:fldCharType="end"/>
      </w:r>
      <w:r w:rsidRPr="009867C1">
        <w:t xml:space="preserve"> and PCA performed on the remaining variables using the R package PCAtools </w:t>
      </w:r>
      <w:r w:rsidRPr="009867C1">
        <w:fldChar w:fldCharType="begin"/>
      </w:r>
      <w:r w:rsidR="00AC0205">
        <w:instrText xml:space="preserve"> ADDIN ZOTERO_ITEM CSL_CITATION {"citationID":"aqCEmR9f","properties":{"formattedCitation":"(Blighe &amp; Lun, 2020)","plainCitation":"(Blighe &amp; Lun, 2020)","noteIndex":0},"citationItems":[{"id":9899,"uris":["http://zotero.org/users/2189142/items/AAZPBJ4C"],"itemData":{"id":9899,"type":"book","title":"PCAtools: PCAtools: Everything Principal Components Analysis","URL":"https://github.com/kevinblighe/PCAtools","author":[{"family":"Blighe","given":"Kevin"},{"family":"Lun","given":"Aaron"}],"issued":{"date-parts":[["2020"]]},"citation-key":"blighe_2020"}}],"schema":"https://github.com/citation-style-language/schema/raw/master/csl-citation.json"} </w:instrText>
      </w:r>
      <w:r w:rsidRPr="009867C1">
        <w:fldChar w:fldCharType="separate"/>
      </w:r>
      <w:r w:rsidR="0042141C" w:rsidRPr="009867C1">
        <w:t>(Blighe &amp; Lun, 2020)</w:t>
      </w:r>
      <w:r w:rsidRPr="009867C1">
        <w:fldChar w:fldCharType="end"/>
      </w:r>
      <w:r w:rsidRPr="009867C1">
        <w:t xml:space="preserve">. Thimbleberry was removed as despite being observed at a single site (Neekas below falls) and it was heavily weighted in initial PCAs. Unscaled rather than scaled variables were used as we were interested in the absolute influence of each species on the soil cores, not the relative influences. </w:t>
      </w:r>
    </w:p>
    <w:p w14:paraId="599443E3" w14:textId="572EF4FA" w:rsidR="00495E89" w:rsidRPr="009867C1" w:rsidRDefault="00495E89" w:rsidP="00495E89">
      <w:pPr>
        <w:ind w:firstLine="720"/>
      </w:pPr>
      <w:r w:rsidRPr="009867C1">
        <w:t xml:space="preserve">The loadings on the first two axes of each PCA are visualized in </w:t>
      </w:r>
      <w:r w:rsidR="00732898" w:rsidRPr="009867C1">
        <w:fldChar w:fldCharType="begin"/>
      </w:r>
      <w:r w:rsidR="00732898" w:rsidRPr="009867C1">
        <w:instrText xml:space="preserve"> REF _Ref76307797 \h </w:instrText>
      </w:r>
      <w:r w:rsidR="009867C1">
        <w:instrText xml:space="preserve"> \* MERGEFORMAT </w:instrText>
      </w:r>
      <w:r w:rsidR="00732898" w:rsidRPr="009867C1">
        <w:fldChar w:fldCharType="separate"/>
      </w:r>
      <w:r w:rsidR="000667DB" w:rsidRPr="009867C1">
        <w:t xml:space="preserve">Figure </w:t>
      </w:r>
      <w:r w:rsidR="000667DB">
        <w:rPr>
          <w:noProof/>
        </w:rPr>
        <w:t>C</w:t>
      </w:r>
      <w:r w:rsidR="000667DB" w:rsidRPr="009867C1">
        <w:rPr>
          <w:noProof/>
        </w:rPr>
        <w:noBreakHyphen/>
      </w:r>
      <w:r w:rsidR="000667DB">
        <w:rPr>
          <w:noProof/>
        </w:rPr>
        <w:t>5</w:t>
      </w:r>
      <w:r w:rsidR="00732898" w:rsidRPr="009867C1">
        <w:fldChar w:fldCharType="end"/>
      </w:r>
      <w:r w:rsidR="00732898" w:rsidRPr="009867C1">
        <w:t xml:space="preserve"> </w:t>
      </w:r>
      <w:r w:rsidRPr="009867C1">
        <w:t>to</w:t>
      </w:r>
      <w:r w:rsidR="00732898" w:rsidRPr="009867C1">
        <w:t xml:space="preserve"> </w:t>
      </w:r>
      <w:r w:rsidR="00732898" w:rsidRPr="009867C1">
        <w:fldChar w:fldCharType="begin"/>
      </w:r>
      <w:r w:rsidR="00732898" w:rsidRPr="009867C1">
        <w:instrText xml:space="preserve"> REF _Ref76307813 \h </w:instrText>
      </w:r>
      <w:r w:rsidR="009867C1">
        <w:instrText xml:space="preserve"> \* MERGEFORMAT </w:instrText>
      </w:r>
      <w:r w:rsidR="00732898" w:rsidRPr="009867C1">
        <w:fldChar w:fldCharType="separate"/>
      </w:r>
      <w:r w:rsidR="000667DB" w:rsidRPr="009867C1">
        <w:t xml:space="preserve">Figure </w:t>
      </w:r>
      <w:r w:rsidR="000667DB">
        <w:rPr>
          <w:noProof/>
        </w:rPr>
        <w:t>C</w:t>
      </w:r>
      <w:r w:rsidR="000667DB" w:rsidRPr="009867C1">
        <w:rPr>
          <w:noProof/>
        </w:rPr>
        <w:noBreakHyphen/>
      </w:r>
      <w:r w:rsidR="000667DB">
        <w:rPr>
          <w:noProof/>
        </w:rPr>
        <w:t>8</w:t>
      </w:r>
      <w:r w:rsidR="00732898" w:rsidRPr="009867C1">
        <w:fldChar w:fldCharType="end"/>
      </w:r>
      <w:r w:rsidRPr="009867C1">
        <w:t xml:space="preserve">, and were interpreted as : moss – PCA1: lanky moss (negative), PCA2: step moss (negative); herbs and ferns – PCA1: false-lily-of-the-valley (positive) and deer fern and salal (negative), PCA2: salal, deer fern, and false-lily-of-the-valley (all negative); shrub influence index – PCA1: salmonberry (positive), PCA2: false azalea and Alaskan blueberry (negative); trees – PCA1: cedar (positive), PCA2: snags (positive) and stumps and Sitka spruce (negative). </w:t>
      </w:r>
    </w:p>
    <w:p w14:paraId="27FD41E5" w14:textId="77777777" w:rsidR="00495E89" w:rsidRPr="009867C1" w:rsidRDefault="00495E89" w:rsidP="00495E89">
      <w:pPr>
        <w:ind w:firstLine="720"/>
      </w:pPr>
      <w:r w:rsidRPr="009867C1">
        <w:t xml:space="preserve">Finally, the weights of the first two axes of each PCA for each soil core was extracted and used in downstream analyses.  </w:t>
      </w:r>
    </w:p>
    <w:p w14:paraId="58170EF1" w14:textId="0E23D77B" w:rsidR="00495E89" w:rsidRPr="009867C1" w:rsidRDefault="00495E89" w:rsidP="00EA2088">
      <w:pPr>
        <w:spacing w:after="160" w:line="259" w:lineRule="auto"/>
      </w:pPr>
      <w:r w:rsidRPr="009867C1">
        <w:br w:type="page"/>
      </w:r>
    </w:p>
    <w:p w14:paraId="7171252B" w14:textId="755E7EE1" w:rsidR="00EA2088" w:rsidRPr="009867C1" w:rsidRDefault="00EA2088" w:rsidP="00EA2088">
      <w:pPr>
        <w:pStyle w:val="Caption"/>
        <w:keepNext/>
        <w:rPr>
          <w:vanish/>
          <w:specVanish/>
        </w:rPr>
      </w:pPr>
      <w:bookmarkStart w:id="341" w:name="_Ref76307714"/>
      <w:bookmarkStart w:id="342" w:name="_Toc74949416"/>
      <w:r w:rsidRPr="009867C1">
        <w:t xml:space="preserve">Table </w:t>
      </w:r>
      <w:r w:rsidR="00840B50" w:rsidRPr="009867C1">
        <w:fldChar w:fldCharType="begin"/>
      </w:r>
      <w:r w:rsidR="00840B50" w:rsidRPr="009867C1">
        <w:instrText xml:space="preserve"> STYLEREF 7 \s </w:instrText>
      </w:r>
      <w:r w:rsidR="00840B50" w:rsidRPr="009867C1">
        <w:fldChar w:fldCharType="separate"/>
      </w:r>
      <w:r w:rsidR="000667DB">
        <w:rPr>
          <w:noProof/>
        </w:rPr>
        <w:t>C</w:t>
      </w:r>
      <w:r w:rsidR="00840B50" w:rsidRPr="009867C1">
        <w:fldChar w:fldCharType="end"/>
      </w:r>
      <w:r w:rsidR="00840B50" w:rsidRPr="009867C1">
        <w:noBreakHyphen/>
      </w:r>
      <w:r w:rsidR="00840B50" w:rsidRPr="009867C1">
        <w:fldChar w:fldCharType="begin"/>
      </w:r>
      <w:r w:rsidR="00840B50" w:rsidRPr="009867C1">
        <w:instrText xml:space="preserve"> SEQ Appendix_Table \* ARABIC \s 7 </w:instrText>
      </w:r>
      <w:r w:rsidR="00840B50" w:rsidRPr="009867C1">
        <w:fldChar w:fldCharType="separate"/>
      </w:r>
      <w:r w:rsidR="000667DB">
        <w:rPr>
          <w:noProof/>
        </w:rPr>
        <w:t>1</w:t>
      </w:r>
      <w:r w:rsidR="00840B50" w:rsidRPr="009867C1">
        <w:fldChar w:fldCharType="end"/>
      </w:r>
      <w:bookmarkEnd w:id="341"/>
      <w:r w:rsidRPr="009867C1">
        <w:t>: Species observed and identified in this thesis</w:t>
      </w:r>
      <w:bookmarkEnd w:id="342"/>
    </w:p>
    <w:p w14:paraId="68758341" w14:textId="1CABE646" w:rsidR="00EA2088" w:rsidRPr="009867C1" w:rsidRDefault="00EA2088" w:rsidP="00EA2088">
      <w:pPr>
        <w:pStyle w:val="Caption"/>
        <w:keepNext/>
      </w:pPr>
      <w:r w:rsidRPr="009867C1">
        <w:t xml:space="preserve"> , organized by growth form (“Type”). Soil nutrient regime (SNR) values are derived from Klinka et al. 1989, and “Mycorrhizal Guild” from Soudzilovskaia et al. 2020.   </w:t>
      </w:r>
    </w:p>
    <w:tbl>
      <w:tblPr>
        <w:tblW w:w="0" w:type="auto"/>
        <w:tblCellMar>
          <w:top w:w="15" w:type="dxa"/>
          <w:left w:w="15" w:type="dxa"/>
          <w:bottom w:w="15" w:type="dxa"/>
          <w:right w:w="15" w:type="dxa"/>
        </w:tblCellMar>
        <w:tblLook w:val="04A0" w:firstRow="1" w:lastRow="0" w:firstColumn="1" w:lastColumn="0" w:noHBand="0" w:noVBand="1"/>
      </w:tblPr>
      <w:tblGrid>
        <w:gridCol w:w="2465"/>
        <w:gridCol w:w="2476"/>
        <w:gridCol w:w="1026"/>
        <w:gridCol w:w="627"/>
        <w:gridCol w:w="1832"/>
      </w:tblGrid>
      <w:tr w:rsidR="00495E89" w:rsidRPr="009867C1" w14:paraId="65285DEF" w14:textId="77777777" w:rsidTr="00BA6F95">
        <w:tc>
          <w:tcPr>
            <w:tcW w:w="0" w:type="auto"/>
            <w:tcBorders>
              <w:top w:val="double" w:sz="6" w:space="0" w:color="auto"/>
              <w:bottom w:val="single" w:sz="6" w:space="0" w:color="000000"/>
            </w:tcBorders>
            <w:tcMar>
              <w:top w:w="113" w:type="dxa"/>
              <w:left w:w="113" w:type="dxa"/>
              <w:bottom w:w="113" w:type="dxa"/>
              <w:right w:w="113" w:type="dxa"/>
            </w:tcMar>
            <w:vAlign w:val="center"/>
            <w:hideMark/>
          </w:tcPr>
          <w:p w14:paraId="07A529F1" w14:textId="77777777" w:rsidR="00495E89" w:rsidRPr="009867C1" w:rsidRDefault="00495E89" w:rsidP="00BA6F95">
            <w:pPr>
              <w:spacing w:line="240" w:lineRule="auto"/>
              <w:rPr>
                <w:rFonts w:eastAsia="Times New Roman"/>
                <w:b/>
                <w:bCs/>
                <w:sz w:val="20"/>
                <w:szCs w:val="20"/>
                <w:lang w:val="en-CA" w:eastAsia="en-CA"/>
              </w:rPr>
            </w:pPr>
            <w:r w:rsidRPr="009867C1">
              <w:rPr>
                <w:rFonts w:eastAsia="Times New Roman"/>
                <w:b/>
                <w:bCs/>
                <w:sz w:val="20"/>
                <w:szCs w:val="20"/>
                <w:lang w:val="en-CA" w:eastAsia="en-CA"/>
              </w:rPr>
              <w:t>Latin name</w:t>
            </w:r>
          </w:p>
        </w:tc>
        <w:tc>
          <w:tcPr>
            <w:tcW w:w="0" w:type="auto"/>
            <w:tcBorders>
              <w:top w:val="double" w:sz="6" w:space="0" w:color="auto"/>
              <w:bottom w:val="single" w:sz="6" w:space="0" w:color="000000"/>
            </w:tcBorders>
            <w:tcMar>
              <w:top w:w="113" w:type="dxa"/>
              <w:left w:w="113" w:type="dxa"/>
              <w:bottom w:w="113" w:type="dxa"/>
              <w:right w:w="113" w:type="dxa"/>
            </w:tcMar>
            <w:vAlign w:val="center"/>
            <w:hideMark/>
          </w:tcPr>
          <w:p w14:paraId="6646B5BA" w14:textId="77777777" w:rsidR="00495E89" w:rsidRPr="009867C1" w:rsidRDefault="00495E89" w:rsidP="00BA6F95">
            <w:pPr>
              <w:spacing w:line="240" w:lineRule="auto"/>
              <w:jc w:val="center"/>
              <w:rPr>
                <w:rFonts w:eastAsia="Times New Roman"/>
                <w:b/>
                <w:bCs/>
                <w:sz w:val="20"/>
                <w:szCs w:val="20"/>
                <w:lang w:val="en-CA" w:eastAsia="en-CA"/>
              </w:rPr>
            </w:pPr>
            <w:r w:rsidRPr="009867C1">
              <w:rPr>
                <w:rFonts w:eastAsia="Times New Roman"/>
                <w:b/>
                <w:bCs/>
                <w:sz w:val="20"/>
                <w:szCs w:val="20"/>
                <w:lang w:val="en-CA" w:eastAsia="en-CA"/>
              </w:rPr>
              <w:t>Common name</w:t>
            </w:r>
          </w:p>
        </w:tc>
        <w:tc>
          <w:tcPr>
            <w:tcW w:w="0" w:type="auto"/>
            <w:tcBorders>
              <w:top w:val="double" w:sz="6" w:space="0" w:color="auto"/>
              <w:bottom w:val="single" w:sz="6" w:space="0" w:color="000000"/>
            </w:tcBorders>
            <w:tcMar>
              <w:top w:w="113" w:type="dxa"/>
              <w:left w:w="113" w:type="dxa"/>
              <w:bottom w:w="113" w:type="dxa"/>
              <w:right w:w="113" w:type="dxa"/>
            </w:tcMar>
            <w:vAlign w:val="center"/>
            <w:hideMark/>
          </w:tcPr>
          <w:p w14:paraId="41B67CBB" w14:textId="77777777" w:rsidR="00495E89" w:rsidRPr="009867C1" w:rsidRDefault="00495E89" w:rsidP="00BA6F95">
            <w:pPr>
              <w:spacing w:line="240" w:lineRule="auto"/>
              <w:jc w:val="center"/>
              <w:rPr>
                <w:rFonts w:eastAsia="Times New Roman"/>
                <w:b/>
                <w:bCs/>
                <w:sz w:val="20"/>
                <w:szCs w:val="20"/>
                <w:lang w:val="en-CA" w:eastAsia="en-CA"/>
              </w:rPr>
            </w:pPr>
            <w:r w:rsidRPr="009867C1">
              <w:rPr>
                <w:rFonts w:eastAsia="Times New Roman"/>
                <w:b/>
                <w:bCs/>
                <w:sz w:val="20"/>
                <w:szCs w:val="20"/>
                <w:lang w:val="en-CA" w:eastAsia="en-CA"/>
              </w:rPr>
              <w:t>Type</w:t>
            </w:r>
          </w:p>
        </w:tc>
        <w:tc>
          <w:tcPr>
            <w:tcW w:w="0" w:type="auto"/>
            <w:tcBorders>
              <w:top w:val="double" w:sz="6" w:space="0" w:color="auto"/>
              <w:bottom w:val="single" w:sz="6" w:space="0" w:color="000000"/>
            </w:tcBorders>
            <w:tcMar>
              <w:top w:w="113" w:type="dxa"/>
              <w:left w:w="113" w:type="dxa"/>
              <w:bottom w:w="113" w:type="dxa"/>
              <w:right w:w="113" w:type="dxa"/>
            </w:tcMar>
            <w:vAlign w:val="center"/>
            <w:hideMark/>
          </w:tcPr>
          <w:p w14:paraId="10DBFBCF" w14:textId="77777777" w:rsidR="00495E89" w:rsidRPr="009867C1" w:rsidRDefault="00495E89" w:rsidP="00BA6F95">
            <w:pPr>
              <w:spacing w:line="240" w:lineRule="auto"/>
              <w:jc w:val="center"/>
              <w:rPr>
                <w:rFonts w:eastAsia="Times New Roman"/>
                <w:b/>
                <w:bCs/>
                <w:sz w:val="20"/>
                <w:szCs w:val="20"/>
                <w:lang w:val="en-CA" w:eastAsia="en-CA"/>
              </w:rPr>
            </w:pPr>
            <w:r w:rsidRPr="009867C1">
              <w:rPr>
                <w:rFonts w:eastAsia="Times New Roman"/>
                <w:b/>
                <w:bCs/>
                <w:sz w:val="20"/>
                <w:szCs w:val="20"/>
                <w:lang w:val="en-CA" w:eastAsia="en-CA"/>
              </w:rPr>
              <w:t>SNR</w:t>
            </w:r>
          </w:p>
        </w:tc>
        <w:tc>
          <w:tcPr>
            <w:tcW w:w="0" w:type="auto"/>
            <w:tcBorders>
              <w:top w:val="double" w:sz="6" w:space="0" w:color="auto"/>
              <w:bottom w:val="single" w:sz="6" w:space="0" w:color="000000"/>
            </w:tcBorders>
            <w:tcMar>
              <w:top w:w="113" w:type="dxa"/>
              <w:left w:w="113" w:type="dxa"/>
              <w:bottom w:w="113" w:type="dxa"/>
              <w:right w:w="113" w:type="dxa"/>
            </w:tcMar>
            <w:vAlign w:val="center"/>
            <w:hideMark/>
          </w:tcPr>
          <w:p w14:paraId="625800ED" w14:textId="77777777" w:rsidR="00495E89" w:rsidRPr="009867C1" w:rsidRDefault="00495E89" w:rsidP="00BA6F95">
            <w:pPr>
              <w:spacing w:line="240" w:lineRule="auto"/>
              <w:jc w:val="center"/>
              <w:rPr>
                <w:rFonts w:eastAsia="Times New Roman"/>
                <w:b/>
                <w:bCs/>
                <w:sz w:val="20"/>
                <w:szCs w:val="20"/>
                <w:lang w:val="en-CA" w:eastAsia="en-CA"/>
              </w:rPr>
            </w:pPr>
            <w:r w:rsidRPr="009867C1">
              <w:rPr>
                <w:rFonts w:eastAsia="Times New Roman"/>
                <w:b/>
                <w:bCs/>
                <w:sz w:val="20"/>
                <w:szCs w:val="20"/>
                <w:lang w:val="en-CA" w:eastAsia="en-CA"/>
              </w:rPr>
              <w:t>Mycorrhizal Guild</w:t>
            </w:r>
          </w:p>
        </w:tc>
      </w:tr>
      <w:tr w:rsidR="00495E89" w:rsidRPr="009867C1" w14:paraId="66C734AE" w14:textId="77777777" w:rsidTr="00BA6F95">
        <w:tc>
          <w:tcPr>
            <w:tcW w:w="0" w:type="auto"/>
            <w:tcMar>
              <w:top w:w="113" w:type="dxa"/>
              <w:left w:w="113" w:type="dxa"/>
              <w:bottom w:w="113" w:type="dxa"/>
              <w:right w:w="113" w:type="dxa"/>
            </w:tcMar>
            <w:hideMark/>
          </w:tcPr>
          <w:p w14:paraId="58A891DC"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Brachythecium frigidum</w:t>
            </w:r>
          </w:p>
        </w:tc>
        <w:tc>
          <w:tcPr>
            <w:tcW w:w="0" w:type="auto"/>
            <w:tcMar>
              <w:top w:w="113" w:type="dxa"/>
              <w:left w:w="113" w:type="dxa"/>
              <w:bottom w:w="113" w:type="dxa"/>
              <w:right w:w="113" w:type="dxa"/>
            </w:tcMar>
            <w:hideMark/>
          </w:tcPr>
          <w:p w14:paraId="55F07E4F"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Golden short capsuled moss</w:t>
            </w:r>
          </w:p>
        </w:tc>
        <w:tc>
          <w:tcPr>
            <w:tcW w:w="0" w:type="auto"/>
            <w:tcMar>
              <w:top w:w="113" w:type="dxa"/>
              <w:left w:w="113" w:type="dxa"/>
              <w:bottom w:w="113" w:type="dxa"/>
              <w:right w:w="113" w:type="dxa"/>
            </w:tcMar>
            <w:hideMark/>
          </w:tcPr>
          <w:p w14:paraId="062A914B"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Moss</w:t>
            </w:r>
          </w:p>
        </w:tc>
        <w:tc>
          <w:tcPr>
            <w:tcW w:w="0" w:type="auto"/>
            <w:tcMar>
              <w:top w:w="113" w:type="dxa"/>
              <w:left w:w="113" w:type="dxa"/>
              <w:bottom w:w="113" w:type="dxa"/>
              <w:right w:w="113" w:type="dxa"/>
            </w:tcMar>
            <w:hideMark/>
          </w:tcPr>
          <w:p w14:paraId="2A148FA3"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NA</w:t>
            </w:r>
          </w:p>
        </w:tc>
        <w:tc>
          <w:tcPr>
            <w:tcW w:w="0" w:type="auto"/>
            <w:tcMar>
              <w:top w:w="113" w:type="dxa"/>
              <w:left w:w="113" w:type="dxa"/>
              <w:bottom w:w="113" w:type="dxa"/>
              <w:right w:w="113" w:type="dxa"/>
            </w:tcMar>
            <w:hideMark/>
          </w:tcPr>
          <w:p w14:paraId="71D72C30"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NA</w:t>
            </w:r>
          </w:p>
        </w:tc>
      </w:tr>
      <w:tr w:rsidR="00495E89" w:rsidRPr="009867C1" w14:paraId="29058B1F" w14:textId="77777777" w:rsidTr="00BA6F95">
        <w:tc>
          <w:tcPr>
            <w:tcW w:w="0" w:type="auto"/>
            <w:tcMar>
              <w:top w:w="113" w:type="dxa"/>
              <w:left w:w="113" w:type="dxa"/>
              <w:bottom w:w="113" w:type="dxa"/>
              <w:right w:w="113" w:type="dxa"/>
            </w:tcMar>
            <w:hideMark/>
          </w:tcPr>
          <w:p w14:paraId="033CF22C"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Buckiella undulata</w:t>
            </w:r>
          </w:p>
        </w:tc>
        <w:tc>
          <w:tcPr>
            <w:tcW w:w="0" w:type="auto"/>
            <w:tcMar>
              <w:top w:w="113" w:type="dxa"/>
              <w:left w:w="113" w:type="dxa"/>
              <w:bottom w:w="113" w:type="dxa"/>
              <w:right w:w="113" w:type="dxa"/>
            </w:tcMar>
            <w:hideMark/>
          </w:tcPr>
          <w:p w14:paraId="5423383B"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Wavy moss</w:t>
            </w:r>
          </w:p>
        </w:tc>
        <w:tc>
          <w:tcPr>
            <w:tcW w:w="0" w:type="auto"/>
            <w:tcMar>
              <w:top w:w="113" w:type="dxa"/>
              <w:left w:w="113" w:type="dxa"/>
              <w:bottom w:w="113" w:type="dxa"/>
              <w:right w:w="113" w:type="dxa"/>
            </w:tcMar>
            <w:hideMark/>
          </w:tcPr>
          <w:p w14:paraId="66311CC1"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Moss</w:t>
            </w:r>
          </w:p>
        </w:tc>
        <w:tc>
          <w:tcPr>
            <w:tcW w:w="0" w:type="auto"/>
            <w:tcMar>
              <w:top w:w="113" w:type="dxa"/>
              <w:left w:w="113" w:type="dxa"/>
              <w:bottom w:w="113" w:type="dxa"/>
              <w:right w:w="113" w:type="dxa"/>
            </w:tcMar>
            <w:hideMark/>
          </w:tcPr>
          <w:p w14:paraId="0529097C"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NA</w:t>
            </w:r>
          </w:p>
        </w:tc>
        <w:tc>
          <w:tcPr>
            <w:tcW w:w="0" w:type="auto"/>
            <w:tcMar>
              <w:top w:w="113" w:type="dxa"/>
              <w:left w:w="113" w:type="dxa"/>
              <w:bottom w:w="113" w:type="dxa"/>
              <w:right w:w="113" w:type="dxa"/>
            </w:tcMar>
            <w:hideMark/>
          </w:tcPr>
          <w:p w14:paraId="125D86B5"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NA</w:t>
            </w:r>
          </w:p>
        </w:tc>
      </w:tr>
      <w:tr w:rsidR="00495E89" w:rsidRPr="009867C1" w14:paraId="44B98B44" w14:textId="77777777" w:rsidTr="00BA6F95">
        <w:tc>
          <w:tcPr>
            <w:tcW w:w="0" w:type="auto"/>
            <w:tcMar>
              <w:top w:w="113" w:type="dxa"/>
              <w:left w:w="113" w:type="dxa"/>
              <w:bottom w:w="113" w:type="dxa"/>
              <w:right w:w="113" w:type="dxa"/>
            </w:tcMar>
            <w:hideMark/>
          </w:tcPr>
          <w:p w14:paraId="54B6F509"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Dicranum fuscescens</w:t>
            </w:r>
          </w:p>
        </w:tc>
        <w:tc>
          <w:tcPr>
            <w:tcW w:w="0" w:type="auto"/>
            <w:tcMar>
              <w:top w:w="113" w:type="dxa"/>
              <w:left w:w="113" w:type="dxa"/>
              <w:bottom w:w="113" w:type="dxa"/>
              <w:right w:w="113" w:type="dxa"/>
            </w:tcMar>
            <w:hideMark/>
          </w:tcPr>
          <w:p w14:paraId="09E32CC5"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Dusky moss</w:t>
            </w:r>
          </w:p>
        </w:tc>
        <w:tc>
          <w:tcPr>
            <w:tcW w:w="0" w:type="auto"/>
            <w:tcMar>
              <w:top w:w="113" w:type="dxa"/>
              <w:left w:w="113" w:type="dxa"/>
              <w:bottom w:w="113" w:type="dxa"/>
              <w:right w:w="113" w:type="dxa"/>
            </w:tcMar>
            <w:hideMark/>
          </w:tcPr>
          <w:p w14:paraId="6B393484"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Moss</w:t>
            </w:r>
          </w:p>
        </w:tc>
        <w:tc>
          <w:tcPr>
            <w:tcW w:w="0" w:type="auto"/>
            <w:tcMar>
              <w:top w:w="113" w:type="dxa"/>
              <w:left w:w="113" w:type="dxa"/>
              <w:bottom w:w="113" w:type="dxa"/>
              <w:right w:w="113" w:type="dxa"/>
            </w:tcMar>
            <w:hideMark/>
          </w:tcPr>
          <w:p w14:paraId="0CA09994"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1</w:t>
            </w:r>
          </w:p>
        </w:tc>
        <w:tc>
          <w:tcPr>
            <w:tcW w:w="0" w:type="auto"/>
            <w:tcMar>
              <w:top w:w="113" w:type="dxa"/>
              <w:left w:w="113" w:type="dxa"/>
              <w:bottom w:w="113" w:type="dxa"/>
              <w:right w:w="113" w:type="dxa"/>
            </w:tcMar>
            <w:hideMark/>
          </w:tcPr>
          <w:p w14:paraId="08306C5B"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NA</w:t>
            </w:r>
          </w:p>
        </w:tc>
      </w:tr>
      <w:tr w:rsidR="00495E89" w:rsidRPr="009867C1" w14:paraId="5351D8A4" w14:textId="77777777" w:rsidTr="00BA6F95">
        <w:tc>
          <w:tcPr>
            <w:tcW w:w="0" w:type="auto"/>
            <w:tcMar>
              <w:top w:w="113" w:type="dxa"/>
              <w:left w:w="113" w:type="dxa"/>
              <w:bottom w:w="113" w:type="dxa"/>
              <w:right w:w="113" w:type="dxa"/>
            </w:tcMar>
            <w:hideMark/>
          </w:tcPr>
          <w:p w14:paraId="1D208FFD"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Eurhynchium praelongum</w:t>
            </w:r>
          </w:p>
        </w:tc>
        <w:tc>
          <w:tcPr>
            <w:tcW w:w="0" w:type="auto"/>
            <w:tcMar>
              <w:top w:w="113" w:type="dxa"/>
              <w:left w:w="113" w:type="dxa"/>
              <w:bottom w:w="113" w:type="dxa"/>
              <w:right w:w="113" w:type="dxa"/>
            </w:tcMar>
            <w:hideMark/>
          </w:tcPr>
          <w:p w14:paraId="0540A00D"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Slender moss</w:t>
            </w:r>
          </w:p>
        </w:tc>
        <w:tc>
          <w:tcPr>
            <w:tcW w:w="0" w:type="auto"/>
            <w:tcMar>
              <w:top w:w="113" w:type="dxa"/>
              <w:left w:w="113" w:type="dxa"/>
              <w:bottom w:w="113" w:type="dxa"/>
              <w:right w:w="113" w:type="dxa"/>
            </w:tcMar>
            <w:hideMark/>
          </w:tcPr>
          <w:p w14:paraId="1B48BC9C"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Moss</w:t>
            </w:r>
          </w:p>
        </w:tc>
        <w:tc>
          <w:tcPr>
            <w:tcW w:w="0" w:type="auto"/>
            <w:tcMar>
              <w:top w:w="113" w:type="dxa"/>
              <w:left w:w="113" w:type="dxa"/>
              <w:bottom w:w="113" w:type="dxa"/>
              <w:right w:w="113" w:type="dxa"/>
            </w:tcMar>
            <w:hideMark/>
          </w:tcPr>
          <w:p w14:paraId="507874C1"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NA</w:t>
            </w:r>
          </w:p>
        </w:tc>
        <w:tc>
          <w:tcPr>
            <w:tcW w:w="0" w:type="auto"/>
            <w:tcMar>
              <w:top w:w="113" w:type="dxa"/>
              <w:left w:w="113" w:type="dxa"/>
              <w:bottom w:w="113" w:type="dxa"/>
              <w:right w:w="113" w:type="dxa"/>
            </w:tcMar>
            <w:hideMark/>
          </w:tcPr>
          <w:p w14:paraId="3823DFEA"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NA</w:t>
            </w:r>
          </w:p>
        </w:tc>
      </w:tr>
      <w:tr w:rsidR="00495E89" w:rsidRPr="009867C1" w14:paraId="4DE026BA" w14:textId="77777777" w:rsidTr="00BA6F95">
        <w:tc>
          <w:tcPr>
            <w:tcW w:w="0" w:type="auto"/>
            <w:tcMar>
              <w:top w:w="113" w:type="dxa"/>
              <w:left w:w="113" w:type="dxa"/>
              <w:bottom w:w="113" w:type="dxa"/>
              <w:right w:w="113" w:type="dxa"/>
            </w:tcMar>
            <w:hideMark/>
          </w:tcPr>
          <w:p w14:paraId="05F0F41B"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Hookeria lucens</w:t>
            </w:r>
          </w:p>
        </w:tc>
        <w:tc>
          <w:tcPr>
            <w:tcW w:w="0" w:type="auto"/>
            <w:tcMar>
              <w:top w:w="113" w:type="dxa"/>
              <w:left w:w="113" w:type="dxa"/>
              <w:bottom w:w="113" w:type="dxa"/>
              <w:right w:w="113" w:type="dxa"/>
            </w:tcMar>
            <w:hideMark/>
          </w:tcPr>
          <w:p w14:paraId="07D17233"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Clear moss</w:t>
            </w:r>
          </w:p>
        </w:tc>
        <w:tc>
          <w:tcPr>
            <w:tcW w:w="0" w:type="auto"/>
            <w:tcMar>
              <w:top w:w="113" w:type="dxa"/>
              <w:left w:w="113" w:type="dxa"/>
              <w:bottom w:w="113" w:type="dxa"/>
              <w:right w:w="113" w:type="dxa"/>
            </w:tcMar>
            <w:hideMark/>
          </w:tcPr>
          <w:p w14:paraId="0916BF76"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Moss</w:t>
            </w:r>
          </w:p>
        </w:tc>
        <w:tc>
          <w:tcPr>
            <w:tcW w:w="0" w:type="auto"/>
            <w:tcMar>
              <w:top w:w="113" w:type="dxa"/>
              <w:left w:w="113" w:type="dxa"/>
              <w:bottom w:w="113" w:type="dxa"/>
              <w:right w:w="113" w:type="dxa"/>
            </w:tcMar>
            <w:hideMark/>
          </w:tcPr>
          <w:p w14:paraId="48BBB66F"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1</w:t>
            </w:r>
          </w:p>
        </w:tc>
        <w:tc>
          <w:tcPr>
            <w:tcW w:w="0" w:type="auto"/>
            <w:tcMar>
              <w:top w:w="113" w:type="dxa"/>
              <w:left w:w="113" w:type="dxa"/>
              <w:bottom w:w="113" w:type="dxa"/>
              <w:right w:w="113" w:type="dxa"/>
            </w:tcMar>
            <w:hideMark/>
          </w:tcPr>
          <w:p w14:paraId="64528C60"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NA</w:t>
            </w:r>
          </w:p>
        </w:tc>
      </w:tr>
      <w:tr w:rsidR="00495E89" w:rsidRPr="009867C1" w14:paraId="5C4BE8E4" w14:textId="77777777" w:rsidTr="00BA6F95">
        <w:tc>
          <w:tcPr>
            <w:tcW w:w="0" w:type="auto"/>
            <w:tcMar>
              <w:top w:w="113" w:type="dxa"/>
              <w:left w:w="113" w:type="dxa"/>
              <w:bottom w:w="113" w:type="dxa"/>
              <w:right w:w="113" w:type="dxa"/>
            </w:tcMar>
            <w:hideMark/>
          </w:tcPr>
          <w:p w14:paraId="2B3A7DF8"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Huperzia selago</w:t>
            </w:r>
          </w:p>
        </w:tc>
        <w:tc>
          <w:tcPr>
            <w:tcW w:w="0" w:type="auto"/>
            <w:tcMar>
              <w:top w:w="113" w:type="dxa"/>
              <w:left w:w="113" w:type="dxa"/>
              <w:bottom w:w="113" w:type="dxa"/>
              <w:right w:w="113" w:type="dxa"/>
            </w:tcMar>
            <w:hideMark/>
          </w:tcPr>
          <w:p w14:paraId="7DFF691C"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Fir club moss</w:t>
            </w:r>
          </w:p>
        </w:tc>
        <w:tc>
          <w:tcPr>
            <w:tcW w:w="0" w:type="auto"/>
            <w:tcMar>
              <w:top w:w="113" w:type="dxa"/>
              <w:left w:w="113" w:type="dxa"/>
              <w:bottom w:w="113" w:type="dxa"/>
              <w:right w:w="113" w:type="dxa"/>
            </w:tcMar>
            <w:hideMark/>
          </w:tcPr>
          <w:p w14:paraId="4A704517"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Moss</w:t>
            </w:r>
          </w:p>
        </w:tc>
        <w:tc>
          <w:tcPr>
            <w:tcW w:w="0" w:type="auto"/>
            <w:tcMar>
              <w:top w:w="113" w:type="dxa"/>
              <w:left w:w="113" w:type="dxa"/>
              <w:bottom w:w="113" w:type="dxa"/>
              <w:right w:w="113" w:type="dxa"/>
            </w:tcMar>
            <w:hideMark/>
          </w:tcPr>
          <w:p w14:paraId="50176F2D"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1</w:t>
            </w:r>
          </w:p>
        </w:tc>
        <w:tc>
          <w:tcPr>
            <w:tcW w:w="0" w:type="auto"/>
            <w:tcMar>
              <w:top w:w="113" w:type="dxa"/>
              <w:left w:w="113" w:type="dxa"/>
              <w:bottom w:w="113" w:type="dxa"/>
              <w:right w:w="113" w:type="dxa"/>
            </w:tcMar>
            <w:hideMark/>
          </w:tcPr>
          <w:p w14:paraId="2E10F9CD"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NM-AM</w:t>
            </w:r>
          </w:p>
        </w:tc>
      </w:tr>
      <w:tr w:rsidR="00495E89" w:rsidRPr="009867C1" w14:paraId="4ED80059" w14:textId="77777777" w:rsidTr="00BA6F95">
        <w:tc>
          <w:tcPr>
            <w:tcW w:w="0" w:type="auto"/>
            <w:tcMar>
              <w:top w:w="113" w:type="dxa"/>
              <w:left w:w="113" w:type="dxa"/>
              <w:bottom w:w="113" w:type="dxa"/>
              <w:right w:w="113" w:type="dxa"/>
            </w:tcMar>
            <w:hideMark/>
          </w:tcPr>
          <w:p w14:paraId="67324E3D"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Hylocomium splendens</w:t>
            </w:r>
          </w:p>
        </w:tc>
        <w:tc>
          <w:tcPr>
            <w:tcW w:w="0" w:type="auto"/>
            <w:tcMar>
              <w:top w:w="113" w:type="dxa"/>
              <w:left w:w="113" w:type="dxa"/>
              <w:bottom w:w="113" w:type="dxa"/>
              <w:right w:w="113" w:type="dxa"/>
            </w:tcMar>
            <w:hideMark/>
          </w:tcPr>
          <w:p w14:paraId="0FF06B15"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Step moss</w:t>
            </w:r>
          </w:p>
        </w:tc>
        <w:tc>
          <w:tcPr>
            <w:tcW w:w="0" w:type="auto"/>
            <w:tcMar>
              <w:top w:w="113" w:type="dxa"/>
              <w:left w:w="113" w:type="dxa"/>
              <w:bottom w:w="113" w:type="dxa"/>
              <w:right w:w="113" w:type="dxa"/>
            </w:tcMar>
            <w:hideMark/>
          </w:tcPr>
          <w:p w14:paraId="1548ADD8"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Moss</w:t>
            </w:r>
          </w:p>
        </w:tc>
        <w:tc>
          <w:tcPr>
            <w:tcW w:w="0" w:type="auto"/>
            <w:tcMar>
              <w:top w:w="113" w:type="dxa"/>
              <w:left w:w="113" w:type="dxa"/>
              <w:bottom w:w="113" w:type="dxa"/>
              <w:right w:w="113" w:type="dxa"/>
            </w:tcMar>
            <w:hideMark/>
          </w:tcPr>
          <w:p w14:paraId="2041E733"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1</w:t>
            </w:r>
          </w:p>
        </w:tc>
        <w:tc>
          <w:tcPr>
            <w:tcW w:w="0" w:type="auto"/>
            <w:tcMar>
              <w:top w:w="113" w:type="dxa"/>
              <w:left w:w="113" w:type="dxa"/>
              <w:bottom w:w="113" w:type="dxa"/>
              <w:right w:w="113" w:type="dxa"/>
            </w:tcMar>
            <w:hideMark/>
          </w:tcPr>
          <w:p w14:paraId="1B4F5E0E"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NA</w:t>
            </w:r>
          </w:p>
        </w:tc>
      </w:tr>
      <w:tr w:rsidR="00495E89" w:rsidRPr="009867C1" w14:paraId="0FB8D4BB" w14:textId="77777777" w:rsidTr="00BA6F95">
        <w:tc>
          <w:tcPr>
            <w:tcW w:w="0" w:type="auto"/>
            <w:tcMar>
              <w:top w:w="113" w:type="dxa"/>
              <w:left w:w="113" w:type="dxa"/>
              <w:bottom w:w="113" w:type="dxa"/>
              <w:right w:w="113" w:type="dxa"/>
            </w:tcMar>
            <w:hideMark/>
          </w:tcPr>
          <w:p w14:paraId="4F923830"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Kindbergia oregana</w:t>
            </w:r>
          </w:p>
        </w:tc>
        <w:tc>
          <w:tcPr>
            <w:tcW w:w="0" w:type="auto"/>
            <w:tcMar>
              <w:top w:w="113" w:type="dxa"/>
              <w:left w:w="113" w:type="dxa"/>
              <w:bottom w:w="113" w:type="dxa"/>
              <w:right w:w="113" w:type="dxa"/>
            </w:tcMar>
            <w:hideMark/>
          </w:tcPr>
          <w:p w14:paraId="37826BD2"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Orgeon-beak moss</w:t>
            </w:r>
          </w:p>
        </w:tc>
        <w:tc>
          <w:tcPr>
            <w:tcW w:w="0" w:type="auto"/>
            <w:tcMar>
              <w:top w:w="113" w:type="dxa"/>
              <w:left w:w="113" w:type="dxa"/>
              <w:bottom w:w="113" w:type="dxa"/>
              <w:right w:w="113" w:type="dxa"/>
            </w:tcMar>
            <w:hideMark/>
          </w:tcPr>
          <w:p w14:paraId="216F1DB9"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Moss</w:t>
            </w:r>
          </w:p>
        </w:tc>
        <w:tc>
          <w:tcPr>
            <w:tcW w:w="0" w:type="auto"/>
            <w:tcMar>
              <w:top w:w="113" w:type="dxa"/>
              <w:left w:w="113" w:type="dxa"/>
              <w:bottom w:w="113" w:type="dxa"/>
              <w:right w:w="113" w:type="dxa"/>
            </w:tcMar>
            <w:hideMark/>
          </w:tcPr>
          <w:p w14:paraId="3ED41228"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NA</w:t>
            </w:r>
          </w:p>
        </w:tc>
        <w:tc>
          <w:tcPr>
            <w:tcW w:w="0" w:type="auto"/>
            <w:tcMar>
              <w:top w:w="113" w:type="dxa"/>
              <w:left w:w="113" w:type="dxa"/>
              <w:bottom w:w="113" w:type="dxa"/>
              <w:right w:w="113" w:type="dxa"/>
            </w:tcMar>
            <w:hideMark/>
          </w:tcPr>
          <w:p w14:paraId="68C95B1A"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NA</w:t>
            </w:r>
          </w:p>
        </w:tc>
      </w:tr>
      <w:tr w:rsidR="00495E89" w:rsidRPr="009867C1" w14:paraId="69ECDE70" w14:textId="77777777" w:rsidTr="00BA6F95">
        <w:tc>
          <w:tcPr>
            <w:tcW w:w="0" w:type="auto"/>
            <w:tcMar>
              <w:top w:w="113" w:type="dxa"/>
              <w:left w:w="113" w:type="dxa"/>
              <w:bottom w:w="113" w:type="dxa"/>
              <w:right w:w="113" w:type="dxa"/>
            </w:tcMar>
            <w:hideMark/>
          </w:tcPr>
          <w:p w14:paraId="40C5CD12"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Plagiomnium insigne</w:t>
            </w:r>
          </w:p>
        </w:tc>
        <w:tc>
          <w:tcPr>
            <w:tcW w:w="0" w:type="auto"/>
            <w:tcMar>
              <w:top w:w="113" w:type="dxa"/>
              <w:left w:w="113" w:type="dxa"/>
              <w:bottom w:w="113" w:type="dxa"/>
              <w:right w:w="113" w:type="dxa"/>
            </w:tcMar>
            <w:hideMark/>
          </w:tcPr>
          <w:p w14:paraId="7F58FBC9"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Badge moss</w:t>
            </w:r>
          </w:p>
        </w:tc>
        <w:tc>
          <w:tcPr>
            <w:tcW w:w="0" w:type="auto"/>
            <w:tcMar>
              <w:top w:w="113" w:type="dxa"/>
              <w:left w:w="113" w:type="dxa"/>
              <w:bottom w:w="113" w:type="dxa"/>
              <w:right w:w="113" w:type="dxa"/>
            </w:tcMar>
            <w:hideMark/>
          </w:tcPr>
          <w:p w14:paraId="13C03C78"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Moss</w:t>
            </w:r>
          </w:p>
        </w:tc>
        <w:tc>
          <w:tcPr>
            <w:tcW w:w="0" w:type="auto"/>
            <w:tcMar>
              <w:top w:w="113" w:type="dxa"/>
              <w:left w:w="113" w:type="dxa"/>
              <w:bottom w:w="113" w:type="dxa"/>
              <w:right w:w="113" w:type="dxa"/>
            </w:tcMar>
            <w:hideMark/>
          </w:tcPr>
          <w:p w14:paraId="50DC712E"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3</w:t>
            </w:r>
          </w:p>
        </w:tc>
        <w:tc>
          <w:tcPr>
            <w:tcW w:w="0" w:type="auto"/>
            <w:tcMar>
              <w:top w:w="113" w:type="dxa"/>
              <w:left w:w="113" w:type="dxa"/>
              <w:bottom w:w="113" w:type="dxa"/>
              <w:right w:w="113" w:type="dxa"/>
            </w:tcMar>
            <w:hideMark/>
          </w:tcPr>
          <w:p w14:paraId="33EEC448"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NA</w:t>
            </w:r>
          </w:p>
        </w:tc>
      </w:tr>
      <w:tr w:rsidR="00495E89" w:rsidRPr="009867C1" w14:paraId="37E6DD6F" w14:textId="77777777" w:rsidTr="00BA6F95">
        <w:tc>
          <w:tcPr>
            <w:tcW w:w="0" w:type="auto"/>
            <w:tcMar>
              <w:top w:w="113" w:type="dxa"/>
              <w:left w:w="113" w:type="dxa"/>
              <w:bottom w:w="113" w:type="dxa"/>
              <w:right w:w="113" w:type="dxa"/>
            </w:tcMar>
            <w:hideMark/>
          </w:tcPr>
          <w:p w14:paraId="3F1E5830"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Plagiothecium undulatum</w:t>
            </w:r>
          </w:p>
        </w:tc>
        <w:tc>
          <w:tcPr>
            <w:tcW w:w="0" w:type="auto"/>
            <w:tcMar>
              <w:top w:w="113" w:type="dxa"/>
              <w:left w:w="113" w:type="dxa"/>
              <w:bottom w:w="113" w:type="dxa"/>
              <w:right w:w="113" w:type="dxa"/>
            </w:tcMar>
            <w:hideMark/>
          </w:tcPr>
          <w:p w14:paraId="0A29F9B0"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Flat moss</w:t>
            </w:r>
          </w:p>
        </w:tc>
        <w:tc>
          <w:tcPr>
            <w:tcW w:w="0" w:type="auto"/>
            <w:tcMar>
              <w:top w:w="113" w:type="dxa"/>
              <w:left w:w="113" w:type="dxa"/>
              <w:bottom w:w="113" w:type="dxa"/>
              <w:right w:w="113" w:type="dxa"/>
            </w:tcMar>
            <w:hideMark/>
          </w:tcPr>
          <w:p w14:paraId="075C9D06"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Moss</w:t>
            </w:r>
          </w:p>
        </w:tc>
        <w:tc>
          <w:tcPr>
            <w:tcW w:w="0" w:type="auto"/>
            <w:tcMar>
              <w:top w:w="113" w:type="dxa"/>
              <w:left w:w="113" w:type="dxa"/>
              <w:bottom w:w="113" w:type="dxa"/>
              <w:right w:w="113" w:type="dxa"/>
            </w:tcMar>
            <w:hideMark/>
          </w:tcPr>
          <w:p w14:paraId="0700989E"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1</w:t>
            </w:r>
          </w:p>
        </w:tc>
        <w:tc>
          <w:tcPr>
            <w:tcW w:w="0" w:type="auto"/>
            <w:tcMar>
              <w:top w:w="113" w:type="dxa"/>
              <w:left w:w="113" w:type="dxa"/>
              <w:bottom w:w="113" w:type="dxa"/>
              <w:right w:w="113" w:type="dxa"/>
            </w:tcMar>
            <w:hideMark/>
          </w:tcPr>
          <w:p w14:paraId="3CEBAA09"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NA</w:t>
            </w:r>
          </w:p>
        </w:tc>
      </w:tr>
      <w:tr w:rsidR="00495E89" w:rsidRPr="009867C1" w14:paraId="0276872D" w14:textId="77777777" w:rsidTr="00BA6F95">
        <w:tc>
          <w:tcPr>
            <w:tcW w:w="0" w:type="auto"/>
            <w:tcMar>
              <w:top w:w="113" w:type="dxa"/>
              <w:left w:w="113" w:type="dxa"/>
              <w:bottom w:w="113" w:type="dxa"/>
              <w:right w:w="113" w:type="dxa"/>
            </w:tcMar>
            <w:hideMark/>
          </w:tcPr>
          <w:p w14:paraId="2EC9ADB6"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Pleurozium schreberi</w:t>
            </w:r>
          </w:p>
        </w:tc>
        <w:tc>
          <w:tcPr>
            <w:tcW w:w="0" w:type="auto"/>
            <w:tcMar>
              <w:top w:w="113" w:type="dxa"/>
              <w:left w:w="113" w:type="dxa"/>
              <w:bottom w:w="113" w:type="dxa"/>
              <w:right w:w="113" w:type="dxa"/>
            </w:tcMar>
            <w:hideMark/>
          </w:tcPr>
          <w:p w14:paraId="0A19F66A"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Feather moss</w:t>
            </w:r>
          </w:p>
        </w:tc>
        <w:tc>
          <w:tcPr>
            <w:tcW w:w="0" w:type="auto"/>
            <w:tcMar>
              <w:top w:w="113" w:type="dxa"/>
              <w:left w:w="113" w:type="dxa"/>
              <w:bottom w:w="113" w:type="dxa"/>
              <w:right w:w="113" w:type="dxa"/>
            </w:tcMar>
            <w:hideMark/>
          </w:tcPr>
          <w:p w14:paraId="210EE513"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Moss</w:t>
            </w:r>
          </w:p>
        </w:tc>
        <w:tc>
          <w:tcPr>
            <w:tcW w:w="0" w:type="auto"/>
            <w:tcMar>
              <w:top w:w="113" w:type="dxa"/>
              <w:left w:w="113" w:type="dxa"/>
              <w:bottom w:w="113" w:type="dxa"/>
              <w:right w:w="113" w:type="dxa"/>
            </w:tcMar>
            <w:hideMark/>
          </w:tcPr>
          <w:p w14:paraId="5376D5F4"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1</w:t>
            </w:r>
          </w:p>
        </w:tc>
        <w:tc>
          <w:tcPr>
            <w:tcW w:w="0" w:type="auto"/>
            <w:tcMar>
              <w:top w:w="113" w:type="dxa"/>
              <w:left w:w="113" w:type="dxa"/>
              <w:bottom w:w="113" w:type="dxa"/>
              <w:right w:w="113" w:type="dxa"/>
            </w:tcMar>
            <w:hideMark/>
          </w:tcPr>
          <w:p w14:paraId="10FAD97F"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NA</w:t>
            </w:r>
          </w:p>
        </w:tc>
      </w:tr>
      <w:tr w:rsidR="00495E89" w:rsidRPr="009867C1" w14:paraId="4B0E9C20" w14:textId="77777777" w:rsidTr="00BA6F95">
        <w:tc>
          <w:tcPr>
            <w:tcW w:w="0" w:type="auto"/>
            <w:tcMar>
              <w:top w:w="113" w:type="dxa"/>
              <w:left w:w="113" w:type="dxa"/>
              <w:bottom w:w="113" w:type="dxa"/>
              <w:right w:w="113" w:type="dxa"/>
            </w:tcMar>
            <w:hideMark/>
          </w:tcPr>
          <w:p w14:paraId="182C7901"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Polytrichum commune</w:t>
            </w:r>
          </w:p>
        </w:tc>
        <w:tc>
          <w:tcPr>
            <w:tcW w:w="0" w:type="auto"/>
            <w:tcMar>
              <w:top w:w="113" w:type="dxa"/>
              <w:left w:w="113" w:type="dxa"/>
              <w:bottom w:w="113" w:type="dxa"/>
              <w:right w:w="113" w:type="dxa"/>
            </w:tcMar>
            <w:hideMark/>
          </w:tcPr>
          <w:p w14:paraId="7D2AE2EB"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Haircap moss</w:t>
            </w:r>
          </w:p>
        </w:tc>
        <w:tc>
          <w:tcPr>
            <w:tcW w:w="0" w:type="auto"/>
            <w:tcMar>
              <w:top w:w="113" w:type="dxa"/>
              <w:left w:w="113" w:type="dxa"/>
              <w:bottom w:w="113" w:type="dxa"/>
              <w:right w:w="113" w:type="dxa"/>
            </w:tcMar>
            <w:hideMark/>
          </w:tcPr>
          <w:p w14:paraId="7150541E"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Moss</w:t>
            </w:r>
          </w:p>
        </w:tc>
        <w:tc>
          <w:tcPr>
            <w:tcW w:w="0" w:type="auto"/>
            <w:tcMar>
              <w:top w:w="113" w:type="dxa"/>
              <w:left w:w="113" w:type="dxa"/>
              <w:bottom w:w="113" w:type="dxa"/>
              <w:right w:w="113" w:type="dxa"/>
            </w:tcMar>
            <w:hideMark/>
          </w:tcPr>
          <w:p w14:paraId="31B801C1"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NA</w:t>
            </w:r>
          </w:p>
        </w:tc>
        <w:tc>
          <w:tcPr>
            <w:tcW w:w="0" w:type="auto"/>
            <w:tcMar>
              <w:top w:w="113" w:type="dxa"/>
              <w:left w:w="113" w:type="dxa"/>
              <w:bottom w:w="113" w:type="dxa"/>
              <w:right w:w="113" w:type="dxa"/>
            </w:tcMar>
            <w:hideMark/>
          </w:tcPr>
          <w:p w14:paraId="7B281084"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NA</w:t>
            </w:r>
          </w:p>
        </w:tc>
      </w:tr>
      <w:tr w:rsidR="00495E89" w:rsidRPr="009867C1" w14:paraId="43F42C6A" w14:textId="77777777" w:rsidTr="00BA6F95">
        <w:tc>
          <w:tcPr>
            <w:tcW w:w="0" w:type="auto"/>
            <w:tcMar>
              <w:top w:w="113" w:type="dxa"/>
              <w:left w:w="113" w:type="dxa"/>
              <w:bottom w:w="113" w:type="dxa"/>
              <w:right w:w="113" w:type="dxa"/>
            </w:tcMar>
            <w:hideMark/>
          </w:tcPr>
          <w:p w14:paraId="0A88615A"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Rhizomnium glabrescens</w:t>
            </w:r>
          </w:p>
        </w:tc>
        <w:tc>
          <w:tcPr>
            <w:tcW w:w="0" w:type="auto"/>
            <w:tcMar>
              <w:top w:w="113" w:type="dxa"/>
              <w:left w:w="113" w:type="dxa"/>
              <w:bottom w:w="113" w:type="dxa"/>
              <w:right w:w="113" w:type="dxa"/>
            </w:tcMar>
            <w:hideMark/>
          </w:tcPr>
          <w:p w14:paraId="2D0B787D"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Fan moss</w:t>
            </w:r>
          </w:p>
        </w:tc>
        <w:tc>
          <w:tcPr>
            <w:tcW w:w="0" w:type="auto"/>
            <w:tcMar>
              <w:top w:w="113" w:type="dxa"/>
              <w:left w:w="113" w:type="dxa"/>
              <w:bottom w:w="113" w:type="dxa"/>
              <w:right w:w="113" w:type="dxa"/>
            </w:tcMar>
            <w:hideMark/>
          </w:tcPr>
          <w:p w14:paraId="2C1A0F21"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Moss</w:t>
            </w:r>
          </w:p>
        </w:tc>
        <w:tc>
          <w:tcPr>
            <w:tcW w:w="0" w:type="auto"/>
            <w:tcMar>
              <w:top w:w="113" w:type="dxa"/>
              <w:left w:w="113" w:type="dxa"/>
              <w:bottom w:w="113" w:type="dxa"/>
              <w:right w:w="113" w:type="dxa"/>
            </w:tcMar>
            <w:hideMark/>
          </w:tcPr>
          <w:p w14:paraId="7EC335E8"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2</w:t>
            </w:r>
          </w:p>
        </w:tc>
        <w:tc>
          <w:tcPr>
            <w:tcW w:w="0" w:type="auto"/>
            <w:tcMar>
              <w:top w:w="113" w:type="dxa"/>
              <w:left w:w="113" w:type="dxa"/>
              <w:bottom w:w="113" w:type="dxa"/>
              <w:right w:w="113" w:type="dxa"/>
            </w:tcMar>
            <w:hideMark/>
          </w:tcPr>
          <w:p w14:paraId="21F80C14"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NA</w:t>
            </w:r>
          </w:p>
        </w:tc>
      </w:tr>
      <w:tr w:rsidR="00495E89" w:rsidRPr="009867C1" w14:paraId="0F74F5D7" w14:textId="77777777" w:rsidTr="00BA6F95">
        <w:tc>
          <w:tcPr>
            <w:tcW w:w="0" w:type="auto"/>
            <w:tcMar>
              <w:top w:w="113" w:type="dxa"/>
              <w:left w:w="113" w:type="dxa"/>
              <w:bottom w:w="113" w:type="dxa"/>
              <w:right w:w="113" w:type="dxa"/>
            </w:tcMar>
            <w:hideMark/>
          </w:tcPr>
          <w:p w14:paraId="0958AD7C"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Rhytidiadelphus loreus</w:t>
            </w:r>
          </w:p>
        </w:tc>
        <w:tc>
          <w:tcPr>
            <w:tcW w:w="0" w:type="auto"/>
            <w:tcMar>
              <w:top w:w="113" w:type="dxa"/>
              <w:left w:w="113" w:type="dxa"/>
              <w:bottom w:w="113" w:type="dxa"/>
              <w:right w:w="113" w:type="dxa"/>
            </w:tcMar>
            <w:hideMark/>
          </w:tcPr>
          <w:p w14:paraId="2A0432C2"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Lanky moss</w:t>
            </w:r>
          </w:p>
        </w:tc>
        <w:tc>
          <w:tcPr>
            <w:tcW w:w="0" w:type="auto"/>
            <w:tcMar>
              <w:top w:w="113" w:type="dxa"/>
              <w:left w:w="113" w:type="dxa"/>
              <w:bottom w:w="113" w:type="dxa"/>
              <w:right w:w="113" w:type="dxa"/>
            </w:tcMar>
            <w:hideMark/>
          </w:tcPr>
          <w:p w14:paraId="7E1C059A"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Moss</w:t>
            </w:r>
          </w:p>
        </w:tc>
        <w:tc>
          <w:tcPr>
            <w:tcW w:w="0" w:type="auto"/>
            <w:tcMar>
              <w:top w:w="113" w:type="dxa"/>
              <w:left w:w="113" w:type="dxa"/>
              <w:bottom w:w="113" w:type="dxa"/>
              <w:right w:w="113" w:type="dxa"/>
            </w:tcMar>
            <w:hideMark/>
          </w:tcPr>
          <w:p w14:paraId="140FEFF1"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1</w:t>
            </w:r>
          </w:p>
        </w:tc>
        <w:tc>
          <w:tcPr>
            <w:tcW w:w="0" w:type="auto"/>
            <w:tcMar>
              <w:top w:w="113" w:type="dxa"/>
              <w:left w:w="113" w:type="dxa"/>
              <w:bottom w:w="113" w:type="dxa"/>
              <w:right w:w="113" w:type="dxa"/>
            </w:tcMar>
            <w:hideMark/>
          </w:tcPr>
          <w:p w14:paraId="4274A1EE"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NA</w:t>
            </w:r>
          </w:p>
        </w:tc>
      </w:tr>
      <w:tr w:rsidR="00495E89" w:rsidRPr="009867C1" w14:paraId="272F4B07" w14:textId="77777777" w:rsidTr="00BA6F95">
        <w:tc>
          <w:tcPr>
            <w:tcW w:w="0" w:type="auto"/>
            <w:tcMar>
              <w:top w:w="113" w:type="dxa"/>
              <w:left w:w="113" w:type="dxa"/>
              <w:bottom w:w="113" w:type="dxa"/>
              <w:right w:w="113" w:type="dxa"/>
            </w:tcMar>
            <w:hideMark/>
          </w:tcPr>
          <w:p w14:paraId="1507EC6F"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Rhytidiadelphus squarrosus</w:t>
            </w:r>
          </w:p>
        </w:tc>
        <w:tc>
          <w:tcPr>
            <w:tcW w:w="0" w:type="auto"/>
            <w:tcMar>
              <w:top w:w="113" w:type="dxa"/>
              <w:left w:w="113" w:type="dxa"/>
              <w:bottom w:w="113" w:type="dxa"/>
              <w:right w:w="113" w:type="dxa"/>
            </w:tcMar>
            <w:hideMark/>
          </w:tcPr>
          <w:p w14:paraId="6C06220F"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Bent leaf moss</w:t>
            </w:r>
          </w:p>
        </w:tc>
        <w:tc>
          <w:tcPr>
            <w:tcW w:w="0" w:type="auto"/>
            <w:tcMar>
              <w:top w:w="113" w:type="dxa"/>
              <w:left w:w="113" w:type="dxa"/>
              <w:bottom w:w="113" w:type="dxa"/>
              <w:right w:w="113" w:type="dxa"/>
            </w:tcMar>
            <w:hideMark/>
          </w:tcPr>
          <w:p w14:paraId="42557B15"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Moss</w:t>
            </w:r>
          </w:p>
        </w:tc>
        <w:tc>
          <w:tcPr>
            <w:tcW w:w="0" w:type="auto"/>
            <w:tcMar>
              <w:top w:w="113" w:type="dxa"/>
              <w:left w:w="113" w:type="dxa"/>
              <w:bottom w:w="113" w:type="dxa"/>
              <w:right w:w="113" w:type="dxa"/>
            </w:tcMar>
            <w:hideMark/>
          </w:tcPr>
          <w:p w14:paraId="645FA22E"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NA</w:t>
            </w:r>
          </w:p>
        </w:tc>
        <w:tc>
          <w:tcPr>
            <w:tcW w:w="0" w:type="auto"/>
            <w:tcMar>
              <w:top w:w="113" w:type="dxa"/>
              <w:left w:w="113" w:type="dxa"/>
              <w:bottom w:w="113" w:type="dxa"/>
              <w:right w:w="113" w:type="dxa"/>
            </w:tcMar>
            <w:hideMark/>
          </w:tcPr>
          <w:p w14:paraId="43DD987A"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NA</w:t>
            </w:r>
          </w:p>
        </w:tc>
      </w:tr>
      <w:tr w:rsidR="00495E89" w:rsidRPr="009867C1" w14:paraId="5DA1870C" w14:textId="77777777" w:rsidTr="00BA6F95">
        <w:tc>
          <w:tcPr>
            <w:tcW w:w="0" w:type="auto"/>
            <w:tcMar>
              <w:top w:w="113" w:type="dxa"/>
              <w:left w:w="113" w:type="dxa"/>
              <w:bottom w:w="113" w:type="dxa"/>
              <w:right w:w="113" w:type="dxa"/>
            </w:tcMar>
            <w:hideMark/>
          </w:tcPr>
          <w:p w14:paraId="5C5E02B0"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Sphagnum rubellum</w:t>
            </w:r>
          </w:p>
        </w:tc>
        <w:tc>
          <w:tcPr>
            <w:tcW w:w="0" w:type="auto"/>
            <w:tcMar>
              <w:top w:w="113" w:type="dxa"/>
              <w:left w:w="113" w:type="dxa"/>
              <w:bottom w:w="113" w:type="dxa"/>
              <w:right w:w="113" w:type="dxa"/>
            </w:tcMar>
            <w:hideMark/>
          </w:tcPr>
          <w:p w14:paraId="1D9A0E27"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Red sphagnum moss</w:t>
            </w:r>
          </w:p>
        </w:tc>
        <w:tc>
          <w:tcPr>
            <w:tcW w:w="0" w:type="auto"/>
            <w:tcMar>
              <w:top w:w="113" w:type="dxa"/>
              <w:left w:w="113" w:type="dxa"/>
              <w:bottom w:w="113" w:type="dxa"/>
              <w:right w:w="113" w:type="dxa"/>
            </w:tcMar>
            <w:hideMark/>
          </w:tcPr>
          <w:p w14:paraId="3A1DBD71"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Moss</w:t>
            </w:r>
          </w:p>
        </w:tc>
        <w:tc>
          <w:tcPr>
            <w:tcW w:w="0" w:type="auto"/>
            <w:tcMar>
              <w:top w:w="113" w:type="dxa"/>
              <w:left w:w="113" w:type="dxa"/>
              <w:bottom w:w="113" w:type="dxa"/>
              <w:right w:w="113" w:type="dxa"/>
            </w:tcMar>
            <w:hideMark/>
          </w:tcPr>
          <w:p w14:paraId="21F978A3"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NA</w:t>
            </w:r>
          </w:p>
        </w:tc>
        <w:tc>
          <w:tcPr>
            <w:tcW w:w="0" w:type="auto"/>
            <w:tcMar>
              <w:top w:w="113" w:type="dxa"/>
              <w:left w:w="113" w:type="dxa"/>
              <w:bottom w:w="113" w:type="dxa"/>
              <w:right w:w="113" w:type="dxa"/>
            </w:tcMar>
            <w:hideMark/>
          </w:tcPr>
          <w:p w14:paraId="7A95BDDB"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NA</w:t>
            </w:r>
          </w:p>
        </w:tc>
      </w:tr>
      <w:tr w:rsidR="00495E89" w:rsidRPr="009867C1" w14:paraId="5156D186" w14:textId="77777777" w:rsidTr="00BA6F95">
        <w:tc>
          <w:tcPr>
            <w:tcW w:w="0" w:type="auto"/>
            <w:tcMar>
              <w:top w:w="113" w:type="dxa"/>
              <w:left w:w="113" w:type="dxa"/>
              <w:bottom w:w="113" w:type="dxa"/>
              <w:right w:w="113" w:type="dxa"/>
            </w:tcMar>
            <w:hideMark/>
          </w:tcPr>
          <w:p w14:paraId="18C6C761"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Sphagnum squarrosum</w:t>
            </w:r>
          </w:p>
        </w:tc>
        <w:tc>
          <w:tcPr>
            <w:tcW w:w="0" w:type="auto"/>
            <w:tcMar>
              <w:top w:w="113" w:type="dxa"/>
              <w:left w:w="113" w:type="dxa"/>
              <w:bottom w:w="113" w:type="dxa"/>
              <w:right w:w="113" w:type="dxa"/>
            </w:tcMar>
            <w:hideMark/>
          </w:tcPr>
          <w:p w14:paraId="1CDB9CEC"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Shaggy sphagnum moss</w:t>
            </w:r>
          </w:p>
        </w:tc>
        <w:tc>
          <w:tcPr>
            <w:tcW w:w="0" w:type="auto"/>
            <w:tcMar>
              <w:top w:w="113" w:type="dxa"/>
              <w:left w:w="113" w:type="dxa"/>
              <w:bottom w:w="113" w:type="dxa"/>
              <w:right w:w="113" w:type="dxa"/>
            </w:tcMar>
            <w:hideMark/>
          </w:tcPr>
          <w:p w14:paraId="301FC48E"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Moss</w:t>
            </w:r>
          </w:p>
        </w:tc>
        <w:tc>
          <w:tcPr>
            <w:tcW w:w="0" w:type="auto"/>
            <w:tcMar>
              <w:top w:w="113" w:type="dxa"/>
              <w:left w:w="113" w:type="dxa"/>
              <w:bottom w:w="113" w:type="dxa"/>
              <w:right w:w="113" w:type="dxa"/>
            </w:tcMar>
            <w:hideMark/>
          </w:tcPr>
          <w:p w14:paraId="4DC4459D"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NA</w:t>
            </w:r>
          </w:p>
        </w:tc>
        <w:tc>
          <w:tcPr>
            <w:tcW w:w="0" w:type="auto"/>
            <w:tcMar>
              <w:top w:w="113" w:type="dxa"/>
              <w:left w:w="113" w:type="dxa"/>
              <w:bottom w:w="113" w:type="dxa"/>
              <w:right w:w="113" w:type="dxa"/>
            </w:tcMar>
            <w:hideMark/>
          </w:tcPr>
          <w:p w14:paraId="7DAF838E"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NA</w:t>
            </w:r>
          </w:p>
        </w:tc>
      </w:tr>
      <w:tr w:rsidR="00495E89" w:rsidRPr="009867C1" w14:paraId="60B89472" w14:textId="77777777" w:rsidTr="00BA6F95">
        <w:tc>
          <w:tcPr>
            <w:tcW w:w="0" w:type="auto"/>
            <w:tcMar>
              <w:top w:w="113" w:type="dxa"/>
              <w:left w:w="113" w:type="dxa"/>
              <w:bottom w:w="113" w:type="dxa"/>
              <w:right w:w="113" w:type="dxa"/>
            </w:tcMar>
            <w:hideMark/>
          </w:tcPr>
          <w:p w14:paraId="0AB0F419"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Ulota obtusiuscula</w:t>
            </w:r>
          </w:p>
        </w:tc>
        <w:tc>
          <w:tcPr>
            <w:tcW w:w="0" w:type="auto"/>
            <w:tcMar>
              <w:top w:w="113" w:type="dxa"/>
              <w:left w:w="113" w:type="dxa"/>
              <w:bottom w:w="113" w:type="dxa"/>
              <w:right w:w="113" w:type="dxa"/>
            </w:tcMar>
            <w:hideMark/>
          </w:tcPr>
          <w:p w14:paraId="41912492"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Carpet moss</w:t>
            </w:r>
          </w:p>
        </w:tc>
        <w:tc>
          <w:tcPr>
            <w:tcW w:w="0" w:type="auto"/>
            <w:tcMar>
              <w:top w:w="113" w:type="dxa"/>
              <w:left w:w="113" w:type="dxa"/>
              <w:bottom w:w="113" w:type="dxa"/>
              <w:right w:w="113" w:type="dxa"/>
            </w:tcMar>
            <w:hideMark/>
          </w:tcPr>
          <w:p w14:paraId="7834C56F"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Moss</w:t>
            </w:r>
          </w:p>
        </w:tc>
        <w:tc>
          <w:tcPr>
            <w:tcW w:w="0" w:type="auto"/>
            <w:tcMar>
              <w:top w:w="113" w:type="dxa"/>
              <w:left w:w="113" w:type="dxa"/>
              <w:bottom w:w="113" w:type="dxa"/>
              <w:right w:w="113" w:type="dxa"/>
            </w:tcMar>
            <w:hideMark/>
          </w:tcPr>
          <w:p w14:paraId="1B872FB5"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NA</w:t>
            </w:r>
          </w:p>
        </w:tc>
        <w:tc>
          <w:tcPr>
            <w:tcW w:w="0" w:type="auto"/>
            <w:tcMar>
              <w:top w:w="113" w:type="dxa"/>
              <w:left w:w="113" w:type="dxa"/>
              <w:bottom w:w="113" w:type="dxa"/>
              <w:right w:w="113" w:type="dxa"/>
            </w:tcMar>
            <w:hideMark/>
          </w:tcPr>
          <w:p w14:paraId="2C3DFA50"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NA</w:t>
            </w:r>
          </w:p>
        </w:tc>
      </w:tr>
      <w:tr w:rsidR="00495E89" w:rsidRPr="009867C1" w14:paraId="39F94CA3" w14:textId="77777777" w:rsidTr="00BA6F95">
        <w:tc>
          <w:tcPr>
            <w:tcW w:w="0" w:type="auto"/>
            <w:tcMar>
              <w:top w:w="113" w:type="dxa"/>
              <w:left w:w="113" w:type="dxa"/>
              <w:bottom w:w="113" w:type="dxa"/>
              <w:right w:w="113" w:type="dxa"/>
            </w:tcMar>
            <w:hideMark/>
          </w:tcPr>
          <w:p w14:paraId="2423BAE6"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Conocephalum conicum</w:t>
            </w:r>
          </w:p>
        </w:tc>
        <w:tc>
          <w:tcPr>
            <w:tcW w:w="0" w:type="auto"/>
            <w:tcMar>
              <w:top w:w="113" w:type="dxa"/>
              <w:left w:w="113" w:type="dxa"/>
              <w:bottom w:w="113" w:type="dxa"/>
              <w:right w:w="113" w:type="dxa"/>
            </w:tcMar>
            <w:hideMark/>
          </w:tcPr>
          <w:p w14:paraId="09C5C919"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Snake liverwort</w:t>
            </w:r>
          </w:p>
        </w:tc>
        <w:tc>
          <w:tcPr>
            <w:tcW w:w="0" w:type="auto"/>
            <w:tcMar>
              <w:top w:w="113" w:type="dxa"/>
              <w:left w:w="113" w:type="dxa"/>
              <w:bottom w:w="113" w:type="dxa"/>
              <w:right w:w="113" w:type="dxa"/>
            </w:tcMar>
            <w:hideMark/>
          </w:tcPr>
          <w:p w14:paraId="03C078C3"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Liverwort</w:t>
            </w:r>
          </w:p>
        </w:tc>
        <w:tc>
          <w:tcPr>
            <w:tcW w:w="0" w:type="auto"/>
            <w:tcMar>
              <w:top w:w="113" w:type="dxa"/>
              <w:left w:w="113" w:type="dxa"/>
              <w:bottom w:w="113" w:type="dxa"/>
              <w:right w:w="113" w:type="dxa"/>
            </w:tcMar>
            <w:hideMark/>
          </w:tcPr>
          <w:p w14:paraId="09E5788E"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3</w:t>
            </w:r>
          </w:p>
        </w:tc>
        <w:tc>
          <w:tcPr>
            <w:tcW w:w="0" w:type="auto"/>
            <w:tcMar>
              <w:top w:w="113" w:type="dxa"/>
              <w:left w:w="113" w:type="dxa"/>
              <w:bottom w:w="113" w:type="dxa"/>
              <w:right w:w="113" w:type="dxa"/>
            </w:tcMar>
            <w:hideMark/>
          </w:tcPr>
          <w:p w14:paraId="434E9D67"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AM</w:t>
            </w:r>
          </w:p>
        </w:tc>
      </w:tr>
      <w:tr w:rsidR="00495E89" w:rsidRPr="009867C1" w14:paraId="2D37652F" w14:textId="77777777" w:rsidTr="00BA6F95">
        <w:tc>
          <w:tcPr>
            <w:tcW w:w="0" w:type="auto"/>
            <w:tcMar>
              <w:top w:w="113" w:type="dxa"/>
              <w:left w:w="113" w:type="dxa"/>
              <w:bottom w:w="113" w:type="dxa"/>
              <w:right w:w="113" w:type="dxa"/>
            </w:tcMar>
            <w:hideMark/>
          </w:tcPr>
          <w:p w14:paraId="2BFDE959"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Pellia neesiana</w:t>
            </w:r>
          </w:p>
        </w:tc>
        <w:tc>
          <w:tcPr>
            <w:tcW w:w="0" w:type="auto"/>
            <w:tcMar>
              <w:top w:w="113" w:type="dxa"/>
              <w:left w:w="113" w:type="dxa"/>
              <w:bottom w:w="113" w:type="dxa"/>
              <w:right w:w="113" w:type="dxa"/>
            </w:tcMar>
            <w:hideMark/>
          </w:tcPr>
          <w:p w14:paraId="46EDD6E5"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Ring pellia</w:t>
            </w:r>
          </w:p>
        </w:tc>
        <w:tc>
          <w:tcPr>
            <w:tcW w:w="0" w:type="auto"/>
            <w:tcMar>
              <w:top w:w="113" w:type="dxa"/>
              <w:left w:w="113" w:type="dxa"/>
              <w:bottom w:w="113" w:type="dxa"/>
              <w:right w:w="113" w:type="dxa"/>
            </w:tcMar>
            <w:hideMark/>
          </w:tcPr>
          <w:p w14:paraId="2D59E7AF"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Liverwort</w:t>
            </w:r>
          </w:p>
        </w:tc>
        <w:tc>
          <w:tcPr>
            <w:tcW w:w="0" w:type="auto"/>
            <w:tcMar>
              <w:top w:w="113" w:type="dxa"/>
              <w:left w:w="113" w:type="dxa"/>
              <w:bottom w:w="113" w:type="dxa"/>
              <w:right w:w="113" w:type="dxa"/>
            </w:tcMar>
            <w:hideMark/>
          </w:tcPr>
          <w:p w14:paraId="6D19EBE7"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3</w:t>
            </w:r>
          </w:p>
        </w:tc>
        <w:tc>
          <w:tcPr>
            <w:tcW w:w="0" w:type="auto"/>
            <w:tcMar>
              <w:top w:w="113" w:type="dxa"/>
              <w:left w:w="113" w:type="dxa"/>
              <w:bottom w:w="113" w:type="dxa"/>
              <w:right w:w="113" w:type="dxa"/>
            </w:tcMar>
            <w:hideMark/>
          </w:tcPr>
          <w:p w14:paraId="167BFA20"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AM</w:t>
            </w:r>
          </w:p>
        </w:tc>
      </w:tr>
      <w:tr w:rsidR="00495E89" w:rsidRPr="009867C1" w14:paraId="3C5D1D0D" w14:textId="77777777" w:rsidTr="00BA6F95">
        <w:tc>
          <w:tcPr>
            <w:tcW w:w="0" w:type="auto"/>
            <w:tcMar>
              <w:top w:w="113" w:type="dxa"/>
              <w:left w:w="113" w:type="dxa"/>
              <w:bottom w:w="113" w:type="dxa"/>
              <w:right w:w="113" w:type="dxa"/>
            </w:tcMar>
            <w:hideMark/>
          </w:tcPr>
          <w:p w14:paraId="41318175"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Plagiochila porelloides</w:t>
            </w:r>
          </w:p>
        </w:tc>
        <w:tc>
          <w:tcPr>
            <w:tcW w:w="0" w:type="auto"/>
            <w:tcMar>
              <w:top w:w="113" w:type="dxa"/>
              <w:left w:w="113" w:type="dxa"/>
              <w:bottom w:w="113" w:type="dxa"/>
              <w:right w:w="113" w:type="dxa"/>
            </w:tcMar>
            <w:hideMark/>
          </w:tcPr>
          <w:p w14:paraId="234046FD"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Cedar shake liverwort</w:t>
            </w:r>
          </w:p>
        </w:tc>
        <w:tc>
          <w:tcPr>
            <w:tcW w:w="0" w:type="auto"/>
            <w:tcMar>
              <w:top w:w="113" w:type="dxa"/>
              <w:left w:w="113" w:type="dxa"/>
              <w:bottom w:w="113" w:type="dxa"/>
              <w:right w:w="113" w:type="dxa"/>
            </w:tcMar>
            <w:hideMark/>
          </w:tcPr>
          <w:p w14:paraId="73F01772"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Liverwort</w:t>
            </w:r>
          </w:p>
        </w:tc>
        <w:tc>
          <w:tcPr>
            <w:tcW w:w="0" w:type="auto"/>
            <w:tcMar>
              <w:top w:w="113" w:type="dxa"/>
              <w:left w:w="113" w:type="dxa"/>
              <w:bottom w:w="113" w:type="dxa"/>
              <w:right w:w="113" w:type="dxa"/>
            </w:tcMar>
            <w:hideMark/>
          </w:tcPr>
          <w:p w14:paraId="5CC071D0"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2</w:t>
            </w:r>
          </w:p>
        </w:tc>
        <w:tc>
          <w:tcPr>
            <w:tcW w:w="0" w:type="auto"/>
            <w:tcMar>
              <w:top w:w="113" w:type="dxa"/>
              <w:left w:w="113" w:type="dxa"/>
              <w:bottom w:w="113" w:type="dxa"/>
              <w:right w:w="113" w:type="dxa"/>
            </w:tcMar>
            <w:hideMark/>
          </w:tcPr>
          <w:p w14:paraId="5DDB2D13"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NA</w:t>
            </w:r>
          </w:p>
        </w:tc>
      </w:tr>
      <w:tr w:rsidR="00495E89" w:rsidRPr="009867C1" w14:paraId="3BE2F18E" w14:textId="77777777" w:rsidTr="00BA6F95">
        <w:tc>
          <w:tcPr>
            <w:tcW w:w="0" w:type="auto"/>
            <w:tcMar>
              <w:top w:w="113" w:type="dxa"/>
              <w:left w:w="113" w:type="dxa"/>
              <w:bottom w:w="113" w:type="dxa"/>
              <w:right w:w="113" w:type="dxa"/>
            </w:tcMar>
            <w:hideMark/>
          </w:tcPr>
          <w:p w14:paraId="5B304BD2"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Circaea alpina</w:t>
            </w:r>
          </w:p>
        </w:tc>
        <w:tc>
          <w:tcPr>
            <w:tcW w:w="0" w:type="auto"/>
            <w:tcMar>
              <w:top w:w="113" w:type="dxa"/>
              <w:left w:w="113" w:type="dxa"/>
              <w:bottom w:w="113" w:type="dxa"/>
              <w:right w:w="113" w:type="dxa"/>
            </w:tcMar>
            <w:hideMark/>
          </w:tcPr>
          <w:p w14:paraId="66D997CB"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Enchanter's nightshade</w:t>
            </w:r>
          </w:p>
        </w:tc>
        <w:tc>
          <w:tcPr>
            <w:tcW w:w="0" w:type="auto"/>
            <w:tcMar>
              <w:top w:w="113" w:type="dxa"/>
              <w:left w:w="113" w:type="dxa"/>
              <w:bottom w:w="113" w:type="dxa"/>
              <w:right w:w="113" w:type="dxa"/>
            </w:tcMar>
            <w:hideMark/>
          </w:tcPr>
          <w:p w14:paraId="44A14526"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Herb</w:t>
            </w:r>
          </w:p>
        </w:tc>
        <w:tc>
          <w:tcPr>
            <w:tcW w:w="0" w:type="auto"/>
            <w:tcMar>
              <w:top w:w="113" w:type="dxa"/>
              <w:left w:w="113" w:type="dxa"/>
              <w:bottom w:w="113" w:type="dxa"/>
              <w:right w:w="113" w:type="dxa"/>
            </w:tcMar>
            <w:hideMark/>
          </w:tcPr>
          <w:p w14:paraId="79E6AD0D"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2</w:t>
            </w:r>
          </w:p>
        </w:tc>
        <w:tc>
          <w:tcPr>
            <w:tcW w:w="0" w:type="auto"/>
            <w:tcMar>
              <w:top w:w="113" w:type="dxa"/>
              <w:left w:w="113" w:type="dxa"/>
              <w:bottom w:w="113" w:type="dxa"/>
              <w:right w:w="113" w:type="dxa"/>
            </w:tcMar>
            <w:hideMark/>
          </w:tcPr>
          <w:p w14:paraId="2189BB4B"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AM</w:t>
            </w:r>
          </w:p>
        </w:tc>
      </w:tr>
      <w:tr w:rsidR="00495E89" w:rsidRPr="009867C1" w14:paraId="6F28D612" w14:textId="77777777" w:rsidTr="00BA6F95">
        <w:tc>
          <w:tcPr>
            <w:tcW w:w="0" w:type="auto"/>
            <w:tcMar>
              <w:top w:w="113" w:type="dxa"/>
              <w:left w:w="113" w:type="dxa"/>
              <w:bottom w:w="113" w:type="dxa"/>
              <w:right w:w="113" w:type="dxa"/>
            </w:tcMar>
            <w:hideMark/>
          </w:tcPr>
          <w:p w14:paraId="0C59AF1A"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Clintonia uniflora</w:t>
            </w:r>
          </w:p>
        </w:tc>
        <w:tc>
          <w:tcPr>
            <w:tcW w:w="0" w:type="auto"/>
            <w:tcMar>
              <w:top w:w="113" w:type="dxa"/>
              <w:left w:w="113" w:type="dxa"/>
              <w:bottom w:w="113" w:type="dxa"/>
              <w:right w:w="113" w:type="dxa"/>
            </w:tcMar>
            <w:hideMark/>
          </w:tcPr>
          <w:p w14:paraId="679F3C1A"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Queen's cup</w:t>
            </w:r>
          </w:p>
        </w:tc>
        <w:tc>
          <w:tcPr>
            <w:tcW w:w="0" w:type="auto"/>
            <w:tcMar>
              <w:top w:w="113" w:type="dxa"/>
              <w:left w:w="113" w:type="dxa"/>
              <w:bottom w:w="113" w:type="dxa"/>
              <w:right w:w="113" w:type="dxa"/>
            </w:tcMar>
            <w:hideMark/>
          </w:tcPr>
          <w:p w14:paraId="62D1B278"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Herb</w:t>
            </w:r>
          </w:p>
        </w:tc>
        <w:tc>
          <w:tcPr>
            <w:tcW w:w="0" w:type="auto"/>
            <w:tcMar>
              <w:top w:w="113" w:type="dxa"/>
              <w:left w:w="113" w:type="dxa"/>
              <w:bottom w:w="113" w:type="dxa"/>
              <w:right w:w="113" w:type="dxa"/>
            </w:tcMar>
            <w:hideMark/>
          </w:tcPr>
          <w:p w14:paraId="21B89D8E"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1</w:t>
            </w:r>
          </w:p>
        </w:tc>
        <w:tc>
          <w:tcPr>
            <w:tcW w:w="0" w:type="auto"/>
            <w:tcMar>
              <w:top w:w="113" w:type="dxa"/>
              <w:left w:w="113" w:type="dxa"/>
              <w:bottom w:w="113" w:type="dxa"/>
              <w:right w:w="113" w:type="dxa"/>
            </w:tcMar>
            <w:hideMark/>
          </w:tcPr>
          <w:p w14:paraId="42812302"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AM</w:t>
            </w:r>
          </w:p>
        </w:tc>
      </w:tr>
      <w:tr w:rsidR="00495E89" w:rsidRPr="009867C1" w14:paraId="5C521AB2" w14:textId="77777777" w:rsidTr="00BA6F95">
        <w:tc>
          <w:tcPr>
            <w:tcW w:w="0" w:type="auto"/>
            <w:tcMar>
              <w:top w:w="113" w:type="dxa"/>
              <w:left w:w="113" w:type="dxa"/>
              <w:bottom w:w="113" w:type="dxa"/>
              <w:right w:w="113" w:type="dxa"/>
            </w:tcMar>
            <w:hideMark/>
          </w:tcPr>
          <w:p w14:paraId="0CA96249"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Coptis aspleniifolia</w:t>
            </w:r>
          </w:p>
        </w:tc>
        <w:tc>
          <w:tcPr>
            <w:tcW w:w="0" w:type="auto"/>
            <w:tcMar>
              <w:top w:w="113" w:type="dxa"/>
              <w:left w:w="113" w:type="dxa"/>
              <w:bottom w:w="113" w:type="dxa"/>
              <w:right w:w="113" w:type="dxa"/>
            </w:tcMar>
            <w:hideMark/>
          </w:tcPr>
          <w:p w14:paraId="592C33CE"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Fern-leaf goldthread</w:t>
            </w:r>
          </w:p>
        </w:tc>
        <w:tc>
          <w:tcPr>
            <w:tcW w:w="0" w:type="auto"/>
            <w:tcMar>
              <w:top w:w="113" w:type="dxa"/>
              <w:left w:w="113" w:type="dxa"/>
              <w:bottom w:w="113" w:type="dxa"/>
              <w:right w:w="113" w:type="dxa"/>
            </w:tcMar>
            <w:hideMark/>
          </w:tcPr>
          <w:p w14:paraId="0FCC42E6"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Herb</w:t>
            </w:r>
          </w:p>
        </w:tc>
        <w:tc>
          <w:tcPr>
            <w:tcW w:w="0" w:type="auto"/>
            <w:tcMar>
              <w:top w:w="113" w:type="dxa"/>
              <w:left w:w="113" w:type="dxa"/>
              <w:bottom w:w="113" w:type="dxa"/>
              <w:right w:w="113" w:type="dxa"/>
            </w:tcMar>
            <w:hideMark/>
          </w:tcPr>
          <w:p w14:paraId="2A2F3BF6"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1</w:t>
            </w:r>
          </w:p>
        </w:tc>
        <w:tc>
          <w:tcPr>
            <w:tcW w:w="0" w:type="auto"/>
            <w:tcMar>
              <w:top w:w="113" w:type="dxa"/>
              <w:left w:w="113" w:type="dxa"/>
              <w:bottom w:w="113" w:type="dxa"/>
              <w:right w:w="113" w:type="dxa"/>
            </w:tcMar>
            <w:hideMark/>
          </w:tcPr>
          <w:p w14:paraId="711C0E00"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AM</w:t>
            </w:r>
          </w:p>
        </w:tc>
      </w:tr>
      <w:tr w:rsidR="00495E89" w:rsidRPr="009867C1" w14:paraId="7C28BF7F" w14:textId="77777777" w:rsidTr="00BA6F95">
        <w:tc>
          <w:tcPr>
            <w:tcW w:w="0" w:type="auto"/>
            <w:tcMar>
              <w:top w:w="113" w:type="dxa"/>
              <w:left w:w="113" w:type="dxa"/>
              <w:bottom w:w="113" w:type="dxa"/>
              <w:right w:w="113" w:type="dxa"/>
            </w:tcMar>
            <w:hideMark/>
          </w:tcPr>
          <w:p w14:paraId="54D712E0"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Cornus canadensis</w:t>
            </w:r>
          </w:p>
        </w:tc>
        <w:tc>
          <w:tcPr>
            <w:tcW w:w="0" w:type="auto"/>
            <w:tcMar>
              <w:top w:w="113" w:type="dxa"/>
              <w:left w:w="113" w:type="dxa"/>
              <w:bottom w:w="113" w:type="dxa"/>
              <w:right w:w="113" w:type="dxa"/>
            </w:tcMar>
            <w:hideMark/>
          </w:tcPr>
          <w:p w14:paraId="59FC1103"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Bunchberry</w:t>
            </w:r>
          </w:p>
        </w:tc>
        <w:tc>
          <w:tcPr>
            <w:tcW w:w="0" w:type="auto"/>
            <w:tcMar>
              <w:top w:w="113" w:type="dxa"/>
              <w:left w:w="113" w:type="dxa"/>
              <w:bottom w:w="113" w:type="dxa"/>
              <w:right w:w="113" w:type="dxa"/>
            </w:tcMar>
            <w:hideMark/>
          </w:tcPr>
          <w:p w14:paraId="362580AC"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Herb</w:t>
            </w:r>
          </w:p>
        </w:tc>
        <w:tc>
          <w:tcPr>
            <w:tcW w:w="0" w:type="auto"/>
            <w:tcMar>
              <w:top w:w="113" w:type="dxa"/>
              <w:left w:w="113" w:type="dxa"/>
              <w:bottom w:w="113" w:type="dxa"/>
              <w:right w:w="113" w:type="dxa"/>
            </w:tcMar>
            <w:hideMark/>
          </w:tcPr>
          <w:p w14:paraId="57C6257E"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1</w:t>
            </w:r>
          </w:p>
        </w:tc>
        <w:tc>
          <w:tcPr>
            <w:tcW w:w="0" w:type="auto"/>
            <w:tcMar>
              <w:top w:w="113" w:type="dxa"/>
              <w:left w:w="113" w:type="dxa"/>
              <w:bottom w:w="113" w:type="dxa"/>
              <w:right w:w="113" w:type="dxa"/>
            </w:tcMar>
            <w:hideMark/>
          </w:tcPr>
          <w:p w14:paraId="679938E6"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AM</w:t>
            </w:r>
          </w:p>
        </w:tc>
      </w:tr>
      <w:tr w:rsidR="00495E89" w:rsidRPr="009867C1" w14:paraId="2E70E80B" w14:textId="77777777" w:rsidTr="00BA6F95">
        <w:tc>
          <w:tcPr>
            <w:tcW w:w="0" w:type="auto"/>
            <w:tcMar>
              <w:top w:w="113" w:type="dxa"/>
              <w:left w:w="113" w:type="dxa"/>
              <w:bottom w:w="113" w:type="dxa"/>
              <w:right w:w="113" w:type="dxa"/>
            </w:tcMar>
            <w:hideMark/>
          </w:tcPr>
          <w:p w14:paraId="42475336"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Listera caurina</w:t>
            </w:r>
          </w:p>
        </w:tc>
        <w:tc>
          <w:tcPr>
            <w:tcW w:w="0" w:type="auto"/>
            <w:tcMar>
              <w:top w:w="113" w:type="dxa"/>
              <w:left w:w="113" w:type="dxa"/>
              <w:bottom w:w="113" w:type="dxa"/>
              <w:right w:w="113" w:type="dxa"/>
            </w:tcMar>
            <w:hideMark/>
          </w:tcPr>
          <w:p w14:paraId="455023FF"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Twayblade</w:t>
            </w:r>
          </w:p>
        </w:tc>
        <w:tc>
          <w:tcPr>
            <w:tcW w:w="0" w:type="auto"/>
            <w:tcMar>
              <w:top w:w="113" w:type="dxa"/>
              <w:left w:w="113" w:type="dxa"/>
              <w:bottom w:w="113" w:type="dxa"/>
              <w:right w:w="113" w:type="dxa"/>
            </w:tcMar>
            <w:hideMark/>
          </w:tcPr>
          <w:p w14:paraId="2E81BE43"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Herb</w:t>
            </w:r>
          </w:p>
        </w:tc>
        <w:tc>
          <w:tcPr>
            <w:tcW w:w="0" w:type="auto"/>
            <w:tcMar>
              <w:top w:w="113" w:type="dxa"/>
              <w:left w:w="113" w:type="dxa"/>
              <w:bottom w:w="113" w:type="dxa"/>
              <w:right w:w="113" w:type="dxa"/>
            </w:tcMar>
            <w:hideMark/>
          </w:tcPr>
          <w:p w14:paraId="426CD4E6"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2</w:t>
            </w:r>
          </w:p>
        </w:tc>
        <w:tc>
          <w:tcPr>
            <w:tcW w:w="0" w:type="auto"/>
            <w:tcMar>
              <w:top w:w="113" w:type="dxa"/>
              <w:left w:w="113" w:type="dxa"/>
              <w:bottom w:w="113" w:type="dxa"/>
              <w:right w:w="113" w:type="dxa"/>
            </w:tcMar>
            <w:hideMark/>
          </w:tcPr>
          <w:p w14:paraId="64305D1C"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OM</w:t>
            </w:r>
          </w:p>
        </w:tc>
      </w:tr>
      <w:tr w:rsidR="00495E89" w:rsidRPr="009867C1" w14:paraId="6B9CC0B3" w14:textId="77777777" w:rsidTr="00BA6F95">
        <w:tc>
          <w:tcPr>
            <w:tcW w:w="0" w:type="auto"/>
            <w:tcMar>
              <w:top w:w="113" w:type="dxa"/>
              <w:left w:w="113" w:type="dxa"/>
              <w:bottom w:w="113" w:type="dxa"/>
              <w:right w:w="113" w:type="dxa"/>
            </w:tcMar>
            <w:hideMark/>
          </w:tcPr>
          <w:p w14:paraId="3C82C4EA"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Maianthemum dilatatum</w:t>
            </w:r>
          </w:p>
        </w:tc>
        <w:tc>
          <w:tcPr>
            <w:tcW w:w="0" w:type="auto"/>
            <w:tcMar>
              <w:top w:w="113" w:type="dxa"/>
              <w:left w:w="113" w:type="dxa"/>
              <w:bottom w:w="113" w:type="dxa"/>
              <w:right w:w="113" w:type="dxa"/>
            </w:tcMar>
            <w:hideMark/>
          </w:tcPr>
          <w:p w14:paraId="7FC91374"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False-lily-of-the-valley</w:t>
            </w:r>
          </w:p>
        </w:tc>
        <w:tc>
          <w:tcPr>
            <w:tcW w:w="0" w:type="auto"/>
            <w:tcMar>
              <w:top w:w="113" w:type="dxa"/>
              <w:left w:w="113" w:type="dxa"/>
              <w:bottom w:w="113" w:type="dxa"/>
              <w:right w:w="113" w:type="dxa"/>
            </w:tcMar>
            <w:hideMark/>
          </w:tcPr>
          <w:p w14:paraId="5FFC5029"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Herb</w:t>
            </w:r>
          </w:p>
        </w:tc>
        <w:tc>
          <w:tcPr>
            <w:tcW w:w="0" w:type="auto"/>
            <w:tcMar>
              <w:top w:w="113" w:type="dxa"/>
              <w:left w:w="113" w:type="dxa"/>
              <w:bottom w:w="113" w:type="dxa"/>
              <w:right w:w="113" w:type="dxa"/>
            </w:tcMar>
            <w:hideMark/>
          </w:tcPr>
          <w:p w14:paraId="6D9C1B05"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3</w:t>
            </w:r>
          </w:p>
        </w:tc>
        <w:tc>
          <w:tcPr>
            <w:tcW w:w="0" w:type="auto"/>
            <w:tcMar>
              <w:top w:w="113" w:type="dxa"/>
              <w:left w:w="113" w:type="dxa"/>
              <w:bottom w:w="113" w:type="dxa"/>
              <w:right w:w="113" w:type="dxa"/>
            </w:tcMar>
            <w:hideMark/>
          </w:tcPr>
          <w:p w14:paraId="18C57EC3"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AM</w:t>
            </w:r>
          </w:p>
        </w:tc>
      </w:tr>
      <w:tr w:rsidR="00495E89" w:rsidRPr="009867C1" w14:paraId="0F355EC1" w14:textId="77777777" w:rsidTr="00BA6F95">
        <w:tc>
          <w:tcPr>
            <w:tcW w:w="0" w:type="auto"/>
            <w:tcMar>
              <w:top w:w="113" w:type="dxa"/>
              <w:left w:w="113" w:type="dxa"/>
              <w:bottom w:w="113" w:type="dxa"/>
              <w:right w:w="113" w:type="dxa"/>
            </w:tcMar>
            <w:hideMark/>
          </w:tcPr>
          <w:p w14:paraId="77998644"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Poa sp.</w:t>
            </w:r>
          </w:p>
        </w:tc>
        <w:tc>
          <w:tcPr>
            <w:tcW w:w="0" w:type="auto"/>
            <w:tcMar>
              <w:top w:w="113" w:type="dxa"/>
              <w:left w:w="113" w:type="dxa"/>
              <w:bottom w:w="113" w:type="dxa"/>
              <w:right w:w="113" w:type="dxa"/>
            </w:tcMar>
            <w:hideMark/>
          </w:tcPr>
          <w:p w14:paraId="57C0C6A1"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Grass</w:t>
            </w:r>
          </w:p>
        </w:tc>
        <w:tc>
          <w:tcPr>
            <w:tcW w:w="0" w:type="auto"/>
            <w:tcMar>
              <w:top w:w="113" w:type="dxa"/>
              <w:left w:w="113" w:type="dxa"/>
              <w:bottom w:w="113" w:type="dxa"/>
              <w:right w:w="113" w:type="dxa"/>
            </w:tcMar>
            <w:hideMark/>
          </w:tcPr>
          <w:p w14:paraId="1990E5EF"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Herb</w:t>
            </w:r>
          </w:p>
        </w:tc>
        <w:tc>
          <w:tcPr>
            <w:tcW w:w="0" w:type="auto"/>
            <w:tcMar>
              <w:top w:w="113" w:type="dxa"/>
              <w:left w:w="113" w:type="dxa"/>
              <w:bottom w:w="113" w:type="dxa"/>
              <w:right w:w="113" w:type="dxa"/>
            </w:tcMar>
            <w:hideMark/>
          </w:tcPr>
          <w:p w14:paraId="66D1B453"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NA</w:t>
            </w:r>
          </w:p>
        </w:tc>
        <w:tc>
          <w:tcPr>
            <w:tcW w:w="0" w:type="auto"/>
            <w:tcMar>
              <w:top w:w="113" w:type="dxa"/>
              <w:left w:w="113" w:type="dxa"/>
              <w:bottom w:w="113" w:type="dxa"/>
              <w:right w:w="113" w:type="dxa"/>
            </w:tcMar>
            <w:hideMark/>
          </w:tcPr>
          <w:p w14:paraId="15FFBE54"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NA</w:t>
            </w:r>
          </w:p>
        </w:tc>
      </w:tr>
      <w:tr w:rsidR="00495E89" w:rsidRPr="009867C1" w14:paraId="26F4167B" w14:textId="77777777" w:rsidTr="00BA6F95">
        <w:tc>
          <w:tcPr>
            <w:tcW w:w="0" w:type="auto"/>
            <w:tcMar>
              <w:top w:w="113" w:type="dxa"/>
              <w:left w:w="113" w:type="dxa"/>
              <w:bottom w:w="113" w:type="dxa"/>
              <w:right w:w="113" w:type="dxa"/>
            </w:tcMar>
            <w:hideMark/>
          </w:tcPr>
          <w:p w14:paraId="0D80DB79"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Prenanthes alata</w:t>
            </w:r>
          </w:p>
        </w:tc>
        <w:tc>
          <w:tcPr>
            <w:tcW w:w="0" w:type="auto"/>
            <w:tcMar>
              <w:top w:w="113" w:type="dxa"/>
              <w:left w:w="113" w:type="dxa"/>
              <w:bottom w:w="113" w:type="dxa"/>
              <w:right w:w="113" w:type="dxa"/>
            </w:tcMar>
            <w:hideMark/>
          </w:tcPr>
          <w:p w14:paraId="23705DC4"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Rattlesnake root</w:t>
            </w:r>
          </w:p>
        </w:tc>
        <w:tc>
          <w:tcPr>
            <w:tcW w:w="0" w:type="auto"/>
            <w:tcMar>
              <w:top w:w="113" w:type="dxa"/>
              <w:left w:w="113" w:type="dxa"/>
              <w:bottom w:w="113" w:type="dxa"/>
              <w:right w:w="113" w:type="dxa"/>
            </w:tcMar>
            <w:hideMark/>
          </w:tcPr>
          <w:p w14:paraId="28C9F382"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Herb</w:t>
            </w:r>
          </w:p>
        </w:tc>
        <w:tc>
          <w:tcPr>
            <w:tcW w:w="0" w:type="auto"/>
            <w:tcMar>
              <w:top w:w="113" w:type="dxa"/>
              <w:left w:w="113" w:type="dxa"/>
              <w:bottom w:w="113" w:type="dxa"/>
              <w:right w:w="113" w:type="dxa"/>
            </w:tcMar>
            <w:hideMark/>
          </w:tcPr>
          <w:p w14:paraId="668F8AC1"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3</w:t>
            </w:r>
          </w:p>
        </w:tc>
        <w:tc>
          <w:tcPr>
            <w:tcW w:w="0" w:type="auto"/>
            <w:tcMar>
              <w:top w:w="113" w:type="dxa"/>
              <w:left w:w="113" w:type="dxa"/>
              <w:bottom w:w="113" w:type="dxa"/>
              <w:right w:w="113" w:type="dxa"/>
            </w:tcMar>
            <w:hideMark/>
          </w:tcPr>
          <w:p w14:paraId="2BCB07B9"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AM</w:t>
            </w:r>
          </w:p>
        </w:tc>
      </w:tr>
      <w:tr w:rsidR="00495E89" w:rsidRPr="009867C1" w14:paraId="6F1FE7E4" w14:textId="77777777" w:rsidTr="00BA6F95">
        <w:tc>
          <w:tcPr>
            <w:tcW w:w="0" w:type="auto"/>
            <w:tcMar>
              <w:top w:w="113" w:type="dxa"/>
              <w:left w:w="113" w:type="dxa"/>
              <w:bottom w:w="113" w:type="dxa"/>
              <w:right w:w="113" w:type="dxa"/>
            </w:tcMar>
            <w:hideMark/>
          </w:tcPr>
          <w:p w14:paraId="7D0F3117"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Rubus pedatus</w:t>
            </w:r>
          </w:p>
        </w:tc>
        <w:tc>
          <w:tcPr>
            <w:tcW w:w="0" w:type="auto"/>
            <w:tcMar>
              <w:top w:w="113" w:type="dxa"/>
              <w:left w:w="113" w:type="dxa"/>
              <w:bottom w:w="113" w:type="dxa"/>
              <w:right w:w="113" w:type="dxa"/>
            </w:tcMar>
            <w:hideMark/>
          </w:tcPr>
          <w:p w14:paraId="4ADB3957"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Five-leaf bramble</w:t>
            </w:r>
          </w:p>
        </w:tc>
        <w:tc>
          <w:tcPr>
            <w:tcW w:w="0" w:type="auto"/>
            <w:tcMar>
              <w:top w:w="113" w:type="dxa"/>
              <w:left w:w="113" w:type="dxa"/>
              <w:bottom w:w="113" w:type="dxa"/>
              <w:right w:w="113" w:type="dxa"/>
            </w:tcMar>
            <w:hideMark/>
          </w:tcPr>
          <w:p w14:paraId="57338D5B"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Herb</w:t>
            </w:r>
          </w:p>
        </w:tc>
        <w:tc>
          <w:tcPr>
            <w:tcW w:w="0" w:type="auto"/>
            <w:tcMar>
              <w:top w:w="113" w:type="dxa"/>
              <w:left w:w="113" w:type="dxa"/>
              <w:bottom w:w="113" w:type="dxa"/>
              <w:right w:w="113" w:type="dxa"/>
            </w:tcMar>
            <w:hideMark/>
          </w:tcPr>
          <w:p w14:paraId="6FC2B239"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1</w:t>
            </w:r>
          </w:p>
        </w:tc>
        <w:tc>
          <w:tcPr>
            <w:tcW w:w="0" w:type="auto"/>
            <w:tcMar>
              <w:top w:w="113" w:type="dxa"/>
              <w:left w:w="113" w:type="dxa"/>
              <w:bottom w:w="113" w:type="dxa"/>
              <w:right w:w="113" w:type="dxa"/>
            </w:tcMar>
            <w:hideMark/>
          </w:tcPr>
          <w:p w14:paraId="1B3C3091"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AM</w:t>
            </w:r>
          </w:p>
        </w:tc>
      </w:tr>
      <w:tr w:rsidR="00495E89" w:rsidRPr="009867C1" w14:paraId="693C1520" w14:textId="77777777" w:rsidTr="00BA6F95">
        <w:tc>
          <w:tcPr>
            <w:tcW w:w="0" w:type="auto"/>
            <w:tcMar>
              <w:top w:w="113" w:type="dxa"/>
              <w:left w:w="113" w:type="dxa"/>
              <w:bottom w:w="113" w:type="dxa"/>
              <w:right w:w="113" w:type="dxa"/>
            </w:tcMar>
            <w:hideMark/>
          </w:tcPr>
          <w:p w14:paraId="360FFF07"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Rubus ursinus</w:t>
            </w:r>
          </w:p>
        </w:tc>
        <w:tc>
          <w:tcPr>
            <w:tcW w:w="0" w:type="auto"/>
            <w:tcMar>
              <w:top w:w="113" w:type="dxa"/>
              <w:left w:w="113" w:type="dxa"/>
              <w:bottom w:w="113" w:type="dxa"/>
              <w:right w:w="113" w:type="dxa"/>
            </w:tcMar>
            <w:hideMark/>
          </w:tcPr>
          <w:p w14:paraId="1EB78A49"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Trailing blackberry</w:t>
            </w:r>
          </w:p>
        </w:tc>
        <w:tc>
          <w:tcPr>
            <w:tcW w:w="0" w:type="auto"/>
            <w:tcMar>
              <w:top w:w="113" w:type="dxa"/>
              <w:left w:w="113" w:type="dxa"/>
              <w:bottom w:w="113" w:type="dxa"/>
              <w:right w:w="113" w:type="dxa"/>
            </w:tcMar>
            <w:hideMark/>
          </w:tcPr>
          <w:p w14:paraId="0240C4BA"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Herb</w:t>
            </w:r>
          </w:p>
        </w:tc>
        <w:tc>
          <w:tcPr>
            <w:tcW w:w="0" w:type="auto"/>
            <w:tcMar>
              <w:top w:w="113" w:type="dxa"/>
              <w:left w:w="113" w:type="dxa"/>
              <w:bottom w:w="113" w:type="dxa"/>
              <w:right w:w="113" w:type="dxa"/>
            </w:tcMar>
            <w:hideMark/>
          </w:tcPr>
          <w:p w14:paraId="09C7BB83"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2</w:t>
            </w:r>
          </w:p>
        </w:tc>
        <w:tc>
          <w:tcPr>
            <w:tcW w:w="0" w:type="auto"/>
            <w:tcMar>
              <w:top w:w="113" w:type="dxa"/>
              <w:left w:w="113" w:type="dxa"/>
              <w:bottom w:w="113" w:type="dxa"/>
              <w:right w:w="113" w:type="dxa"/>
            </w:tcMar>
            <w:hideMark/>
          </w:tcPr>
          <w:p w14:paraId="4E713CF3"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AM</w:t>
            </w:r>
          </w:p>
        </w:tc>
      </w:tr>
      <w:tr w:rsidR="00495E89" w:rsidRPr="009867C1" w14:paraId="7344546A" w14:textId="77777777" w:rsidTr="00BA6F95">
        <w:tc>
          <w:tcPr>
            <w:tcW w:w="0" w:type="auto"/>
            <w:tcMar>
              <w:top w:w="113" w:type="dxa"/>
              <w:left w:w="113" w:type="dxa"/>
              <w:bottom w:w="113" w:type="dxa"/>
              <w:right w:w="113" w:type="dxa"/>
            </w:tcMar>
            <w:hideMark/>
          </w:tcPr>
          <w:p w14:paraId="41035BE5"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Sagittaria latifolia</w:t>
            </w:r>
          </w:p>
        </w:tc>
        <w:tc>
          <w:tcPr>
            <w:tcW w:w="0" w:type="auto"/>
            <w:tcMar>
              <w:top w:w="113" w:type="dxa"/>
              <w:left w:w="113" w:type="dxa"/>
              <w:bottom w:w="113" w:type="dxa"/>
              <w:right w:w="113" w:type="dxa"/>
            </w:tcMar>
            <w:hideMark/>
          </w:tcPr>
          <w:p w14:paraId="38E92FEA"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Arrowhead</w:t>
            </w:r>
          </w:p>
        </w:tc>
        <w:tc>
          <w:tcPr>
            <w:tcW w:w="0" w:type="auto"/>
            <w:tcMar>
              <w:top w:w="113" w:type="dxa"/>
              <w:left w:w="113" w:type="dxa"/>
              <w:bottom w:w="113" w:type="dxa"/>
              <w:right w:w="113" w:type="dxa"/>
            </w:tcMar>
            <w:hideMark/>
          </w:tcPr>
          <w:p w14:paraId="64E00809"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Herb</w:t>
            </w:r>
          </w:p>
        </w:tc>
        <w:tc>
          <w:tcPr>
            <w:tcW w:w="0" w:type="auto"/>
            <w:tcMar>
              <w:top w:w="113" w:type="dxa"/>
              <w:left w:w="113" w:type="dxa"/>
              <w:bottom w:w="113" w:type="dxa"/>
              <w:right w:w="113" w:type="dxa"/>
            </w:tcMar>
            <w:hideMark/>
          </w:tcPr>
          <w:p w14:paraId="01A12DEB"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NA</w:t>
            </w:r>
          </w:p>
        </w:tc>
        <w:tc>
          <w:tcPr>
            <w:tcW w:w="0" w:type="auto"/>
            <w:tcMar>
              <w:top w:w="113" w:type="dxa"/>
              <w:left w:w="113" w:type="dxa"/>
              <w:bottom w:w="113" w:type="dxa"/>
              <w:right w:w="113" w:type="dxa"/>
            </w:tcMar>
            <w:hideMark/>
          </w:tcPr>
          <w:p w14:paraId="1F6B5263"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NA</w:t>
            </w:r>
          </w:p>
        </w:tc>
      </w:tr>
      <w:tr w:rsidR="00495E89" w:rsidRPr="009867C1" w14:paraId="0A50217C" w14:textId="77777777" w:rsidTr="00BA6F95">
        <w:tc>
          <w:tcPr>
            <w:tcW w:w="0" w:type="auto"/>
            <w:tcMar>
              <w:top w:w="113" w:type="dxa"/>
              <w:left w:w="113" w:type="dxa"/>
              <w:bottom w:w="113" w:type="dxa"/>
              <w:right w:w="113" w:type="dxa"/>
            </w:tcMar>
            <w:hideMark/>
          </w:tcPr>
          <w:p w14:paraId="1F67518C"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Streptopus amplexifolius</w:t>
            </w:r>
          </w:p>
        </w:tc>
        <w:tc>
          <w:tcPr>
            <w:tcW w:w="0" w:type="auto"/>
            <w:tcMar>
              <w:top w:w="113" w:type="dxa"/>
              <w:left w:w="113" w:type="dxa"/>
              <w:bottom w:w="113" w:type="dxa"/>
              <w:right w:w="113" w:type="dxa"/>
            </w:tcMar>
            <w:hideMark/>
          </w:tcPr>
          <w:p w14:paraId="59B01A6F"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Clasping twisted stalk</w:t>
            </w:r>
          </w:p>
        </w:tc>
        <w:tc>
          <w:tcPr>
            <w:tcW w:w="0" w:type="auto"/>
            <w:tcMar>
              <w:top w:w="113" w:type="dxa"/>
              <w:left w:w="113" w:type="dxa"/>
              <w:bottom w:w="113" w:type="dxa"/>
              <w:right w:w="113" w:type="dxa"/>
            </w:tcMar>
            <w:hideMark/>
          </w:tcPr>
          <w:p w14:paraId="53F30577"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Herb</w:t>
            </w:r>
          </w:p>
        </w:tc>
        <w:tc>
          <w:tcPr>
            <w:tcW w:w="0" w:type="auto"/>
            <w:tcMar>
              <w:top w:w="113" w:type="dxa"/>
              <w:left w:w="113" w:type="dxa"/>
              <w:bottom w:w="113" w:type="dxa"/>
              <w:right w:w="113" w:type="dxa"/>
            </w:tcMar>
            <w:hideMark/>
          </w:tcPr>
          <w:p w14:paraId="2D258AB6"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3</w:t>
            </w:r>
          </w:p>
        </w:tc>
        <w:tc>
          <w:tcPr>
            <w:tcW w:w="0" w:type="auto"/>
            <w:tcMar>
              <w:top w:w="113" w:type="dxa"/>
              <w:left w:w="113" w:type="dxa"/>
              <w:bottom w:w="113" w:type="dxa"/>
              <w:right w:w="113" w:type="dxa"/>
            </w:tcMar>
            <w:hideMark/>
          </w:tcPr>
          <w:p w14:paraId="144731DA"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AM</w:t>
            </w:r>
          </w:p>
        </w:tc>
      </w:tr>
      <w:tr w:rsidR="00495E89" w:rsidRPr="009867C1" w14:paraId="2E7BD6E9" w14:textId="77777777" w:rsidTr="00BA6F95">
        <w:tc>
          <w:tcPr>
            <w:tcW w:w="0" w:type="auto"/>
            <w:tcMar>
              <w:top w:w="113" w:type="dxa"/>
              <w:left w:w="113" w:type="dxa"/>
              <w:bottom w:w="113" w:type="dxa"/>
              <w:right w:w="113" w:type="dxa"/>
            </w:tcMar>
            <w:hideMark/>
          </w:tcPr>
          <w:p w14:paraId="3F2148BF"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Tiarella trifoliata</w:t>
            </w:r>
          </w:p>
        </w:tc>
        <w:tc>
          <w:tcPr>
            <w:tcW w:w="0" w:type="auto"/>
            <w:tcMar>
              <w:top w:w="113" w:type="dxa"/>
              <w:left w:w="113" w:type="dxa"/>
              <w:bottom w:w="113" w:type="dxa"/>
              <w:right w:w="113" w:type="dxa"/>
            </w:tcMar>
            <w:hideMark/>
          </w:tcPr>
          <w:p w14:paraId="7AF091CA"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Foam flower</w:t>
            </w:r>
          </w:p>
        </w:tc>
        <w:tc>
          <w:tcPr>
            <w:tcW w:w="0" w:type="auto"/>
            <w:tcMar>
              <w:top w:w="113" w:type="dxa"/>
              <w:left w:w="113" w:type="dxa"/>
              <w:bottom w:w="113" w:type="dxa"/>
              <w:right w:w="113" w:type="dxa"/>
            </w:tcMar>
            <w:hideMark/>
          </w:tcPr>
          <w:p w14:paraId="7A15DA61"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Herb</w:t>
            </w:r>
          </w:p>
        </w:tc>
        <w:tc>
          <w:tcPr>
            <w:tcW w:w="0" w:type="auto"/>
            <w:tcMar>
              <w:top w:w="113" w:type="dxa"/>
              <w:left w:w="113" w:type="dxa"/>
              <w:bottom w:w="113" w:type="dxa"/>
              <w:right w:w="113" w:type="dxa"/>
            </w:tcMar>
            <w:hideMark/>
          </w:tcPr>
          <w:p w14:paraId="3367BFF0"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3</w:t>
            </w:r>
          </w:p>
        </w:tc>
        <w:tc>
          <w:tcPr>
            <w:tcW w:w="0" w:type="auto"/>
            <w:tcMar>
              <w:top w:w="113" w:type="dxa"/>
              <w:left w:w="113" w:type="dxa"/>
              <w:bottom w:w="113" w:type="dxa"/>
              <w:right w:w="113" w:type="dxa"/>
            </w:tcMar>
            <w:hideMark/>
          </w:tcPr>
          <w:p w14:paraId="2E3B280A"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AM</w:t>
            </w:r>
          </w:p>
        </w:tc>
      </w:tr>
      <w:tr w:rsidR="00495E89" w:rsidRPr="009867C1" w14:paraId="228D8749" w14:textId="77777777" w:rsidTr="00BA6F95">
        <w:tc>
          <w:tcPr>
            <w:tcW w:w="0" w:type="auto"/>
            <w:tcMar>
              <w:top w:w="113" w:type="dxa"/>
              <w:left w:w="113" w:type="dxa"/>
              <w:bottom w:w="113" w:type="dxa"/>
              <w:right w:w="113" w:type="dxa"/>
            </w:tcMar>
            <w:hideMark/>
          </w:tcPr>
          <w:p w14:paraId="5FF062DD"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Veratrum eschscholtzii</w:t>
            </w:r>
          </w:p>
        </w:tc>
        <w:tc>
          <w:tcPr>
            <w:tcW w:w="0" w:type="auto"/>
            <w:tcMar>
              <w:top w:w="113" w:type="dxa"/>
              <w:left w:w="113" w:type="dxa"/>
              <w:bottom w:w="113" w:type="dxa"/>
              <w:right w:w="113" w:type="dxa"/>
            </w:tcMar>
            <w:hideMark/>
          </w:tcPr>
          <w:p w14:paraId="240D974C"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Indian hellbore</w:t>
            </w:r>
          </w:p>
        </w:tc>
        <w:tc>
          <w:tcPr>
            <w:tcW w:w="0" w:type="auto"/>
            <w:tcMar>
              <w:top w:w="113" w:type="dxa"/>
              <w:left w:w="113" w:type="dxa"/>
              <w:bottom w:w="113" w:type="dxa"/>
              <w:right w:w="113" w:type="dxa"/>
            </w:tcMar>
            <w:hideMark/>
          </w:tcPr>
          <w:p w14:paraId="3871FE60"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Herb</w:t>
            </w:r>
          </w:p>
        </w:tc>
        <w:tc>
          <w:tcPr>
            <w:tcW w:w="0" w:type="auto"/>
            <w:tcMar>
              <w:top w:w="113" w:type="dxa"/>
              <w:left w:w="113" w:type="dxa"/>
              <w:bottom w:w="113" w:type="dxa"/>
              <w:right w:w="113" w:type="dxa"/>
            </w:tcMar>
            <w:hideMark/>
          </w:tcPr>
          <w:p w14:paraId="08387275"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3</w:t>
            </w:r>
          </w:p>
        </w:tc>
        <w:tc>
          <w:tcPr>
            <w:tcW w:w="0" w:type="auto"/>
            <w:tcMar>
              <w:top w:w="113" w:type="dxa"/>
              <w:left w:w="113" w:type="dxa"/>
              <w:bottom w:w="113" w:type="dxa"/>
              <w:right w:w="113" w:type="dxa"/>
            </w:tcMar>
            <w:hideMark/>
          </w:tcPr>
          <w:p w14:paraId="788BB437"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AM</w:t>
            </w:r>
          </w:p>
        </w:tc>
      </w:tr>
      <w:tr w:rsidR="00495E89" w:rsidRPr="009867C1" w14:paraId="3BBF9763" w14:textId="77777777" w:rsidTr="00BA6F95">
        <w:tc>
          <w:tcPr>
            <w:tcW w:w="0" w:type="auto"/>
            <w:tcMar>
              <w:top w:w="113" w:type="dxa"/>
              <w:left w:w="113" w:type="dxa"/>
              <w:bottom w:w="113" w:type="dxa"/>
              <w:right w:w="113" w:type="dxa"/>
            </w:tcMar>
            <w:hideMark/>
          </w:tcPr>
          <w:p w14:paraId="2A8BC52D"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Viola glabella</w:t>
            </w:r>
          </w:p>
        </w:tc>
        <w:tc>
          <w:tcPr>
            <w:tcW w:w="0" w:type="auto"/>
            <w:tcMar>
              <w:top w:w="113" w:type="dxa"/>
              <w:left w:w="113" w:type="dxa"/>
              <w:bottom w:w="113" w:type="dxa"/>
              <w:right w:w="113" w:type="dxa"/>
            </w:tcMar>
            <w:hideMark/>
          </w:tcPr>
          <w:p w14:paraId="4F181807"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Violet</w:t>
            </w:r>
          </w:p>
        </w:tc>
        <w:tc>
          <w:tcPr>
            <w:tcW w:w="0" w:type="auto"/>
            <w:tcMar>
              <w:top w:w="113" w:type="dxa"/>
              <w:left w:w="113" w:type="dxa"/>
              <w:bottom w:w="113" w:type="dxa"/>
              <w:right w:w="113" w:type="dxa"/>
            </w:tcMar>
            <w:hideMark/>
          </w:tcPr>
          <w:p w14:paraId="6A5EA5B9"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Herb</w:t>
            </w:r>
          </w:p>
        </w:tc>
        <w:tc>
          <w:tcPr>
            <w:tcW w:w="0" w:type="auto"/>
            <w:tcMar>
              <w:top w:w="113" w:type="dxa"/>
              <w:left w:w="113" w:type="dxa"/>
              <w:bottom w:w="113" w:type="dxa"/>
              <w:right w:w="113" w:type="dxa"/>
            </w:tcMar>
            <w:hideMark/>
          </w:tcPr>
          <w:p w14:paraId="4C089A99"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3</w:t>
            </w:r>
          </w:p>
        </w:tc>
        <w:tc>
          <w:tcPr>
            <w:tcW w:w="0" w:type="auto"/>
            <w:tcMar>
              <w:top w:w="113" w:type="dxa"/>
              <w:left w:w="113" w:type="dxa"/>
              <w:bottom w:w="113" w:type="dxa"/>
              <w:right w:w="113" w:type="dxa"/>
            </w:tcMar>
            <w:hideMark/>
          </w:tcPr>
          <w:p w14:paraId="011FCB1C"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AM</w:t>
            </w:r>
          </w:p>
        </w:tc>
      </w:tr>
      <w:tr w:rsidR="00495E89" w:rsidRPr="009867C1" w14:paraId="6659B871" w14:textId="77777777" w:rsidTr="00BA6F95">
        <w:tc>
          <w:tcPr>
            <w:tcW w:w="0" w:type="auto"/>
            <w:tcMar>
              <w:top w:w="113" w:type="dxa"/>
              <w:left w:w="113" w:type="dxa"/>
              <w:bottom w:w="113" w:type="dxa"/>
              <w:right w:w="113" w:type="dxa"/>
            </w:tcMar>
            <w:hideMark/>
          </w:tcPr>
          <w:p w14:paraId="401F7CDE"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Athyrium filix-femina</w:t>
            </w:r>
          </w:p>
        </w:tc>
        <w:tc>
          <w:tcPr>
            <w:tcW w:w="0" w:type="auto"/>
            <w:tcMar>
              <w:top w:w="113" w:type="dxa"/>
              <w:left w:w="113" w:type="dxa"/>
              <w:bottom w:w="113" w:type="dxa"/>
              <w:right w:w="113" w:type="dxa"/>
            </w:tcMar>
            <w:hideMark/>
          </w:tcPr>
          <w:p w14:paraId="13063608"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Lady fern</w:t>
            </w:r>
          </w:p>
        </w:tc>
        <w:tc>
          <w:tcPr>
            <w:tcW w:w="0" w:type="auto"/>
            <w:tcMar>
              <w:top w:w="113" w:type="dxa"/>
              <w:left w:w="113" w:type="dxa"/>
              <w:bottom w:w="113" w:type="dxa"/>
              <w:right w:w="113" w:type="dxa"/>
            </w:tcMar>
            <w:hideMark/>
          </w:tcPr>
          <w:p w14:paraId="70537B2A"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Fern</w:t>
            </w:r>
          </w:p>
        </w:tc>
        <w:tc>
          <w:tcPr>
            <w:tcW w:w="0" w:type="auto"/>
            <w:tcMar>
              <w:top w:w="113" w:type="dxa"/>
              <w:left w:w="113" w:type="dxa"/>
              <w:bottom w:w="113" w:type="dxa"/>
              <w:right w:w="113" w:type="dxa"/>
            </w:tcMar>
            <w:hideMark/>
          </w:tcPr>
          <w:p w14:paraId="4DA8E52E"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3</w:t>
            </w:r>
          </w:p>
        </w:tc>
        <w:tc>
          <w:tcPr>
            <w:tcW w:w="0" w:type="auto"/>
            <w:tcMar>
              <w:top w:w="113" w:type="dxa"/>
              <w:left w:w="113" w:type="dxa"/>
              <w:bottom w:w="113" w:type="dxa"/>
              <w:right w:w="113" w:type="dxa"/>
            </w:tcMar>
            <w:hideMark/>
          </w:tcPr>
          <w:p w14:paraId="636CF757"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AM</w:t>
            </w:r>
          </w:p>
        </w:tc>
      </w:tr>
      <w:tr w:rsidR="00495E89" w:rsidRPr="009867C1" w14:paraId="79AA970C" w14:textId="77777777" w:rsidTr="00BA6F95">
        <w:tc>
          <w:tcPr>
            <w:tcW w:w="0" w:type="auto"/>
            <w:tcMar>
              <w:top w:w="113" w:type="dxa"/>
              <w:left w:w="113" w:type="dxa"/>
              <w:bottom w:w="113" w:type="dxa"/>
              <w:right w:w="113" w:type="dxa"/>
            </w:tcMar>
            <w:hideMark/>
          </w:tcPr>
          <w:p w14:paraId="1B05C036"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Blechnum spicant</w:t>
            </w:r>
          </w:p>
        </w:tc>
        <w:tc>
          <w:tcPr>
            <w:tcW w:w="0" w:type="auto"/>
            <w:tcMar>
              <w:top w:w="113" w:type="dxa"/>
              <w:left w:w="113" w:type="dxa"/>
              <w:bottom w:w="113" w:type="dxa"/>
              <w:right w:w="113" w:type="dxa"/>
            </w:tcMar>
            <w:hideMark/>
          </w:tcPr>
          <w:p w14:paraId="46ABA671"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Deer fern</w:t>
            </w:r>
          </w:p>
        </w:tc>
        <w:tc>
          <w:tcPr>
            <w:tcW w:w="0" w:type="auto"/>
            <w:tcMar>
              <w:top w:w="113" w:type="dxa"/>
              <w:left w:w="113" w:type="dxa"/>
              <w:bottom w:w="113" w:type="dxa"/>
              <w:right w:w="113" w:type="dxa"/>
            </w:tcMar>
            <w:hideMark/>
          </w:tcPr>
          <w:p w14:paraId="421D1A30"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Fern</w:t>
            </w:r>
          </w:p>
        </w:tc>
        <w:tc>
          <w:tcPr>
            <w:tcW w:w="0" w:type="auto"/>
            <w:tcMar>
              <w:top w:w="113" w:type="dxa"/>
              <w:left w:w="113" w:type="dxa"/>
              <w:bottom w:w="113" w:type="dxa"/>
              <w:right w:w="113" w:type="dxa"/>
            </w:tcMar>
            <w:hideMark/>
          </w:tcPr>
          <w:p w14:paraId="718274CF"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1</w:t>
            </w:r>
          </w:p>
        </w:tc>
        <w:tc>
          <w:tcPr>
            <w:tcW w:w="0" w:type="auto"/>
            <w:tcMar>
              <w:top w:w="113" w:type="dxa"/>
              <w:left w:w="113" w:type="dxa"/>
              <w:bottom w:w="113" w:type="dxa"/>
              <w:right w:w="113" w:type="dxa"/>
            </w:tcMar>
            <w:hideMark/>
          </w:tcPr>
          <w:p w14:paraId="34C80D14"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AM</w:t>
            </w:r>
          </w:p>
        </w:tc>
      </w:tr>
      <w:tr w:rsidR="00495E89" w:rsidRPr="009867C1" w14:paraId="4B91DE14" w14:textId="77777777" w:rsidTr="00BA6F95">
        <w:tc>
          <w:tcPr>
            <w:tcW w:w="0" w:type="auto"/>
            <w:tcMar>
              <w:top w:w="113" w:type="dxa"/>
              <w:left w:w="113" w:type="dxa"/>
              <w:bottom w:w="113" w:type="dxa"/>
              <w:right w:w="113" w:type="dxa"/>
            </w:tcMar>
            <w:hideMark/>
          </w:tcPr>
          <w:p w14:paraId="20719EF2"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Dryopteris expansa</w:t>
            </w:r>
          </w:p>
        </w:tc>
        <w:tc>
          <w:tcPr>
            <w:tcW w:w="0" w:type="auto"/>
            <w:tcMar>
              <w:top w:w="113" w:type="dxa"/>
              <w:left w:w="113" w:type="dxa"/>
              <w:bottom w:w="113" w:type="dxa"/>
              <w:right w:w="113" w:type="dxa"/>
            </w:tcMar>
            <w:hideMark/>
          </w:tcPr>
          <w:p w14:paraId="41EB7FDB"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Spiny wood fern</w:t>
            </w:r>
          </w:p>
        </w:tc>
        <w:tc>
          <w:tcPr>
            <w:tcW w:w="0" w:type="auto"/>
            <w:tcMar>
              <w:top w:w="113" w:type="dxa"/>
              <w:left w:w="113" w:type="dxa"/>
              <w:bottom w:w="113" w:type="dxa"/>
              <w:right w:w="113" w:type="dxa"/>
            </w:tcMar>
            <w:hideMark/>
          </w:tcPr>
          <w:p w14:paraId="0294DB84"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Fern</w:t>
            </w:r>
          </w:p>
        </w:tc>
        <w:tc>
          <w:tcPr>
            <w:tcW w:w="0" w:type="auto"/>
            <w:tcMar>
              <w:top w:w="113" w:type="dxa"/>
              <w:left w:w="113" w:type="dxa"/>
              <w:bottom w:w="113" w:type="dxa"/>
              <w:right w:w="113" w:type="dxa"/>
            </w:tcMar>
            <w:hideMark/>
          </w:tcPr>
          <w:p w14:paraId="23B5FA19"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2</w:t>
            </w:r>
          </w:p>
        </w:tc>
        <w:tc>
          <w:tcPr>
            <w:tcW w:w="0" w:type="auto"/>
            <w:tcMar>
              <w:top w:w="113" w:type="dxa"/>
              <w:left w:w="113" w:type="dxa"/>
              <w:bottom w:w="113" w:type="dxa"/>
              <w:right w:w="113" w:type="dxa"/>
            </w:tcMar>
            <w:hideMark/>
          </w:tcPr>
          <w:p w14:paraId="17484BD5"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AM</w:t>
            </w:r>
          </w:p>
        </w:tc>
      </w:tr>
      <w:tr w:rsidR="00495E89" w:rsidRPr="009867C1" w14:paraId="37A22CDC" w14:textId="77777777" w:rsidTr="00BA6F95">
        <w:tc>
          <w:tcPr>
            <w:tcW w:w="0" w:type="auto"/>
            <w:tcMar>
              <w:top w:w="113" w:type="dxa"/>
              <w:left w:w="113" w:type="dxa"/>
              <w:bottom w:w="113" w:type="dxa"/>
              <w:right w:w="113" w:type="dxa"/>
            </w:tcMar>
            <w:hideMark/>
          </w:tcPr>
          <w:p w14:paraId="36018BD8"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Gymnocarpium dryopteris</w:t>
            </w:r>
          </w:p>
        </w:tc>
        <w:tc>
          <w:tcPr>
            <w:tcW w:w="0" w:type="auto"/>
            <w:tcMar>
              <w:top w:w="113" w:type="dxa"/>
              <w:left w:w="113" w:type="dxa"/>
              <w:bottom w:w="113" w:type="dxa"/>
              <w:right w:w="113" w:type="dxa"/>
            </w:tcMar>
            <w:hideMark/>
          </w:tcPr>
          <w:p w14:paraId="745EAA7E"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Oak fern</w:t>
            </w:r>
          </w:p>
        </w:tc>
        <w:tc>
          <w:tcPr>
            <w:tcW w:w="0" w:type="auto"/>
            <w:tcMar>
              <w:top w:w="113" w:type="dxa"/>
              <w:left w:w="113" w:type="dxa"/>
              <w:bottom w:w="113" w:type="dxa"/>
              <w:right w:w="113" w:type="dxa"/>
            </w:tcMar>
            <w:hideMark/>
          </w:tcPr>
          <w:p w14:paraId="6EBF997C"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Fern</w:t>
            </w:r>
          </w:p>
        </w:tc>
        <w:tc>
          <w:tcPr>
            <w:tcW w:w="0" w:type="auto"/>
            <w:tcMar>
              <w:top w:w="113" w:type="dxa"/>
              <w:left w:w="113" w:type="dxa"/>
              <w:bottom w:w="113" w:type="dxa"/>
              <w:right w:w="113" w:type="dxa"/>
            </w:tcMar>
            <w:hideMark/>
          </w:tcPr>
          <w:p w14:paraId="477011AC"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3</w:t>
            </w:r>
          </w:p>
        </w:tc>
        <w:tc>
          <w:tcPr>
            <w:tcW w:w="0" w:type="auto"/>
            <w:tcMar>
              <w:top w:w="113" w:type="dxa"/>
              <w:left w:w="113" w:type="dxa"/>
              <w:bottom w:w="113" w:type="dxa"/>
              <w:right w:w="113" w:type="dxa"/>
            </w:tcMar>
            <w:hideMark/>
          </w:tcPr>
          <w:p w14:paraId="3162D56B"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AM</w:t>
            </w:r>
          </w:p>
        </w:tc>
      </w:tr>
      <w:tr w:rsidR="00495E89" w:rsidRPr="009867C1" w14:paraId="053DD219" w14:textId="77777777" w:rsidTr="00BA6F95">
        <w:tc>
          <w:tcPr>
            <w:tcW w:w="0" w:type="auto"/>
            <w:tcMar>
              <w:top w:w="113" w:type="dxa"/>
              <w:left w:w="113" w:type="dxa"/>
              <w:bottom w:w="113" w:type="dxa"/>
              <w:right w:w="113" w:type="dxa"/>
            </w:tcMar>
            <w:hideMark/>
          </w:tcPr>
          <w:p w14:paraId="639FB63B"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Phegopteris connectilis</w:t>
            </w:r>
          </w:p>
        </w:tc>
        <w:tc>
          <w:tcPr>
            <w:tcW w:w="0" w:type="auto"/>
            <w:tcMar>
              <w:top w:w="113" w:type="dxa"/>
              <w:left w:w="113" w:type="dxa"/>
              <w:bottom w:w="113" w:type="dxa"/>
              <w:right w:w="113" w:type="dxa"/>
            </w:tcMar>
            <w:hideMark/>
          </w:tcPr>
          <w:p w14:paraId="011EEC20"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Beech fern</w:t>
            </w:r>
          </w:p>
        </w:tc>
        <w:tc>
          <w:tcPr>
            <w:tcW w:w="0" w:type="auto"/>
            <w:tcMar>
              <w:top w:w="113" w:type="dxa"/>
              <w:left w:w="113" w:type="dxa"/>
              <w:bottom w:w="113" w:type="dxa"/>
              <w:right w:w="113" w:type="dxa"/>
            </w:tcMar>
            <w:hideMark/>
          </w:tcPr>
          <w:p w14:paraId="1A553050"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Fern</w:t>
            </w:r>
          </w:p>
        </w:tc>
        <w:tc>
          <w:tcPr>
            <w:tcW w:w="0" w:type="auto"/>
            <w:tcMar>
              <w:top w:w="113" w:type="dxa"/>
              <w:left w:w="113" w:type="dxa"/>
              <w:bottom w:w="113" w:type="dxa"/>
              <w:right w:w="113" w:type="dxa"/>
            </w:tcMar>
            <w:hideMark/>
          </w:tcPr>
          <w:p w14:paraId="512B38BE"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3</w:t>
            </w:r>
          </w:p>
        </w:tc>
        <w:tc>
          <w:tcPr>
            <w:tcW w:w="0" w:type="auto"/>
            <w:tcMar>
              <w:top w:w="113" w:type="dxa"/>
              <w:left w:w="113" w:type="dxa"/>
              <w:bottom w:w="113" w:type="dxa"/>
              <w:right w:w="113" w:type="dxa"/>
            </w:tcMar>
            <w:hideMark/>
          </w:tcPr>
          <w:p w14:paraId="022CA18A"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AM</w:t>
            </w:r>
          </w:p>
        </w:tc>
      </w:tr>
      <w:tr w:rsidR="00495E89" w:rsidRPr="009867C1" w14:paraId="39DFD5D5" w14:textId="77777777" w:rsidTr="00BA6F95">
        <w:tc>
          <w:tcPr>
            <w:tcW w:w="0" w:type="auto"/>
            <w:tcMar>
              <w:top w:w="113" w:type="dxa"/>
              <w:left w:w="113" w:type="dxa"/>
              <w:bottom w:w="113" w:type="dxa"/>
              <w:right w:w="113" w:type="dxa"/>
            </w:tcMar>
            <w:hideMark/>
          </w:tcPr>
          <w:p w14:paraId="2FB1CDF2"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Pityrogramma triangularis</w:t>
            </w:r>
          </w:p>
        </w:tc>
        <w:tc>
          <w:tcPr>
            <w:tcW w:w="0" w:type="auto"/>
            <w:tcMar>
              <w:top w:w="113" w:type="dxa"/>
              <w:left w:w="113" w:type="dxa"/>
              <w:bottom w:w="113" w:type="dxa"/>
              <w:right w:w="113" w:type="dxa"/>
            </w:tcMar>
            <w:hideMark/>
          </w:tcPr>
          <w:p w14:paraId="5336849C"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Goldenback fern</w:t>
            </w:r>
          </w:p>
        </w:tc>
        <w:tc>
          <w:tcPr>
            <w:tcW w:w="0" w:type="auto"/>
            <w:tcMar>
              <w:top w:w="113" w:type="dxa"/>
              <w:left w:w="113" w:type="dxa"/>
              <w:bottom w:w="113" w:type="dxa"/>
              <w:right w:w="113" w:type="dxa"/>
            </w:tcMar>
            <w:hideMark/>
          </w:tcPr>
          <w:p w14:paraId="6D8A3F1B"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Fern</w:t>
            </w:r>
          </w:p>
        </w:tc>
        <w:tc>
          <w:tcPr>
            <w:tcW w:w="0" w:type="auto"/>
            <w:tcMar>
              <w:top w:w="113" w:type="dxa"/>
              <w:left w:w="113" w:type="dxa"/>
              <w:bottom w:w="113" w:type="dxa"/>
              <w:right w:w="113" w:type="dxa"/>
            </w:tcMar>
            <w:hideMark/>
          </w:tcPr>
          <w:p w14:paraId="6BA3DCA7"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NA</w:t>
            </w:r>
          </w:p>
        </w:tc>
        <w:tc>
          <w:tcPr>
            <w:tcW w:w="0" w:type="auto"/>
            <w:tcMar>
              <w:top w:w="113" w:type="dxa"/>
              <w:left w:w="113" w:type="dxa"/>
              <w:bottom w:w="113" w:type="dxa"/>
              <w:right w:w="113" w:type="dxa"/>
            </w:tcMar>
            <w:hideMark/>
          </w:tcPr>
          <w:p w14:paraId="0854D79A"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NA</w:t>
            </w:r>
          </w:p>
        </w:tc>
      </w:tr>
      <w:tr w:rsidR="00495E89" w:rsidRPr="009867C1" w14:paraId="2725CAD8" w14:textId="77777777" w:rsidTr="00BA6F95">
        <w:tc>
          <w:tcPr>
            <w:tcW w:w="0" w:type="auto"/>
            <w:tcMar>
              <w:top w:w="113" w:type="dxa"/>
              <w:left w:w="113" w:type="dxa"/>
              <w:bottom w:w="113" w:type="dxa"/>
              <w:right w:w="113" w:type="dxa"/>
            </w:tcMar>
            <w:hideMark/>
          </w:tcPr>
          <w:p w14:paraId="5B1B30A2"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Polystichum munitum</w:t>
            </w:r>
          </w:p>
        </w:tc>
        <w:tc>
          <w:tcPr>
            <w:tcW w:w="0" w:type="auto"/>
            <w:tcMar>
              <w:top w:w="113" w:type="dxa"/>
              <w:left w:w="113" w:type="dxa"/>
              <w:bottom w:w="113" w:type="dxa"/>
              <w:right w:w="113" w:type="dxa"/>
            </w:tcMar>
            <w:hideMark/>
          </w:tcPr>
          <w:p w14:paraId="3D25920A"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Sword fern</w:t>
            </w:r>
          </w:p>
        </w:tc>
        <w:tc>
          <w:tcPr>
            <w:tcW w:w="0" w:type="auto"/>
            <w:tcMar>
              <w:top w:w="113" w:type="dxa"/>
              <w:left w:w="113" w:type="dxa"/>
              <w:bottom w:w="113" w:type="dxa"/>
              <w:right w:w="113" w:type="dxa"/>
            </w:tcMar>
            <w:hideMark/>
          </w:tcPr>
          <w:p w14:paraId="656065A5"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Fern</w:t>
            </w:r>
          </w:p>
        </w:tc>
        <w:tc>
          <w:tcPr>
            <w:tcW w:w="0" w:type="auto"/>
            <w:tcMar>
              <w:top w:w="113" w:type="dxa"/>
              <w:left w:w="113" w:type="dxa"/>
              <w:bottom w:w="113" w:type="dxa"/>
              <w:right w:w="113" w:type="dxa"/>
            </w:tcMar>
            <w:hideMark/>
          </w:tcPr>
          <w:p w14:paraId="3E2846E1"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3</w:t>
            </w:r>
          </w:p>
        </w:tc>
        <w:tc>
          <w:tcPr>
            <w:tcW w:w="0" w:type="auto"/>
            <w:tcMar>
              <w:top w:w="113" w:type="dxa"/>
              <w:left w:w="113" w:type="dxa"/>
              <w:bottom w:w="113" w:type="dxa"/>
              <w:right w:w="113" w:type="dxa"/>
            </w:tcMar>
            <w:hideMark/>
          </w:tcPr>
          <w:p w14:paraId="2A33FAB5"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AM</w:t>
            </w:r>
          </w:p>
        </w:tc>
      </w:tr>
      <w:tr w:rsidR="00495E89" w:rsidRPr="009867C1" w14:paraId="4E69F87D" w14:textId="77777777" w:rsidTr="00BA6F95">
        <w:tc>
          <w:tcPr>
            <w:tcW w:w="0" w:type="auto"/>
            <w:tcMar>
              <w:top w:w="113" w:type="dxa"/>
              <w:left w:w="113" w:type="dxa"/>
              <w:bottom w:w="113" w:type="dxa"/>
              <w:right w:w="113" w:type="dxa"/>
            </w:tcMar>
            <w:hideMark/>
          </w:tcPr>
          <w:p w14:paraId="6FE3992E"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Pteridium aquilinum</w:t>
            </w:r>
          </w:p>
        </w:tc>
        <w:tc>
          <w:tcPr>
            <w:tcW w:w="0" w:type="auto"/>
            <w:tcMar>
              <w:top w:w="113" w:type="dxa"/>
              <w:left w:w="113" w:type="dxa"/>
              <w:bottom w:w="113" w:type="dxa"/>
              <w:right w:w="113" w:type="dxa"/>
            </w:tcMar>
            <w:hideMark/>
          </w:tcPr>
          <w:p w14:paraId="09787C51"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Bracken fern</w:t>
            </w:r>
          </w:p>
        </w:tc>
        <w:tc>
          <w:tcPr>
            <w:tcW w:w="0" w:type="auto"/>
            <w:tcMar>
              <w:top w:w="113" w:type="dxa"/>
              <w:left w:w="113" w:type="dxa"/>
              <w:bottom w:w="113" w:type="dxa"/>
              <w:right w:w="113" w:type="dxa"/>
            </w:tcMar>
            <w:hideMark/>
          </w:tcPr>
          <w:p w14:paraId="6E45D39D"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Fern</w:t>
            </w:r>
          </w:p>
        </w:tc>
        <w:tc>
          <w:tcPr>
            <w:tcW w:w="0" w:type="auto"/>
            <w:tcMar>
              <w:top w:w="113" w:type="dxa"/>
              <w:left w:w="113" w:type="dxa"/>
              <w:bottom w:w="113" w:type="dxa"/>
              <w:right w:w="113" w:type="dxa"/>
            </w:tcMar>
            <w:hideMark/>
          </w:tcPr>
          <w:p w14:paraId="07D423FA"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NA</w:t>
            </w:r>
          </w:p>
        </w:tc>
        <w:tc>
          <w:tcPr>
            <w:tcW w:w="0" w:type="auto"/>
            <w:tcMar>
              <w:top w:w="113" w:type="dxa"/>
              <w:left w:w="113" w:type="dxa"/>
              <w:bottom w:w="113" w:type="dxa"/>
              <w:right w:w="113" w:type="dxa"/>
            </w:tcMar>
            <w:hideMark/>
          </w:tcPr>
          <w:p w14:paraId="7074DDB2"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AM</w:t>
            </w:r>
          </w:p>
        </w:tc>
      </w:tr>
      <w:tr w:rsidR="00495E89" w:rsidRPr="009867C1" w14:paraId="632FA008" w14:textId="77777777" w:rsidTr="00BA6F95">
        <w:tc>
          <w:tcPr>
            <w:tcW w:w="0" w:type="auto"/>
            <w:tcMar>
              <w:top w:w="113" w:type="dxa"/>
              <w:left w:w="113" w:type="dxa"/>
              <w:bottom w:w="113" w:type="dxa"/>
              <w:right w:w="113" w:type="dxa"/>
            </w:tcMar>
            <w:hideMark/>
          </w:tcPr>
          <w:p w14:paraId="526EB2F1"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Gaultheria shallon</w:t>
            </w:r>
          </w:p>
        </w:tc>
        <w:tc>
          <w:tcPr>
            <w:tcW w:w="0" w:type="auto"/>
            <w:tcMar>
              <w:top w:w="113" w:type="dxa"/>
              <w:left w:w="113" w:type="dxa"/>
              <w:bottom w:w="113" w:type="dxa"/>
              <w:right w:w="113" w:type="dxa"/>
            </w:tcMar>
            <w:hideMark/>
          </w:tcPr>
          <w:p w14:paraId="7BD3B817"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Salal</w:t>
            </w:r>
          </w:p>
        </w:tc>
        <w:tc>
          <w:tcPr>
            <w:tcW w:w="0" w:type="auto"/>
            <w:tcMar>
              <w:top w:w="113" w:type="dxa"/>
              <w:left w:w="113" w:type="dxa"/>
              <w:bottom w:w="113" w:type="dxa"/>
              <w:right w:w="113" w:type="dxa"/>
            </w:tcMar>
            <w:hideMark/>
          </w:tcPr>
          <w:p w14:paraId="044A43D1"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Shrub</w:t>
            </w:r>
          </w:p>
        </w:tc>
        <w:tc>
          <w:tcPr>
            <w:tcW w:w="0" w:type="auto"/>
            <w:tcMar>
              <w:top w:w="113" w:type="dxa"/>
              <w:left w:w="113" w:type="dxa"/>
              <w:bottom w:w="113" w:type="dxa"/>
              <w:right w:w="113" w:type="dxa"/>
            </w:tcMar>
            <w:hideMark/>
          </w:tcPr>
          <w:p w14:paraId="30186D56"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1</w:t>
            </w:r>
          </w:p>
        </w:tc>
        <w:tc>
          <w:tcPr>
            <w:tcW w:w="0" w:type="auto"/>
            <w:tcMar>
              <w:top w:w="113" w:type="dxa"/>
              <w:left w:w="113" w:type="dxa"/>
              <w:bottom w:w="113" w:type="dxa"/>
              <w:right w:w="113" w:type="dxa"/>
            </w:tcMar>
            <w:hideMark/>
          </w:tcPr>
          <w:p w14:paraId="34274FDD"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ErM</w:t>
            </w:r>
          </w:p>
        </w:tc>
      </w:tr>
      <w:tr w:rsidR="00495E89" w:rsidRPr="009867C1" w14:paraId="5625A783" w14:textId="77777777" w:rsidTr="00BA6F95">
        <w:tc>
          <w:tcPr>
            <w:tcW w:w="0" w:type="auto"/>
            <w:tcMar>
              <w:top w:w="113" w:type="dxa"/>
              <w:left w:w="113" w:type="dxa"/>
              <w:bottom w:w="113" w:type="dxa"/>
              <w:right w:w="113" w:type="dxa"/>
            </w:tcMar>
            <w:hideMark/>
          </w:tcPr>
          <w:p w14:paraId="351B4F70"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Ledum groenlandicum</w:t>
            </w:r>
          </w:p>
        </w:tc>
        <w:tc>
          <w:tcPr>
            <w:tcW w:w="0" w:type="auto"/>
            <w:tcMar>
              <w:top w:w="113" w:type="dxa"/>
              <w:left w:w="113" w:type="dxa"/>
              <w:bottom w:w="113" w:type="dxa"/>
              <w:right w:w="113" w:type="dxa"/>
            </w:tcMar>
            <w:hideMark/>
          </w:tcPr>
          <w:p w14:paraId="73C3512E"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Labrador Tea</w:t>
            </w:r>
          </w:p>
        </w:tc>
        <w:tc>
          <w:tcPr>
            <w:tcW w:w="0" w:type="auto"/>
            <w:tcMar>
              <w:top w:w="113" w:type="dxa"/>
              <w:left w:w="113" w:type="dxa"/>
              <w:bottom w:w="113" w:type="dxa"/>
              <w:right w:w="113" w:type="dxa"/>
            </w:tcMar>
            <w:hideMark/>
          </w:tcPr>
          <w:p w14:paraId="270E3538"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Shrub</w:t>
            </w:r>
          </w:p>
        </w:tc>
        <w:tc>
          <w:tcPr>
            <w:tcW w:w="0" w:type="auto"/>
            <w:tcMar>
              <w:top w:w="113" w:type="dxa"/>
              <w:left w:w="113" w:type="dxa"/>
              <w:bottom w:w="113" w:type="dxa"/>
              <w:right w:w="113" w:type="dxa"/>
            </w:tcMar>
            <w:hideMark/>
          </w:tcPr>
          <w:p w14:paraId="671C6136"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1</w:t>
            </w:r>
          </w:p>
        </w:tc>
        <w:tc>
          <w:tcPr>
            <w:tcW w:w="0" w:type="auto"/>
            <w:tcMar>
              <w:top w:w="113" w:type="dxa"/>
              <w:left w:w="113" w:type="dxa"/>
              <w:bottom w:w="113" w:type="dxa"/>
              <w:right w:w="113" w:type="dxa"/>
            </w:tcMar>
            <w:hideMark/>
          </w:tcPr>
          <w:p w14:paraId="46CA337A"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ErM</w:t>
            </w:r>
          </w:p>
        </w:tc>
      </w:tr>
      <w:tr w:rsidR="00495E89" w:rsidRPr="009867C1" w14:paraId="2CC2B58F" w14:textId="77777777" w:rsidTr="00BA6F95">
        <w:tc>
          <w:tcPr>
            <w:tcW w:w="0" w:type="auto"/>
            <w:tcMar>
              <w:top w:w="113" w:type="dxa"/>
              <w:left w:w="113" w:type="dxa"/>
              <w:bottom w:w="113" w:type="dxa"/>
              <w:right w:w="113" w:type="dxa"/>
            </w:tcMar>
            <w:hideMark/>
          </w:tcPr>
          <w:p w14:paraId="7D981E68"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Lonicera involucrata</w:t>
            </w:r>
          </w:p>
        </w:tc>
        <w:tc>
          <w:tcPr>
            <w:tcW w:w="0" w:type="auto"/>
            <w:tcMar>
              <w:top w:w="113" w:type="dxa"/>
              <w:left w:w="113" w:type="dxa"/>
              <w:bottom w:w="113" w:type="dxa"/>
              <w:right w:w="113" w:type="dxa"/>
            </w:tcMar>
            <w:hideMark/>
          </w:tcPr>
          <w:p w14:paraId="4FD38978"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Black twinberry</w:t>
            </w:r>
          </w:p>
        </w:tc>
        <w:tc>
          <w:tcPr>
            <w:tcW w:w="0" w:type="auto"/>
            <w:tcMar>
              <w:top w:w="113" w:type="dxa"/>
              <w:left w:w="113" w:type="dxa"/>
              <w:bottom w:w="113" w:type="dxa"/>
              <w:right w:w="113" w:type="dxa"/>
            </w:tcMar>
            <w:hideMark/>
          </w:tcPr>
          <w:p w14:paraId="014DAD05"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Shrub</w:t>
            </w:r>
          </w:p>
        </w:tc>
        <w:tc>
          <w:tcPr>
            <w:tcW w:w="0" w:type="auto"/>
            <w:tcMar>
              <w:top w:w="113" w:type="dxa"/>
              <w:left w:w="113" w:type="dxa"/>
              <w:bottom w:w="113" w:type="dxa"/>
              <w:right w:w="113" w:type="dxa"/>
            </w:tcMar>
            <w:hideMark/>
          </w:tcPr>
          <w:p w14:paraId="1BF345ED"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3</w:t>
            </w:r>
          </w:p>
        </w:tc>
        <w:tc>
          <w:tcPr>
            <w:tcW w:w="0" w:type="auto"/>
            <w:tcMar>
              <w:top w:w="113" w:type="dxa"/>
              <w:left w:w="113" w:type="dxa"/>
              <w:bottom w:w="113" w:type="dxa"/>
              <w:right w:w="113" w:type="dxa"/>
            </w:tcMar>
            <w:hideMark/>
          </w:tcPr>
          <w:p w14:paraId="5ECE55E9"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AM</w:t>
            </w:r>
          </w:p>
        </w:tc>
      </w:tr>
      <w:tr w:rsidR="00495E89" w:rsidRPr="009867C1" w14:paraId="7765D108" w14:textId="77777777" w:rsidTr="00BA6F95">
        <w:tc>
          <w:tcPr>
            <w:tcW w:w="0" w:type="auto"/>
            <w:tcMar>
              <w:top w:w="113" w:type="dxa"/>
              <w:left w:w="113" w:type="dxa"/>
              <w:bottom w:w="113" w:type="dxa"/>
              <w:right w:w="113" w:type="dxa"/>
            </w:tcMar>
            <w:hideMark/>
          </w:tcPr>
          <w:p w14:paraId="44BBEBF1"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Lysichitum americanum</w:t>
            </w:r>
          </w:p>
        </w:tc>
        <w:tc>
          <w:tcPr>
            <w:tcW w:w="0" w:type="auto"/>
            <w:tcMar>
              <w:top w:w="113" w:type="dxa"/>
              <w:left w:w="113" w:type="dxa"/>
              <w:bottom w:w="113" w:type="dxa"/>
              <w:right w:w="113" w:type="dxa"/>
            </w:tcMar>
            <w:hideMark/>
          </w:tcPr>
          <w:p w14:paraId="785750D8"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Skunk cabbage</w:t>
            </w:r>
          </w:p>
        </w:tc>
        <w:tc>
          <w:tcPr>
            <w:tcW w:w="0" w:type="auto"/>
            <w:tcMar>
              <w:top w:w="113" w:type="dxa"/>
              <w:left w:w="113" w:type="dxa"/>
              <w:bottom w:w="113" w:type="dxa"/>
              <w:right w:w="113" w:type="dxa"/>
            </w:tcMar>
            <w:hideMark/>
          </w:tcPr>
          <w:p w14:paraId="48C55592"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Shrub</w:t>
            </w:r>
          </w:p>
        </w:tc>
        <w:tc>
          <w:tcPr>
            <w:tcW w:w="0" w:type="auto"/>
            <w:tcMar>
              <w:top w:w="113" w:type="dxa"/>
              <w:left w:w="113" w:type="dxa"/>
              <w:bottom w:w="113" w:type="dxa"/>
              <w:right w:w="113" w:type="dxa"/>
            </w:tcMar>
            <w:hideMark/>
          </w:tcPr>
          <w:p w14:paraId="5570997B"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3</w:t>
            </w:r>
          </w:p>
        </w:tc>
        <w:tc>
          <w:tcPr>
            <w:tcW w:w="0" w:type="auto"/>
            <w:tcMar>
              <w:top w:w="113" w:type="dxa"/>
              <w:left w:w="113" w:type="dxa"/>
              <w:bottom w:w="113" w:type="dxa"/>
              <w:right w:w="113" w:type="dxa"/>
            </w:tcMar>
            <w:hideMark/>
          </w:tcPr>
          <w:p w14:paraId="5BBCDC8C"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uncertain</w:t>
            </w:r>
          </w:p>
        </w:tc>
      </w:tr>
      <w:tr w:rsidR="00495E89" w:rsidRPr="009867C1" w14:paraId="11FEEB67" w14:textId="77777777" w:rsidTr="00BA6F95">
        <w:tc>
          <w:tcPr>
            <w:tcW w:w="0" w:type="auto"/>
            <w:tcMar>
              <w:top w:w="113" w:type="dxa"/>
              <w:left w:w="113" w:type="dxa"/>
              <w:bottom w:w="113" w:type="dxa"/>
              <w:right w:w="113" w:type="dxa"/>
            </w:tcMar>
            <w:hideMark/>
          </w:tcPr>
          <w:p w14:paraId="18110882"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Oplopanax horridus</w:t>
            </w:r>
          </w:p>
        </w:tc>
        <w:tc>
          <w:tcPr>
            <w:tcW w:w="0" w:type="auto"/>
            <w:tcMar>
              <w:top w:w="113" w:type="dxa"/>
              <w:left w:w="113" w:type="dxa"/>
              <w:bottom w:w="113" w:type="dxa"/>
              <w:right w:w="113" w:type="dxa"/>
            </w:tcMar>
            <w:hideMark/>
          </w:tcPr>
          <w:p w14:paraId="60802C94"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Devil's club</w:t>
            </w:r>
          </w:p>
        </w:tc>
        <w:tc>
          <w:tcPr>
            <w:tcW w:w="0" w:type="auto"/>
            <w:tcMar>
              <w:top w:w="113" w:type="dxa"/>
              <w:left w:w="113" w:type="dxa"/>
              <w:bottom w:w="113" w:type="dxa"/>
              <w:right w:w="113" w:type="dxa"/>
            </w:tcMar>
            <w:hideMark/>
          </w:tcPr>
          <w:p w14:paraId="303B234D"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Shrub</w:t>
            </w:r>
          </w:p>
        </w:tc>
        <w:tc>
          <w:tcPr>
            <w:tcW w:w="0" w:type="auto"/>
            <w:tcMar>
              <w:top w:w="113" w:type="dxa"/>
              <w:left w:w="113" w:type="dxa"/>
              <w:bottom w:w="113" w:type="dxa"/>
              <w:right w:w="113" w:type="dxa"/>
            </w:tcMar>
            <w:hideMark/>
          </w:tcPr>
          <w:p w14:paraId="67C60C46"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3</w:t>
            </w:r>
          </w:p>
        </w:tc>
        <w:tc>
          <w:tcPr>
            <w:tcW w:w="0" w:type="auto"/>
            <w:tcMar>
              <w:top w:w="113" w:type="dxa"/>
              <w:left w:w="113" w:type="dxa"/>
              <w:bottom w:w="113" w:type="dxa"/>
              <w:right w:w="113" w:type="dxa"/>
            </w:tcMar>
            <w:hideMark/>
          </w:tcPr>
          <w:p w14:paraId="33D1C853"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AM</w:t>
            </w:r>
          </w:p>
        </w:tc>
      </w:tr>
      <w:tr w:rsidR="00495E89" w:rsidRPr="009867C1" w14:paraId="67774CA9" w14:textId="77777777" w:rsidTr="00BA6F95">
        <w:tc>
          <w:tcPr>
            <w:tcW w:w="0" w:type="auto"/>
            <w:tcMar>
              <w:top w:w="113" w:type="dxa"/>
              <w:left w:w="113" w:type="dxa"/>
              <w:bottom w:w="113" w:type="dxa"/>
              <w:right w:w="113" w:type="dxa"/>
            </w:tcMar>
            <w:hideMark/>
          </w:tcPr>
          <w:p w14:paraId="7B997A53"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Rhododendron menziesii</w:t>
            </w:r>
          </w:p>
        </w:tc>
        <w:tc>
          <w:tcPr>
            <w:tcW w:w="0" w:type="auto"/>
            <w:tcMar>
              <w:top w:w="113" w:type="dxa"/>
              <w:left w:w="113" w:type="dxa"/>
              <w:bottom w:w="113" w:type="dxa"/>
              <w:right w:w="113" w:type="dxa"/>
            </w:tcMar>
            <w:hideMark/>
          </w:tcPr>
          <w:p w14:paraId="49F6ACED"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False Azalea</w:t>
            </w:r>
          </w:p>
        </w:tc>
        <w:tc>
          <w:tcPr>
            <w:tcW w:w="0" w:type="auto"/>
            <w:tcMar>
              <w:top w:w="113" w:type="dxa"/>
              <w:left w:w="113" w:type="dxa"/>
              <w:bottom w:w="113" w:type="dxa"/>
              <w:right w:w="113" w:type="dxa"/>
            </w:tcMar>
            <w:hideMark/>
          </w:tcPr>
          <w:p w14:paraId="1754D3CC"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Shrub</w:t>
            </w:r>
          </w:p>
        </w:tc>
        <w:tc>
          <w:tcPr>
            <w:tcW w:w="0" w:type="auto"/>
            <w:tcMar>
              <w:top w:w="113" w:type="dxa"/>
              <w:left w:w="113" w:type="dxa"/>
              <w:bottom w:w="113" w:type="dxa"/>
              <w:right w:w="113" w:type="dxa"/>
            </w:tcMar>
            <w:hideMark/>
          </w:tcPr>
          <w:p w14:paraId="2C4DE877"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1</w:t>
            </w:r>
          </w:p>
        </w:tc>
        <w:tc>
          <w:tcPr>
            <w:tcW w:w="0" w:type="auto"/>
            <w:tcMar>
              <w:top w:w="113" w:type="dxa"/>
              <w:left w:w="113" w:type="dxa"/>
              <w:bottom w:w="113" w:type="dxa"/>
              <w:right w:w="113" w:type="dxa"/>
            </w:tcMar>
            <w:hideMark/>
          </w:tcPr>
          <w:p w14:paraId="43DBEF47"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ErM</w:t>
            </w:r>
          </w:p>
        </w:tc>
      </w:tr>
      <w:tr w:rsidR="00495E89" w:rsidRPr="009867C1" w14:paraId="38E17F9F" w14:textId="77777777" w:rsidTr="00BA6F95">
        <w:tc>
          <w:tcPr>
            <w:tcW w:w="0" w:type="auto"/>
            <w:tcMar>
              <w:top w:w="113" w:type="dxa"/>
              <w:left w:w="113" w:type="dxa"/>
              <w:bottom w:w="113" w:type="dxa"/>
              <w:right w:w="113" w:type="dxa"/>
            </w:tcMar>
            <w:hideMark/>
          </w:tcPr>
          <w:p w14:paraId="66C4CF60"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Ribes bracteosum</w:t>
            </w:r>
          </w:p>
        </w:tc>
        <w:tc>
          <w:tcPr>
            <w:tcW w:w="0" w:type="auto"/>
            <w:tcMar>
              <w:top w:w="113" w:type="dxa"/>
              <w:left w:w="113" w:type="dxa"/>
              <w:bottom w:w="113" w:type="dxa"/>
              <w:right w:w="113" w:type="dxa"/>
            </w:tcMar>
            <w:hideMark/>
          </w:tcPr>
          <w:p w14:paraId="275489DE"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Stink Current</w:t>
            </w:r>
          </w:p>
        </w:tc>
        <w:tc>
          <w:tcPr>
            <w:tcW w:w="0" w:type="auto"/>
            <w:tcMar>
              <w:top w:w="113" w:type="dxa"/>
              <w:left w:w="113" w:type="dxa"/>
              <w:bottom w:w="113" w:type="dxa"/>
              <w:right w:w="113" w:type="dxa"/>
            </w:tcMar>
            <w:hideMark/>
          </w:tcPr>
          <w:p w14:paraId="7139C404"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Shrub</w:t>
            </w:r>
          </w:p>
        </w:tc>
        <w:tc>
          <w:tcPr>
            <w:tcW w:w="0" w:type="auto"/>
            <w:tcMar>
              <w:top w:w="113" w:type="dxa"/>
              <w:left w:w="113" w:type="dxa"/>
              <w:bottom w:w="113" w:type="dxa"/>
              <w:right w:w="113" w:type="dxa"/>
            </w:tcMar>
            <w:hideMark/>
          </w:tcPr>
          <w:p w14:paraId="5021BA66"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3</w:t>
            </w:r>
          </w:p>
        </w:tc>
        <w:tc>
          <w:tcPr>
            <w:tcW w:w="0" w:type="auto"/>
            <w:tcMar>
              <w:top w:w="113" w:type="dxa"/>
              <w:left w:w="113" w:type="dxa"/>
              <w:bottom w:w="113" w:type="dxa"/>
              <w:right w:w="113" w:type="dxa"/>
            </w:tcMar>
            <w:hideMark/>
          </w:tcPr>
          <w:p w14:paraId="38F8B917"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AM</w:t>
            </w:r>
          </w:p>
        </w:tc>
      </w:tr>
      <w:tr w:rsidR="00495E89" w:rsidRPr="009867C1" w14:paraId="511782E2" w14:textId="77777777" w:rsidTr="00BA6F95">
        <w:tc>
          <w:tcPr>
            <w:tcW w:w="0" w:type="auto"/>
            <w:tcMar>
              <w:top w:w="113" w:type="dxa"/>
              <w:left w:w="113" w:type="dxa"/>
              <w:bottom w:w="113" w:type="dxa"/>
              <w:right w:w="113" w:type="dxa"/>
            </w:tcMar>
            <w:hideMark/>
          </w:tcPr>
          <w:p w14:paraId="3DE9CF8D"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Rubus parviflorus</w:t>
            </w:r>
          </w:p>
        </w:tc>
        <w:tc>
          <w:tcPr>
            <w:tcW w:w="0" w:type="auto"/>
            <w:tcMar>
              <w:top w:w="113" w:type="dxa"/>
              <w:left w:w="113" w:type="dxa"/>
              <w:bottom w:w="113" w:type="dxa"/>
              <w:right w:w="113" w:type="dxa"/>
            </w:tcMar>
            <w:hideMark/>
          </w:tcPr>
          <w:p w14:paraId="4DCC376D"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Thimbleberry</w:t>
            </w:r>
          </w:p>
        </w:tc>
        <w:tc>
          <w:tcPr>
            <w:tcW w:w="0" w:type="auto"/>
            <w:tcMar>
              <w:top w:w="113" w:type="dxa"/>
              <w:left w:w="113" w:type="dxa"/>
              <w:bottom w:w="113" w:type="dxa"/>
              <w:right w:w="113" w:type="dxa"/>
            </w:tcMar>
            <w:hideMark/>
          </w:tcPr>
          <w:p w14:paraId="2E773D52"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Shrub</w:t>
            </w:r>
          </w:p>
        </w:tc>
        <w:tc>
          <w:tcPr>
            <w:tcW w:w="0" w:type="auto"/>
            <w:tcMar>
              <w:top w:w="113" w:type="dxa"/>
              <w:left w:w="113" w:type="dxa"/>
              <w:bottom w:w="113" w:type="dxa"/>
              <w:right w:w="113" w:type="dxa"/>
            </w:tcMar>
            <w:hideMark/>
          </w:tcPr>
          <w:p w14:paraId="2F783BC5"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3</w:t>
            </w:r>
          </w:p>
        </w:tc>
        <w:tc>
          <w:tcPr>
            <w:tcW w:w="0" w:type="auto"/>
            <w:tcMar>
              <w:top w:w="113" w:type="dxa"/>
              <w:left w:w="113" w:type="dxa"/>
              <w:bottom w:w="113" w:type="dxa"/>
              <w:right w:w="113" w:type="dxa"/>
            </w:tcMar>
            <w:hideMark/>
          </w:tcPr>
          <w:p w14:paraId="3299CB42"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AM</w:t>
            </w:r>
          </w:p>
        </w:tc>
      </w:tr>
      <w:tr w:rsidR="00495E89" w:rsidRPr="009867C1" w14:paraId="70F71F00" w14:textId="77777777" w:rsidTr="00BA6F95">
        <w:tc>
          <w:tcPr>
            <w:tcW w:w="0" w:type="auto"/>
            <w:tcMar>
              <w:top w:w="113" w:type="dxa"/>
              <w:left w:w="113" w:type="dxa"/>
              <w:bottom w:w="113" w:type="dxa"/>
              <w:right w:w="113" w:type="dxa"/>
            </w:tcMar>
            <w:hideMark/>
          </w:tcPr>
          <w:p w14:paraId="0E050520"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Rubus spectabilis</w:t>
            </w:r>
          </w:p>
        </w:tc>
        <w:tc>
          <w:tcPr>
            <w:tcW w:w="0" w:type="auto"/>
            <w:tcMar>
              <w:top w:w="113" w:type="dxa"/>
              <w:left w:w="113" w:type="dxa"/>
              <w:bottom w:w="113" w:type="dxa"/>
              <w:right w:w="113" w:type="dxa"/>
            </w:tcMar>
            <w:hideMark/>
          </w:tcPr>
          <w:p w14:paraId="71A25B1D"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Salmonberry</w:t>
            </w:r>
          </w:p>
        </w:tc>
        <w:tc>
          <w:tcPr>
            <w:tcW w:w="0" w:type="auto"/>
            <w:tcMar>
              <w:top w:w="113" w:type="dxa"/>
              <w:left w:w="113" w:type="dxa"/>
              <w:bottom w:w="113" w:type="dxa"/>
              <w:right w:w="113" w:type="dxa"/>
            </w:tcMar>
            <w:hideMark/>
          </w:tcPr>
          <w:p w14:paraId="7C8E541A"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Shrub</w:t>
            </w:r>
          </w:p>
        </w:tc>
        <w:tc>
          <w:tcPr>
            <w:tcW w:w="0" w:type="auto"/>
            <w:tcMar>
              <w:top w:w="113" w:type="dxa"/>
              <w:left w:w="113" w:type="dxa"/>
              <w:bottom w:w="113" w:type="dxa"/>
              <w:right w:w="113" w:type="dxa"/>
            </w:tcMar>
            <w:hideMark/>
          </w:tcPr>
          <w:p w14:paraId="7B3D7149"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3</w:t>
            </w:r>
          </w:p>
        </w:tc>
        <w:tc>
          <w:tcPr>
            <w:tcW w:w="0" w:type="auto"/>
            <w:tcMar>
              <w:top w:w="113" w:type="dxa"/>
              <w:left w:w="113" w:type="dxa"/>
              <w:bottom w:w="113" w:type="dxa"/>
              <w:right w:w="113" w:type="dxa"/>
            </w:tcMar>
            <w:hideMark/>
          </w:tcPr>
          <w:p w14:paraId="7F3009DB"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AM</w:t>
            </w:r>
          </w:p>
        </w:tc>
      </w:tr>
      <w:tr w:rsidR="00495E89" w:rsidRPr="009867C1" w14:paraId="5FB35C8D" w14:textId="77777777" w:rsidTr="00BA6F95">
        <w:tc>
          <w:tcPr>
            <w:tcW w:w="0" w:type="auto"/>
            <w:tcMar>
              <w:top w:w="113" w:type="dxa"/>
              <w:left w:w="113" w:type="dxa"/>
              <w:bottom w:w="113" w:type="dxa"/>
              <w:right w:w="113" w:type="dxa"/>
            </w:tcMar>
            <w:hideMark/>
          </w:tcPr>
          <w:p w14:paraId="536D3A5C"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Sambucus racemosa</w:t>
            </w:r>
          </w:p>
        </w:tc>
        <w:tc>
          <w:tcPr>
            <w:tcW w:w="0" w:type="auto"/>
            <w:tcMar>
              <w:top w:w="113" w:type="dxa"/>
              <w:left w:w="113" w:type="dxa"/>
              <w:bottom w:w="113" w:type="dxa"/>
              <w:right w:w="113" w:type="dxa"/>
            </w:tcMar>
            <w:hideMark/>
          </w:tcPr>
          <w:p w14:paraId="2064C2E6"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Red elderberry</w:t>
            </w:r>
          </w:p>
        </w:tc>
        <w:tc>
          <w:tcPr>
            <w:tcW w:w="0" w:type="auto"/>
            <w:tcMar>
              <w:top w:w="113" w:type="dxa"/>
              <w:left w:w="113" w:type="dxa"/>
              <w:bottom w:w="113" w:type="dxa"/>
              <w:right w:w="113" w:type="dxa"/>
            </w:tcMar>
            <w:hideMark/>
          </w:tcPr>
          <w:p w14:paraId="5495C579"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Shrub</w:t>
            </w:r>
          </w:p>
        </w:tc>
        <w:tc>
          <w:tcPr>
            <w:tcW w:w="0" w:type="auto"/>
            <w:tcMar>
              <w:top w:w="113" w:type="dxa"/>
              <w:left w:w="113" w:type="dxa"/>
              <w:bottom w:w="113" w:type="dxa"/>
              <w:right w:w="113" w:type="dxa"/>
            </w:tcMar>
            <w:hideMark/>
          </w:tcPr>
          <w:p w14:paraId="10C59D95"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3</w:t>
            </w:r>
          </w:p>
        </w:tc>
        <w:tc>
          <w:tcPr>
            <w:tcW w:w="0" w:type="auto"/>
            <w:tcMar>
              <w:top w:w="113" w:type="dxa"/>
              <w:left w:w="113" w:type="dxa"/>
              <w:bottom w:w="113" w:type="dxa"/>
              <w:right w:w="113" w:type="dxa"/>
            </w:tcMar>
            <w:hideMark/>
          </w:tcPr>
          <w:p w14:paraId="083B22D1"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AM</w:t>
            </w:r>
          </w:p>
        </w:tc>
      </w:tr>
      <w:tr w:rsidR="00495E89" w:rsidRPr="009867C1" w14:paraId="2495D3A4" w14:textId="77777777" w:rsidTr="00BA6F95">
        <w:tc>
          <w:tcPr>
            <w:tcW w:w="0" w:type="auto"/>
            <w:tcMar>
              <w:top w:w="113" w:type="dxa"/>
              <w:left w:w="113" w:type="dxa"/>
              <w:bottom w:w="113" w:type="dxa"/>
              <w:right w:w="113" w:type="dxa"/>
            </w:tcMar>
            <w:hideMark/>
          </w:tcPr>
          <w:p w14:paraId="7EF28900"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Vaccinium alaskaense</w:t>
            </w:r>
          </w:p>
        </w:tc>
        <w:tc>
          <w:tcPr>
            <w:tcW w:w="0" w:type="auto"/>
            <w:tcMar>
              <w:top w:w="113" w:type="dxa"/>
              <w:left w:w="113" w:type="dxa"/>
              <w:bottom w:w="113" w:type="dxa"/>
              <w:right w:w="113" w:type="dxa"/>
            </w:tcMar>
            <w:hideMark/>
          </w:tcPr>
          <w:p w14:paraId="397EC7E7"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Alaskan blueberry</w:t>
            </w:r>
          </w:p>
        </w:tc>
        <w:tc>
          <w:tcPr>
            <w:tcW w:w="0" w:type="auto"/>
            <w:tcMar>
              <w:top w:w="113" w:type="dxa"/>
              <w:left w:w="113" w:type="dxa"/>
              <w:bottom w:w="113" w:type="dxa"/>
              <w:right w:w="113" w:type="dxa"/>
            </w:tcMar>
            <w:hideMark/>
          </w:tcPr>
          <w:p w14:paraId="4FC7A8FB"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Shrub</w:t>
            </w:r>
          </w:p>
        </w:tc>
        <w:tc>
          <w:tcPr>
            <w:tcW w:w="0" w:type="auto"/>
            <w:tcMar>
              <w:top w:w="113" w:type="dxa"/>
              <w:left w:w="113" w:type="dxa"/>
              <w:bottom w:w="113" w:type="dxa"/>
              <w:right w:w="113" w:type="dxa"/>
            </w:tcMar>
            <w:hideMark/>
          </w:tcPr>
          <w:p w14:paraId="39AA8AA3"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1</w:t>
            </w:r>
          </w:p>
        </w:tc>
        <w:tc>
          <w:tcPr>
            <w:tcW w:w="0" w:type="auto"/>
            <w:tcMar>
              <w:top w:w="113" w:type="dxa"/>
              <w:left w:w="113" w:type="dxa"/>
              <w:bottom w:w="113" w:type="dxa"/>
              <w:right w:w="113" w:type="dxa"/>
            </w:tcMar>
            <w:hideMark/>
          </w:tcPr>
          <w:p w14:paraId="5E9566CE"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ErM</w:t>
            </w:r>
          </w:p>
        </w:tc>
      </w:tr>
      <w:tr w:rsidR="00495E89" w:rsidRPr="009867C1" w14:paraId="30C6D9DD" w14:textId="77777777" w:rsidTr="00BA6F95">
        <w:tc>
          <w:tcPr>
            <w:tcW w:w="0" w:type="auto"/>
            <w:tcMar>
              <w:top w:w="113" w:type="dxa"/>
              <w:left w:w="113" w:type="dxa"/>
              <w:bottom w:w="113" w:type="dxa"/>
              <w:right w:w="113" w:type="dxa"/>
            </w:tcMar>
            <w:hideMark/>
          </w:tcPr>
          <w:p w14:paraId="22E4F626"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Vaccinium ovalifolium</w:t>
            </w:r>
          </w:p>
        </w:tc>
        <w:tc>
          <w:tcPr>
            <w:tcW w:w="0" w:type="auto"/>
            <w:tcMar>
              <w:top w:w="113" w:type="dxa"/>
              <w:left w:w="113" w:type="dxa"/>
              <w:bottom w:w="113" w:type="dxa"/>
              <w:right w:w="113" w:type="dxa"/>
            </w:tcMar>
            <w:hideMark/>
          </w:tcPr>
          <w:p w14:paraId="44C3D2CA"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Oval-Leaf blueberry</w:t>
            </w:r>
          </w:p>
        </w:tc>
        <w:tc>
          <w:tcPr>
            <w:tcW w:w="0" w:type="auto"/>
            <w:tcMar>
              <w:top w:w="113" w:type="dxa"/>
              <w:left w:w="113" w:type="dxa"/>
              <w:bottom w:w="113" w:type="dxa"/>
              <w:right w:w="113" w:type="dxa"/>
            </w:tcMar>
            <w:hideMark/>
          </w:tcPr>
          <w:p w14:paraId="277A780F"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Shrub</w:t>
            </w:r>
          </w:p>
        </w:tc>
        <w:tc>
          <w:tcPr>
            <w:tcW w:w="0" w:type="auto"/>
            <w:tcMar>
              <w:top w:w="113" w:type="dxa"/>
              <w:left w:w="113" w:type="dxa"/>
              <w:bottom w:w="113" w:type="dxa"/>
              <w:right w:w="113" w:type="dxa"/>
            </w:tcMar>
            <w:hideMark/>
          </w:tcPr>
          <w:p w14:paraId="205CA7C6"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1</w:t>
            </w:r>
          </w:p>
        </w:tc>
        <w:tc>
          <w:tcPr>
            <w:tcW w:w="0" w:type="auto"/>
            <w:tcMar>
              <w:top w:w="113" w:type="dxa"/>
              <w:left w:w="113" w:type="dxa"/>
              <w:bottom w:w="113" w:type="dxa"/>
              <w:right w:w="113" w:type="dxa"/>
            </w:tcMar>
            <w:hideMark/>
          </w:tcPr>
          <w:p w14:paraId="1D9D25FB"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ErM</w:t>
            </w:r>
          </w:p>
        </w:tc>
      </w:tr>
      <w:tr w:rsidR="00495E89" w:rsidRPr="009867C1" w14:paraId="0090B3A5" w14:textId="77777777" w:rsidTr="00BA6F95">
        <w:tc>
          <w:tcPr>
            <w:tcW w:w="0" w:type="auto"/>
            <w:tcMar>
              <w:top w:w="113" w:type="dxa"/>
              <w:left w:w="113" w:type="dxa"/>
              <w:bottom w:w="113" w:type="dxa"/>
              <w:right w:w="113" w:type="dxa"/>
            </w:tcMar>
            <w:hideMark/>
          </w:tcPr>
          <w:p w14:paraId="57A0B84B"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Vaccinium parvifolium</w:t>
            </w:r>
          </w:p>
        </w:tc>
        <w:tc>
          <w:tcPr>
            <w:tcW w:w="0" w:type="auto"/>
            <w:tcMar>
              <w:top w:w="113" w:type="dxa"/>
              <w:left w:w="113" w:type="dxa"/>
              <w:bottom w:w="113" w:type="dxa"/>
              <w:right w:w="113" w:type="dxa"/>
            </w:tcMar>
            <w:hideMark/>
          </w:tcPr>
          <w:p w14:paraId="4BCAFA40"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Red huckleberry</w:t>
            </w:r>
          </w:p>
        </w:tc>
        <w:tc>
          <w:tcPr>
            <w:tcW w:w="0" w:type="auto"/>
            <w:tcMar>
              <w:top w:w="113" w:type="dxa"/>
              <w:left w:w="113" w:type="dxa"/>
              <w:bottom w:w="113" w:type="dxa"/>
              <w:right w:w="113" w:type="dxa"/>
            </w:tcMar>
            <w:hideMark/>
          </w:tcPr>
          <w:p w14:paraId="44EF3D65"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Shrub</w:t>
            </w:r>
          </w:p>
        </w:tc>
        <w:tc>
          <w:tcPr>
            <w:tcW w:w="0" w:type="auto"/>
            <w:tcMar>
              <w:top w:w="113" w:type="dxa"/>
              <w:left w:w="113" w:type="dxa"/>
              <w:bottom w:w="113" w:type="dxa"/>
              <w:right w:w="113" w:type="dxa"/>
            </w:tcMar>
            <w:hideMark/>
          </w:tcPr>
          <w:p w14:paraId="291324DC"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1</w:t>
            </w:r>
          </w:p>
        </w:tc>
        <w:tc>
          <w:tcPr>
            <w:tcW w:w="0" w:type="auto"/>
            <w:tcMar>
              <w:top w:w="113" w:type="dxa"/>
              <w:left w:w="113" w:type="dxa"/>
              <w:bottom w:w="113" w:type="dxa"/>
              <w:right w:w="113" w:type="dxa"/>
            </w:tcMar>
            <w:hideMark/>
          </w:tcPr>
          <w:p w14:paraId="5E79C53E"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ErM</w:t>
            </w:r>
          </w:p>
        </w:tc>
      </w:tr>
      <w:tr w:rsidR="00495E89" w:rsidRPr="009867C1" w14:paraId="0C62D9AC" w14:textId="77777777" w:rsidTr="00BA6F95">
        <w:tc>
          <w:tcPr>
            <w:tcW w:w="0" w:type="auto"/>
            <w:tcMar>
              <w:top w:w="113" w:type="dxa"/>
              <w:left w:w="113" w:type="dxa"/>
              <w:bottom w:w="113" w:type="dxa"/>
              <w:right w:w="113" w:type="dxa"/>
            </w:tcMar>
            <w:hideMark/>
          </w:tcPr>
          <w:p w14:paraId="4A48656E"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Abies amabilis</w:t>
            </w:r>
          </w:p>
        </w:tc>
        <w:tc>
          <w:tcPr>
            <w:tcW w:w="0" w:type="auto"/>
            <w:tcMar>
              <w:top w:w="113" w:type="dxa"/>
              <w:left w:w="113" w:type="dxa"/>
              <w:bottom w:w="113" w:type="dxa"/>
              <w:right w:w="113" w:type="dxa"/>
            </w:tcMar>
            <w:hideMark/>
          </w:tcPr>
          <w:p w14:paraId="56681869"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Amabilis fir</w:t>
            </w:r>
          </w:p>
        </w:tc>
        <w:tc>
          <w:tcPr>
            <w:tcW w:w="0" w:type="auto"/>
            <w:tcMar>
              <w:top w:w="113" w:type="dxa"/>
              <w:left w:w="113" w:type="dxa"/>
              <w:bottom w:w="113" w:type="dxa"/>
              <w:right w:w="113" w:type="dxa"/>
            </w:tcMar>
            <w:hideMark/>
          </w:tcPr>
          <w:p w14:paraId="727D4537"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Tree</w:t>
            </w:r>
          </w:p>
        </w:tc>
        <w:tc>
          <w:tcPr>
            <w:tcW w:w="0" w:type="auto"/>
            <w:tcMar>
              <w:top w:w="113" w:type="dxa"/>
              <w:left w:w="113" w:type="dxa"/>
              <w:bottom w:w="113" w:type="dxa"/>
              <w:right w:w="113" w:type="dxa"/>
            </w:tcMar>
            <w:hideMark/>
          </w:tcPr>
          <w:p w14:paraId="4AD53D59"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NA</w:t>
            </w:r>
          </w:p>
        </w:tc>
        <w:tc>
          <w:tcPr>
            <w:tcW w:w="0" w:type="auto"/>
            <w:tcMar>
              <w:top w:w="113" w:type="dxa"/>
              <w:left w:w="113" w:type="dxa"/>
              <w:bottom w:w="113" w:type="dxa"/>
              <w:right w:w="113" w:type="dxa"/>
            </w:tcMar>
            <w:hideMark/>
          </w:tcPr>
          <w:p w14:paraId="719F6E99"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EcM</w:t>
            </w:r>
          </w:p>
        </w:tc>
      </w:tr>
      <w:tr w:rsidR="00495E89" w:rsidRPr="009867C1" w14:paraId="560A4206" w14:textId="77777777" w:rsidTr="00BA6F95">
        <w:tc>
          <w:tcPr>
            <w:tcW w:w="0" w:type="auto"/>
            <w:tcMar>
              <w:top w:w="113" w:type="dxa"/>
              <w:left w:w="113" w:type="dxa"/>
              <w:bottom w:w="113" w:type="dxa"/>
              <w:right w:w="113" w:type="dxa"/>
            </w:tcMar>
            <w:hideMark/>
          </w:tcPr>
          <w:p w14:paraId="47455926"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Alnus rubra</w:t>
            </w:r>
          </w:p>
        </w:tc>
        <w:tc>
          <w:tcPr>
            <w:tcW w:w="0" w:type="auto"/>
            <w:tcMar>
              <w:top w:w="113" w:type="dxa"/>
              <w:left w:w="113" w:type="dxa"/>
              <w:bottom w:w="113" w:type="dxa"/>
              <w:right w:w="113" w:type="dxa"/>
            </w:tcMar>
            <w:hideMark/>
          </w:tcPr>
          <w:p w14:paraId="4A79F373"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Alder</w:t>
            </w:r>
          </w:p>
        </w:tc>
        <w:tc>
          <w:tcPr>
            <w:tcW w:w="0" w:type="auto"/>
            <w:tcMar>
              <w:top w:w="113" w:type="dxa"/>
              <w:left w:w="113" w:type="dxa"/>
              <w:bottom w:w="113" w:type="dxa"/>
              <w:right w:w="113" w:type="dxa"/>
            </w:tcMar>
            <w:hideMark/>
          </w:tcPr>
          <w:p w14:paraId="437D6B27"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Tree</w:t>
            </w:r>
          </w:p>
        </w:tc>
        <w:tc>
          <w:tcPr>
            <w:tcW w:w="0" w:type="auto"/>
            <w:tcMar>
              <w:top w:w="113" w:type="dxa"/>
              <w:left w:w="113" w:type="dxa"/>
              <w:bottom w:w="113" w:type="dxa"/>
              <w:right w:w="113" w:type="dxa"/>
            </w:tcMar>
            <w:hideMark/>
          </w:tcPr>
          <w:p w14:paraId="3D8491FB"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3</w:t>
            </w:r>
          </w:p>
        </w:tc>
        <w:tc>
          <w:tcPr>
            <w:tcW w:w="0" w:type="auto"/>
            <w:tcMar>
              <w:top w:w="113" w:type="dxa"/>
              <w:left w:w="113" w:type="dxa"/>
              <w:bottom w:w="113" w:type="dxa"/>
              <w:right w:w="113" w:type="dxa"/>
            </w:tcMar>
            <w:hideMark/>
          </w:tcPr>
          <w:p w14:paraId="21E129B8"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EcM</w:t>
            </w:r>
          </w:p>
        </w:tc>
      </w:tr>
      <w:tr w:rsidR="00495E89" w:rsidRPr="009867C1" w14:paraId="5D2D520D" w14:textId="77777777" w:rsidTr="00BA6F95">
        <w:tc>
          <w:tcPr>
            <w:tcW w:w="0" w:type="auto"/>
            <w:tcMar>
              <w:top w:w="113" w:type="dxa"/>
              <w:left w:w="113" w:type="dxa"/>
              <w:bottom w:w="113" w:type="dxa"/>
              <w:right w:w="113" w:type="dxa"/>
            </w:tcMar>
            <w:hideMark/>
          </w:tcPr>
          <w:p w14:paraId="6293B346"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Picea sitchensis</w:t>
            </w:r>
          </w:p>
        </w:tc>
        <w:tc>
          <w:tcPr>
            <w:tcW w:w="0" w:type="auto"/>
            <w:tcMar>
              <w:top w:w="113" w:type="dxa"/>
              <w:left w:w="113" w:type="dxa"/>
              <w:bottom w:w="113" w:type="dxa"/>
              <w:right w:w="113" w:type="dxa"/>
            </w:tcMar>
            <w:hideMark/>
          </w:tcPr>
          <w:p w14:paraId="57516F20"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Sitka spruce</w:t>
            </w:r>
          </w:p>
        </w:tc>
        <w:tc>
          <w:tcPr>
            <w:tcW w:w="0" w:type="auto"/>
            <w:tcMar>
              <w:top w:w="113" w:type="dxa"/>
              <w:left w:w="113" w:type="dxa"/>
              <w:bottom w:w="113" w:type="dxa"/>
              <w:right w:w="113" w:type="dxa"/>
            </w:tcMar>
            <w:hideMark/>
          </w:tcPr>
          <w:p w14:paraId="6A2111A3"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Tree</w:t>
            </w:r>
          </w:p>
        </w:tc>
        <w:tc>
          <w:tcPr>
            <w:tcW w:w="0" w:type="auto"/>
            <w:tcMar>
              <w:top w:w="113" w:type="dxa"/>
              <w:left w:w="113" w:type="dxa"/>
              <w:bottom w:w="113" w:type="dxa"/>
              <w:right w:w="113" w:type="dxa"/>
            </w:tcMar>
            <w:hideMark/>
          </w:tcPr>
          <w:p w14:paraId="11AE9374"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3</w:t>
            </w:r>
          </w:p>
        </w:tc>
        <w:tc>
          <w:tcPr>
            <w:tcW w:w="0" w:type="auto"/>
            <w:tcMar>
              <w:top w:w="113" w:type="dxa"/>
              <w:left w:w="113" w:type="dxa"/>
              <w:bottom w:w="113" w:type="dxa"/>
              <w:right w:w="113" w:type="dxa"/>
            </w:tcMar>
            <w:hideMark/>
          </w:tcPr>
          <w:p w14:paraId="715B7891"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EcM</w:t>
            </w:r>
          </w:p>
        </w:tc>
      </w:tr>
      <w:tr w:rsidR="00495E89" w:rsidRPr="009867C1" w14:paraId="17DE186A" w14:textId="77777777" w:rsidTr="00BA6F95">
        <w:tc>
          <w:tcPr>
            <w:tcW w:w="0" w:type="auto"/>
            <w:tcMar>
              <w:top w:w="113" w:type="dxa"/>
              <w:left w:w="113" w:type="dxa"/>
              <w:bottom w:w="113" w:type="dxa"/>
              <w:right w:w="113" w:type="dxa"/>
            </w:tcMar>
            <w:hideMark/>
          </w:tcPr>
          <w:p w14:paraId="2EB1B4D6"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Thuja plicata</w:t>
            </w:r>
          </w:p>
        </w:tc>
        <w:tc>
          <w:tcPr>
            <w:tcW w:w="0" w:type="auto"/>
            <w:tcMar>
              <w:top w:w="113" w:type="dxa"/>
              <w:left w:w="113" w:type="dxa"/>
              <w:bottom w:w="113" w:type="dxa"/>
              <w:right w:w="113" w:type="dxa"/>
            </w:tcMar>
            <w:hideMark/>
          </w:tcPr>
          <w:p w14:paraId="72732FBC"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Cedar</w:t>
            </w:r>
          </w:p>
        </w:tc>
        <w:tc>
          <w:tcPr>
            <w:tcW w:w="0" w:type="auto"/>
            <w:tcMar>
              <w:top w:w="113" w:type="dxa"/>
              <w:left w:w="113" w:type="dxa"/>
              <w:bottom w:w="113" w:type="dxa"/>
              <w:right w:w="113" w:type="dxa"/>
            </w:tcMar>
            <w:hideMark/>
          </w:tcPr>
          <w:p w14:paraId="47FB2FC4"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Tree</w:t>
            </w:r>
          </w:p>
        </w:tc>
        <w:tc>
          <w:tcPr>
            <w:tcW w:w="0" w:type="auto"/>
            <w:tcMar>
              <w:top w:w="113" w:type="dxa"/>
              <w:left w:w="113" w:type="dxa"/>
              <w:bottom w:w="113" w:type="dxa"/>
              <w:right w:w="113" w:type="dxa"/>
            </w:tcMar>
            <w:hideMark/>
          </w:tcPr>
          <w:p w14:paraId="0A643E69"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NA</w:t>
            </w:r>
          </w:p>
        </w:tc>
        <w:tc>
          <w:tcPr>
            <w:tcW w:w="0" w:type="auto"/>
            <w:tcMar>
              <w:top w:w="113" w:type="dxa"/>
              <w:left w:w="113" w:type="dxa"/>
              <w:bottom w:w="113" w:type="dxa"/>
              <w:right w:w="113" w:type="dxa"/>
            </w:tcMar>
            <w:hideMark/>
          </w:tcPr>
          <w:p w14:paraId="42BAEB35"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AM</w:t>
            </w:r>
          </w:p>
        </w:tc>
      </w:tr>
      <w:tr w:rsidR="00495E89" w:rsidRPr="009867C1" w14:paraId="0A0F804A" w14:textId="77777777" w:rsidTr="00BA6F95">
        <w:tc>
          <w:tcPr>
            <w:tcW w:w="0" w:type="auto"/>
            <w:tcBorders>
              <w:bottom w:val="double" w:sz="6" w:space="0" w:color="auto"/>
            </w:tcBorders>
            <w:tcMar>
              <w:top w:w="113" w:type="dxa"/>
              <w:left w:w="113" w:type="dxa"/>
              <w:bottom w:w="113" w:type="dxa"/>
              <w:right w:w="113" w:type="dxa"/>
            </w:tcMar>
            <w:hideMark/>
          </w:tcPr>
          <w:p w14:paraId="3E5B4AE9" w14:textId="77777777" w:rsidR="00495E89" w:rsidRPr="009867C1" w:rsidRDefault="00495E89" w:rsidP="00BA6F95">
            <w:pPr>
              <w:spacing w:line="240" w:lineRule="auto"/>
              <w:rPr>
                <w:rFonts w:eastAsia="Times New Roman"/>
                <w:i/>
                <w:iCs/>
                <w:sz w:val="20"/>
                <w:szCs w:val="20"/>
                <w:lang w:val="en-CA" w:eastAsia="en-CA"/>
              </w:rPr>
            </w:pPr>
            <w:r w:rsidRPr="009867C1">
              <w:rPr>
                <w:rFonts w:eastAsia="Times New Roman"/>
                <w:i/>
                <w:iCs/>
                <w:sz w:val="20"/>
                <w:szCs w:val="20"/>
                <w:lang w:val="en-CA" w:eastAsia="en-CA"/>
              </w:rPr>
              <w:t>Tsuga heterophylla</w:t>
            </w:r>
          </w:p>
        </w:tc>
        <w:tc>
          <w:tcPr>
            <w:tcW w:w="0" w:type="auto"/>
            <w:tcBorders>
              <w:bottom w:val="double" w:sz="6" w:space="0" w:color="auto"/>
            </w:tcBorders>
            <w:tcMar>
              <w:top w:w="113" w:type="dxa"/>
              <w:left w:w="113" w:type="dxa"/>
              <w:bottom w:w="113" w:type="dxa"/>
              <w:right w:w="113" w:type="dxa"/>
            </w:tcMar>
            <w:hideMark/>
          </w:tcPr>
          <w:p w14:paraId="4F55B385"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Western hemlock</w:t>
            </w:r>
          </w:p>
        </w:tc>
        <w:tc>
          <w:tcPr>
            <w:tcW w:w="0" w:type="auto"/>
            <w:tcBorders>
              <w:bottom w:val="double" w:sz="6" w:space="0" w:color="auto"/>
            </w:tcBorders>
            <w:tcMar>
              <w:top w:w="113" w:type="dxa"/>
              <w:left w:w="113" w:type="dxa"/>
              <w:bottom w:w="113" w:type="dxa"/>
              <w:right w:w="113" w:type="dxa"/>
            </w:tcMar>
            <w:hideMark/>
          </w:tcPr>
          <w:p w14:paraId="25D4DE38"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Tree</w:t>
            </w:r>
          </w:p>
        </w:tc>
        <w:tc>
          <w:tcPr>
            <w:tcW w:w="0" w:type="auto"/>
            <w:tcBorders>
              <w:bottom w:val="double" w:sz="6" w:space="0" w:color="auto"/>
            </w:tcBorders>
            <w:tcMar>
              <w:top w:w="113" w:type="dxa"/>
              <w:left w:w="113" w:type="dxa"/>
              <w:bottom w:w="113" w:type="dxa"/>
              <w:right w:w="113" w:type="dxa"/>
            </w:tcMar>
            <w:hideMark/>
          </w:tcPr>
          <w:p w14:paraId="725DC935"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NA</w:t>
            </w:r>
          </w:p>
        </w:tc>
        <w:tc>
          <w:tcPr>
            <w:tcW w:w="0" w:type="auto"/>
            <w:tcBorders>
              <w:bottom w:val="double" w:sz="6" w:space="0" w:color="auto"/>
            </w:tcBorders>
            <w:tcMar>
              <w:top w:w="113" w:type="dxa"/>
              <w:left w:w="113" w:type="dxa"/>
              <w:bottom w:w="113" w:type="dxa"/>
              <w:right w:w="113" w:type="dxa"/>
            </w:tcMar>
            <w:hideMark/>
          </w:tcPr>
          <w:p w14:paraId="12FCDF4E" w14:textId="77777777" w:rsidR="00495E89" w:rsidRPr="009867C1" w:rsidRDefault="00495E89" w:rsidP="00BA6F95">
            <w:pPr>
              <w:spacing w:line="240" w:lineRule="auto"/>
              <w:jc w:val="center"/>
              <w:rPr>
                <w:rFonts w:eastAsia="Times New Roman"/>
                <w:sz w:val="20"/>
                <w:szCs w:val="20"/>
                <w:lang w:val="en-CA" w:eastAsia="en-CA"/>
              </w:rPr>
            </w:pPr>
            <w:r w:rsidRPr="009867C1">
              <w:rPr>
                <w:rFonts w:eastAsia="Times New Roman"/>
                <w:sz w:val="20"/>
                <w:szCs w:val="20"/>
                <w:lang w:val="en-CA" w:eastAsia="en-CA"/>
              </w:rPr>
              <w:t>EcM</w:t>
            </w:r>
          </w:p>
        </w:tc>
      </w:tr>
    </w:tbl>
    <w:p w14:paraId="793F0D14" w14:textId="77777777" w:rsidR="00495E89" w:rsidRPr="009867C1" w:rsidRDefault="00495E89" w:rsidP="00495E89"/>
    <w:p w14:paraId="02E5A417" w14:textId="77777777" w:rsidR="00495E89" w:rsidRPr="009867C1" w:rsidRDefault="00495E89" w:rsidP="00495E89">
      <w:pPr>
        <w:sectPr w:rsidR="00495E89" w:rsidRPr="009867C1" w:rsidSect="00EA08AB">
          <w:pgSz w:w="12240" w:h="15840"/>
          <w:pgMar w:top="1440" w:right="1440" w:bottom="1440" w:left="1440" w:header="706" w:footer="706" w:gutter="0"/>
          <w:cols w:space="708"/>
        </w:sectPr>
      </w:pPr>
    </w:p>
    <w:p w14:paraId="22326894" w14:textId="77777777" w:rsidR="00EA2088" w:rsidRPr="009867C1" w:rsidRDefault="00495E89" w:rsidP="00EA2088">
      <w:pPr>
        <w:keepNext/>
      </w:pPr>
      <w:r w:rsidRPr="009867C1">
        <w:rPr>
          <w:noProof/>
        </w:rPr>
        <w:drawing>
          <wp:inline distT="0" distB="0" distL="0" distR="0" wp14:anchorId="61AD8276" wp14:editId="5872CF71">
            <wp:extent cx="9034272" cy="4794075"/>
            <wp:effectExtent l="0" t="0" r="0" b="698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2">
                      <a:extLst>
                        <a:ext uri="{28A0092B-C50C-407E-A947-70E740481C1C}">
                          <a14:useLocalDpi xmlns:a14="http://schemas.microsoft.com/office/drawing/2010/main" val="0"/>
                        </a:ext>
                      </a:extLst>
                    </a:blip>
                    <a:srcRect t="5687"/>
                    <a:stretch/>
                  </pic:blipFill>
                  <pic:spPr bwMode="auto">
                    <a:xfrm>
                      <a:off x="0" y="0"/>
                      <a:ext cx="9044104" cy="4799293"/>
                    </a:xfrm>
                    <a:prstGeom prst="rect">
                      <a:avLst/>
                    </a:prstGeom>
                    <a:noFill/>
                    <a:ln>
                      <a:noFill/>
                    </a:ln>
                    <a:extLst>
                      <a:ext uri="{53640926-AAD7-44D8-BBD7-CCE9431645EC}">
                        <a14:shadowObscured xmlns:a14="http://schemas.microsoft.com/office/drawing/2010/main"/>
                      </a:ext>
                    </a:extLst>
                  </pic:spPr>
                </pic:pic>
              </a:graphicData>
            </a:graphic>
          </wp:inline>
        </w:drawing>
      </w:r>
    </w:p>
    <w:p w14:paraId="0C04805E" w14:textId="2AB15BC6" w:rsidR="00EA2088" w:rsidRPr="009867C1" w:rsidRDefault="00EA2088" w:rsidP="00EA2088">
      <w:pPr>
        <w:pStyle w:val="Caption"/>
        <w:rPr>
          <w:vanish/>
          <w:specVanish/>
        </w:rPr>
      </w:pPr>
      <w:bookmarkStart w:id="343" w:name="_Ref76307766"/>
      <w:bookmarkStart w:id="344" w:name="_Ref76307727"/>
      <w:bookmarkStart w:id="345" w:name="_Toc86773940"/>
      <w:r w:rsidRPr="009867C1">
        <w:t xml:space="preserve">Figure </w:t>
      </w:r>
      <w:r w:rsidR="00840B50" w:rsidRPr="009867C1">
        <w:fldChar w:fldCharType="begin"/>
      </w:r>
      <w:r w:rsidR="00840B50" w:rsidRPr="009867C1">
        <w:instrText xml:space="preserve"> STYLEREF 7 \s </w:instrText>
      </w:r>
      <w:r w:rsidR="00840B50" w:rsidRPr="009867C1">
        <w:fldChar w:fldCharType="separate"/>
      </w:r>
      <w:r w:rsidR="000667DB">
        <w:rPr>
          <w:noProof/>
        </w:rPr>
        <w:t>C</w:t>
      </w:r>
      <w:r w:rsidR="00840B50" w:rsidRPr="009867C1">
        <w:fldChar w:fldCharType="end"/>
      </w:r>
      <w:r w:rsidR="00840B50" w:rsidRPr="009867C1">
        <w:noBreakHyphen/>
      </w:r>
      <w:r w:rsidR="00840B50" w:rsidRPr="009867C1">
        <w:fldChar w:fldCharType="begin"/>
      </w:r>
      <w:r w:rsidR="00840B50" w:rsidRPr="009867C1">
        <w:instrText xml:space="preserve"> SEQ Appendix_Figure \* ARABIC \s 7 </w:instrText>
      </w:r>
      <w:r w:rsidR="00840B50" w:rsidRPr="009867C1">
        <w:fldChar w:fldCharType="separate"/>
      </w:r>
      <w:r w:rsidR="000667DB">
        <w:rPr>
          <w:noProof/>
        </w:rPr>
        <w:t>1</w:t>
      </w:r>
      <w:r w:rsidR="00840B50" w:rsidRPr="009867C1">
        <w:fldChar w:fldCharType="end"/>
      </w:r>
      <w:bookmarkEnd w:id="343"/>
      <w:r w:rsidRPr="009867C1">
        <w:t>: Heatmap of observed moss percent cover by watershed</w:t>
      </w:r>
      <w:bookmarkEnd w:id="344"/>
      <w:bookmarkEnd w:id="345"/>
    </w:p>
    <w:p w14:paraId="23BD5EFB" w14:textId="77777777" w:rsidR="00EA2088" w:rsidRPr="009867C1" w:rsidRDefault="00EA2088" w:rsidP="00EA2088">
      <w:pPr>
        <w:pStyle w:val="Caption"/>
      </w:pPr>
      <w:r w:rsidRPr="009867C1">
        <w:t xml:space="preserve"> , in order of increasing salmon density. Sites above waterfalls are in the lower facet of each heatmap. Raw values are in the left-hand plot, and as a proportion of measured species within each watershed on the right. Values displayed are the mean across plots (n=2) within each watershed. For each species, corresponding SNR and mycorrhizal guild traits are displayed on top bars.    </w:t>
      </w:r>
    </w:p>
    <w:p w14:paraId="3ED4C884" w14:textId="32F18BF1" w:rsidR="00495E89" w:rsidRPr="009867C1" w:rsidRDefault="00495E89" w:rsidP="00EA2088">
      <w:pPr>
        <w:pStyle w:val="Caption"/>
      </w:pPr>
    </w:p>
    <w:p w14:paraId="3B3B2E33" w14:textId="77777777" w:rsidR="00EA2088" w:rsidRPr="009867C1" w:rsidRDefault="00495E89" w:rsidP="00EA2088">
      <w:pPr>
        <w:keepNext/>
      </w:pPr>
      <w:r w:rsidRPr="009867C1">
        <w:rPr>
          <w:noProof/>
        </w:rPr>
        <w:drawing>
          <wp:inline distT="0" distB="0" distL="0" distR="0" wp14:anchorId="478D1571" wp14:editId="0AF28993">
            <wp:extent cx="7394713" cy="3772958"/>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3">
                      <a:extLst>
                        <a:ext uri="{28A0092B-C50C-407E-A947-70E740481C1C}">
                          <a14:useLocalDpi xmlns:a14="http://schemas.microsoft.com/office/drawing/2010/main" val="0"/>
                        </a:ext>
                      </a:extLst>
                    </a:blip>
                    <a:srcRect t="9322"/>
                    <a:stretch/>
                  </pic:blipFill>
                  <pic:spPr bwMode="auto">
                    <a:xfrm>
                      <a:off x="0" y="0"/>
                      <a:ext cx="7408527" cy="3780006"/>
                    </a:xfrm>
                    <a:prstGeom prst="rect">
                      <a:avLst/>
                    </a:prstGeom>
                    <a:noFill/>
                    <a:ln>
                      <a:noFill/>
                    </a:ln>
                    <a:extLst>
                      <a:ext uri="{53640926-AAD7-44D8-BBD7-CCE9431645EC}">
                        <a14:shadowObscured xmlns:a14="http://schemas.microsoft.com/office/drawing/2010/main"/>
                      </a:ext>
                    </a:extLst>
                  </pic:spPr>
                </pic:pic>
              </a:graphicData>
            </a:graphic>
          </wp:inline>
        </w:drawing>
      </w:r>
    </w:p>
    <w:p w14:paraId="7AB7A600" w14:textId="47D579FA" w:rsidR="00EA2088" w:rsidRPr="009867C1" w:rsidRDefault="00EA2088" w:rsidP="00EA2088">
      <w:pPr>
        <w:pStyle w:val="Caption"/>
        <w:rPr>
          <w:vanish/>
          <w:specVanish/>
        </w:rPr>
      </w:pPr>
      <w:bookmarkStart w:id="346" w:name="_Toc86773941"/>
      <w:r w:rsidRPr="009867C1">
        <w:t xml:space="preserve">Figure </w:t>
      </w:r>
      <w:r w:rsidR="00840B50" w:rsidRPr="009867C1">
        <w:fldChar w:fldCharType="begin"/>
      </w:r>
      <w:r w:rsidR="00840B50" w:rsidRPr="009867C1">
        <w:instrText xml:space="preserve"> STYLEREF 7 \s </w:instrText>
      </w:r>
      <w:r w:rsidR="00840B50" w:rsidRPr="009867C1">
        <w:fldChar w:fldCharType="separate"/>
      </w:r>
      <w:r w:rsidR="000667DB">
        <w:rPr>
          <w:noProof/>
        </w:rPr>
        <w:t>C</w:t>
      </w:r>
      <w:r w:rsidR="00840B50" w:rsidRPr="009867C1">
        <w:fldChar w:fldCharType="end"/>
      </w:r>
      <w:r w:rsidR="00840B50" w:rsidRPr="009867C1">
        <w:noBreakHyphen/>
      </w:r>
      <w:r w:rsidR="00840B50" w:rsidRPr="009867C1">
        <w:fldChar w:fldCharType="begin"/>
      </w:r>
      <w:r w:rsidR="00840B50" w:rsidRPr="009867C1">
        <w:instrText xml:space="preserve"> SEQ Appendix_Figure \* ARABIC \s 7 </w:instrText>
      </w:r>
      <w:r w:rsidR="00840B50" w:rsidRPr="009867C1">
        <w:fldChar w:fldCharType="separate"/>
      </w:r>
      <w:r w:rsidR="000667DB">
        <w:rPr>
          <w:noProof/>
        </w:rPr>
        <w:t>2</w:t>
      </w:r>
      <w:r w:rsidR="00840B50" w:rsidRPr="009867C1">
        <w:fldChar w:fldCharType="end"/>
      </w:r>
      <w:r w:rsidRPr="009867C1">
        <w:t>: Heatmap of observed herb and fern percent cover by watershed</w:t>
      </w:r>
      <w:bookmarkEnd w:id="346"/>
    </w:p>
    <w:p w14:paraId="7268371F" w14:textId="77777777" w:rsidR="00EA2088" w:rsidRPr="009867C1" w:rsidRDefault="00EA2088" w:rsidP="00EA2088">
      <w:pPr>
        <w:pStyle w:val="Caption"/>
        <w:rPr>
          <w:noProof/>
        </w:rPr>
      </w:pPr>
      <w:r w:rsidRPr="009867C1">
        <w:t xml:space="preserve"> , in order of increasing salmon density. Sites above waterfalls are in the lower facet of each heatmap. Raw values are in the left-hand plot, and as a proportion of measured species within each watershed on the right. Values displayed are the mean across plots (n=2) within each watershed. For each species, corresponding SNR and mycorrhizal guild traits are displayed on top bars.    </w:t>
      </w:r>
    </w:p>
    <w:p w14:paraId="4FB1F45C" w14:textId="77777777" w:rsidR="00EA2088" w:rsidRPr="009867C1" w:rsidRDefault="00495E89" w:rsidP="00EA2088">
      <w:pPr>
        <w:keepNext/>
      </w:pPr>
      <w:r w:rsidRPr="009867C1">
        <w:rPr>
          <w:noProof/>
        </w:rPr>
        <w:drawing>
          <wp:inline distT="0" distB="0" distL="0" distR="0" wp14:anchorId="6064B39B" wp14:editId="124B1C33">
            <wp:extent cx="8951492" cy="4396435"/>
            <wp:effectExtent l="0" t="0" r="2540" b="444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4">
                      <a:extLst>
                        <a:ext uri="{28A0092B-C50C-407E-A947-70E740481C1C}">
                          <a14:useLocalDpi xmlns:a14="http://schemas.microsoft.com/office/drawing/2010/main" val="0"/>
                        </a:ext>
                      </a:extLst>
                    </a:blip>
                    <a:srcRect t="4509" b="8201"/>
                    <a:stretch/>
                  </pic:blipFill>
                  <pic:spPr bwMode="auto">
                    <a:xfrm>
                      <a:off x="0" y="0"/>
                      <a:ext cx="8970022" cy="4405536"/>
                    </a:xfrm>
                    <a:prstGeom prst="rect">
                      <a:avLst/>
                    </a:prstGeom>
                    <a:noFill/>
                    <a:ln>
                      <a:noFill/>
                    </a:ln>
                    <a:extLst>
                      <a:ext uri="{53640926-AAD7-44D8-BBD7-CCE9431645EC}">
                        <a14:shadowObscured xmlns:a14="http://schemas.microsoft.com/office/drawing/2010/main"/>
                      </a:ext>
                    </a:extLst>
                  </pic:spPr>
                </pic:pic>
              </a:graphicData>
            </a:graphic>
          </wp:inline>
        </w:drawing>
      </w:r>
    </w:p>
    <w:p w14:paraId="60815427" w14:textId="206019F9" w:rsidR="00EA2088" w:rsidRPr="009867C1" w:rsidRDefault="00EA2088" w:rsidP="00EA2088">
      <w:pPr>
        <w:pStyle w:val="Caption"/>
        <w:rPr>
          <w:vanish/>
          <w:specVanish/>
        </w:rPr>
      </w:pPr>
      <w:bookmarkStart w:id="347" w:name="_Toc86773942"/>
      <w:r w:rsidRPr="009867C1">
        <w:t xml:space="preserve">Figure </w:t>
      </w:r>
      <w:r w:rsidR="00840B50" w:rsidRPr="009867C1">
        <w:fldChar w:fldCharType="begin"/>
      </w:r>
      <w:r w:rsidR="00840B50" w:rsidRPr="009867C1">
        <w:instrText xml:space="preserve"> STYLEREF 7 \s </w:instrText>
      </w:r>
      <w:r w:rsidR="00840B50" w:rsidRPr="009867C1">
        <w:fldChar w:fldCharType="separate"/>
      </w:r>
      <w:r w:rsidR="000667DB">
        <w:rPr>
          <w:noProof/>
        </w:rPr>
        <w:t>C</w:t>
      </w:r>
      <w:r w:rsidR="00840B50" w:rsidRPr="009867C1">
        <w:fldChar w:fldCharType="end"/>
      </w:r>
      <w:r w:rsidR="00840B50" w:rsidRPr="009867C1">
        <w:noBreakHyphen/>
      </w:r>
      <w:r w:rsidR="00840B50" w:rsidRPr="009867C1">
        <w:fldChar w:fldCharType="begin"/>
      </w:r>
      <w:r w:rsidR="00840B50" w:rsidRPr="009867C1">
        <w:instrText xml:space="preserve"> SEQ Appendix_Figure \* ARABIC \s 7 </w:instrText>
      </w:r>
      <w:r w:rsidR="00840B50" w:rsidRPr="009867C1">
        <w:fldChar w:fldCharType="separate"/>
      </w:r>
      <w:r w:rsidR="000667DB">
        <w:rPr>
          <w:noProof/>
        </w:rPr>
        <w:t>3</w:t>
      </w:r>
      <w:r w:rsidR="00840B50" w:rsidRPr="009867C1">
        <w:fldChar w:fldCharType="end"/>
      </w:r>
      <w:r w:rsidRPr="009867C1">
        <w:t>: Heatmap of observed shrub volume by watershed</w:t>
      </w:r>
      <w:bookmarkEnd w:id="347"/>
    </w:p>
    <w:p w14:paraId="5C8635DB" w14:textId="77777777" w:rsidR="00EA2088" w:rsidRPr="009867C1" w:rsidRDefault="00EA2088" w:rsidP="00EA2088">
      <w:pPr>
        <w:pStyle w:val="Caption"/>
        <w:rPr>
          <w:noProof/>
        </w:rPr>
      </w:pPr>
      <w:r w:rsidRPr="009867C1">
        <w:t xml:space="preserve"> , in order of increasing salmon density. Sites above waterfalls are in the lower facet of each heatmap. Raw values are in the left-hand plot, and as a proportion of measured species within each watershed on the right. Values displayed are the mean across plots (n=2) within each watershed. For each species, corresponding SNR and mycorrhizal guild traits are displayed on top bars.    </w:t>
      </w:r>
    </w:p>
    <w:p w14:paraId="46DF3964" w14:textId="77777777" w:rsidR="00EA2088" w:rsidRPr="009867C1" w:rsidRDefault="00495E89" w:rsidP="00EA2088">
      <w:pPr>
        <w:keepNext/>
      </w:pPr>
      <w:r w:rsidRPr="009867C1">
        <w:rPr>
          <w:noProof/>
        </w:rPr>
        <w:drawing>
          <wp:inline distT="0" distB="0" distL="0" distR="0" wp14:anchorId="668590AA" wp14:editId="2D0BB62E">
            <wp:extent cx="8924544" cy="4616854"/>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5">
                      <a:extLst>
                        <a:ext uri="{28A0092B-C50C-407E-A947-70E740481C1C}">
                          <a14:useLocalDpi xmlns:a14="http://schemas.microsoft.com/office/drawing/2010/main" val="0"/>
                        </a:ext>
                      </a:extLst>
                    </a:blip>
                    <a:srcRect t="8057"/>
                    <a:stretch/>
                  </pic:blipFill>
                  <pic:spPr bwMode="auto">
                    <a:xfrm>
                      <a:off x="0" y="0"/>
                      <a:ext cx="8933526" cy="4621500"/>
                    </a:xfrm>
                    <a:prstGeom prst="rect">
                      <a:avLst/>
                    </a:prstGeom>
                    <a:noFill/>
                    <a:ln>
                      <a:noFill/>
                    </a:ln>
                    <a:extLst>
                      <a:ext uri="{53640926-AAD7-44D8-BBD7-CCE9431645EC}">
                        <a14:shadowObscured xmlns:a14="http://schemas.microsoft.com/office/drawing/2010/main"/>
                      </a:ext>
                    </a:extLst>
                  </pic:spPr>
                </pic:pic>
              </a:graphicData>
            </a:graphic>
          </wp:inline>
        </w:drawing>
      </w:r>
    </w:p>
    <w:p w14:paraId="5E7E6E8F" w14:textId="3E449EA7" w:rsidR="00EA2088" w:rsidRPr="009867C1" w:rsidRDefault="00EA2088" w:rsidP="00EA2088">
      <w:pPr>
        <w:pStyle w:val="Caption"/>
        <w:rPr>
          <w:vanish/>
          <w:specVanish/>
        </w:rPr>
      </w:pPr>
      <w:bookmarkStart w:id="348" w:name="_Ref76307767"/>
      <w:bookmarkStart w:id="349" w:name="_Ref76307732"/>
      <w:bookmarkStart w:id="350" w:name="_Toc86773943"/>
      <w:r w:rsidRPr="009867C1">
        <w:t xml:space="preserve">Figure </w:t>
      </w:r>
      <w:r w:rsidR="00840B50" w:rsidRPr="009867C1">
        <w:fldChar w:fldCharType="begin"/>
      </w:r>
      <w:r w:rsidR="00840B50" w:rsidRPr="009867C1">
        <w:instrText xml:space="preserve"> STYLEREF 7 \s </w:instrText>
      </w:r>
      <w:r w:rsidR="00840B50" w:rsidRPr="009867C1">
        <w:fldChar w:fldCharType="separate"/>
      </w:r>
      <w:r w:rsidR="000667DB">
        <w:rPr>
          <w:noProof/>
        </w:rPr>
        <w:t>C</w:t>
      </w:r>
      <w:r w:rsidR="00840B50" w:rsidRPr="009867C1">
        <w:fldChar w:fldCharType="end"/>
      </w:r>
      <w:r w:rsidR="00840B50" w:rsidRPr="009867C1">
        <w:noBreakHyphen/>
      </w:r>
      <w:r w:rsidR="00840B50" w:rsidRPr="009867C1">
        <w:fldChar w:fldCharType="begin"/>
      </w:r>
      <w:r w:rsidR="00840B50" w:rsidRPr="009867C1">
        <w:instrText xml:space="preserve"> SEQ Appendix_Figure \* ARABIC \s 7 </w:instrText>
      </w:r>
      <w:r w:rsidR="00840B50" w:rsidRPr="009867C1">
        <w:fldChar w:fldCharType="separate"/>
      </w:r>
      <w:r w:rsidR="000667DB">
        <w:rPr>
          <w:noProof/>
        </w:rPr>
        <w:t>4</w:t>
      </w:r>
      <w:r w:rsidR="00840B50" w:rsidRPr="009867C1">
        <w:fldChar w:fldCharType="end"/>
      </w:r>
      <w:bookmarkEnd w:id="348"/>
      <w:r w:rsidRPr="009867C1">
        <w:t>: Heatmap of observed tree basal area by watershed</w:t>
      </w:r>
      <w:bookmarkEnd w:id="349"/>
      <w:bookmarkEnd w:id="350"/>
    </w:p>
    <w:p w14:paraId="33643DF0" w14:textId="77777777" w:rsidR="00EA2088" w:rsidRPr="009867C1" w:rsidRDefault="00EA2088" w:rsidP="00EA2088">
      <w:pPr>
        <w:pStyle w:val="Caption"/>
        <w:rPr>
          <w:noProof/>
        </w:rPr>
      </w:pPr>
      <w:r w:rsidRPr="009867C1">
        <w:t xml:space="preserve"> , in order of increasing salmon density. Sites above waterfalls are in the lower facet of each heatmap. Raw values are in the left-hand plot, and as a proportion of measured species within each watershed on the right. Values displayed are the mean across plots (n=2) within each watershed. For each species, corresponding SNR and mycorrhizal guild traits are displayed on top bars.    </w:t>
      </w:r>
    </w:p>
    <w:p w14:paraId="0BA60943" w14:textId="77777777" w:rsidR="00EA2088" w:rsidRPr="009867C1" w:rsidRDefault="00495E89" w:rsidP="00EA2088">
      <w:pPr>
        <w:keepNext/>
      </w:pPr>
      <w:r w:rsidRPr="009867C1">
        <w:rPr>
          <w:noProof/>
        </w:rPr>
        <w:drawing>
          <wp:inline distT="0" distB="0" distL="0" distR="0" wp14:anchorId="3558D62F" wp14:editId="2C1D89E4">
            <wp:extent cx="6491107" cy="4856582"/>
            <wp:effectExtent l="0" t="0" r="5080" b="127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9976"/>
                    <a:stretch/>
                  </pic:blipFill>
                  <pic:spPr bwMode="auto">
                    <a:xfrm>
                      <a:off x="0" y="0"/>
                      <a:ext cx="6493983" cy="4858734"/>
                    </a:xfrm>
                    <a:prstGeom prst="rect">
                      <a:avLst/>
                    </a:prstGeom>
                    <a:noFill/>
                    <a:ln>
                      <a:noFill/>
                    </a:ln>
                    <a:extLst>
                      <a:ext uri="{53640926-AAD7-44D8-BBD7-CCE9431645EC}">
                        <a14:shadowObscured xmlns:a14="http://schemas.microsoft.com/office/drawing/2010/main"/>
                      </a:ext>
                    </a:extLst>
                  </pic:spPr>
                </pic:pic>
              </a:graphicData>
            </a:graphic>
          </wp:inline>
        </w:drawing>
      </w:r>
    </w:p>
    <w:p w14:paraId="437C727D" w14:textId="24E06489" w:rsidR="00EA2088" w:rsidRPr="009867C1" w:rsidRDefault="00EA2088" w:rsidP="00EA2088">
      <w:pPr>
        <w:pStyle w:val="Caption"/>
        <w:rPr>
          <w:vanish/>
          <w:specVanish/>
        </w:rPr>
      </w:pPr>
      <w:bookmarkStart w:id="351" w:name="_Ref76307797"/>
      <w:bookmarkStart w:id="352" w:name="_Toc86773944"/>
      <w:r w:rsidRPr="009867C1">
        <w:t xml:space="preserve">Figure </w:t>
      </w:r>
      <w:r w:rsidR="00840B50" w:rsidRPr="009867C1">
        <w:fldChar w:fldCharType="begin"/>
      </w:r>
      <w:r w:rsidR="00840B50" w:rsidRPr="009867C1">
        <w:instrText xml:space="preserve"> STYLEREF 7 \s </w:instrText>
      </w:r>
      <w:r w:rsidR="00840B50" w:rsidRPr="009867C1">
        <w:fldChar w:fldCharType="separate"/>
      </w:r>
      <w:r w:rsidR="000667DB">
        <w:rPr>
          <w:noProof/>
        </w:rPr>
        <w:t>C</w:t>
      </w:r>
      <w:r w:rsidR="00840B50" w:rsidRPr="009867C1">
        <w:fldChar w:fldCharType="end"/>
      </w:r>
      <w:r w:rsidR="00840B50" w:rsidRPr="009867C1">
        <w:noBreakHyphen/>
      </w:r>
      <w:r w:rsidR="00840B50" w:rsidRPr="009867C1">
        <w:fldChar w:fldCharType="begin"/>
      </w:r>
      <w:r w:rsidR="00840B50" w:rsidRPr="009867C1">
        <w:instrText xml:space="preserve"> SEQ Appendix_Figure \* ARABIC \s 7 </w:instrText>
      </w:r>
      <w:r w:rsidR="00840B50" w:rsidRPr="009867C1">
        <w:fldChar w:fldCharType="separate"/>
      </w:r>
      <w:r w:rsidR="000667DB">
        <w:rPr>
          <w:noProof/>
        </w:rPr>
        <w:t>5</w:t>
      </w:r>
      <w:r w:rsidR="00840B50" w:rsidRPr="009867C1">
        <w:fldChar w:fldCharType="end"/>
      </w:r>
      <w:bookmarkEnd w:id="351"/>
      <w:r w:rsidRPr="009867C1">
        <w:t>: PCA loadings for moss.</w:t>
      </w:r>
      <w:bookmarkEnd w:id="352"/>
    </w:p>
    <w:p w14:paraId="1840FB95" w14:textId="77777777" w:rsidR="00EA2088" w:rsidRPr="009867C1" w:rsidRDefault="00EA2088" w:rsidP="00EA2088">
      <w:pPr>
        <w:pStyle w:val="Caption"/>
        <w:rPr>
          <w:noProof/>
        </w:rPr>
      </w:pPr>
      <w:r w:rsidRPr="009867C1">
        <w:t xml:space="preserve"> The first axis (42% of variation) corresponds primarily to lanky moss and the second axis (41% of variation) to step moss.</w:t>
      </w:r>
    </w:p>
    <w:p w14:paraId="2C9445C5" w14:textId="10003243" w:rsidR="00495E89" w:rsidRPr="009867C1" w:rsidRDefault="00495E89" w:rsidP="00EA2088">
      <w:pPr>
        <w:pStyle w:val="Caption"/>
      </w:pPr>
    </w:p>
    <w:p w14:paraId="1EC3806E" w14:textId="77777777" w:rsidR="00EA2088" w:rsidRPr="009867C1" w:rsidRDefault="00495E89" w:rsidP="00EA2088">
      <w:pPr>
        <w:keepNext/>
      </w:pPr>
      <w:r w:rsidRPr="009867C1">
        <w:rPr>
          <w:noProof/>
        </w:rPr>
        <w:drawing>
          <wp:inline distT="0" distB="0" distL="0" distR="0" wp14:anchorId="043FA7E1" wp14:editId="070C503A">
            <wp:extent cx="6397645" cy="4753914"/>
            <wp:effectExtent l="0" t="0" r="3175" b="889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10591"/>
                    <a:stretch/>
                  </pic:blipFill>
                  <pic:spPr bwMode="auto">
                    <a:xfrm>
                      <a:off x="0" y="0"/>
                      <a:ext cx="6403038" cy="4757921"/>
                    </a:xfrm>
                    <a:prstGeom prst="rect">
                      <a:avLst/>
                    </a:prstGeom>
                    <a:noFill/>
                    <a:ln>
                      <a:noFill/>
                    </a:ln>
                    <a:extLst>
                      <a:ext uri="{53640926-AAD7-44D8-BBD7-CCE9431645EC}">
                        <a14:shadowObscured xmlns:a14="http://schemas.microsoft.com/office/drawing/2010/main"/>
                      </a:ext>
                    </a:extLst>
                  </pic:spPr>
                </pic:pic>
              </a:graphicData>
            </a:graphic>
          </wp:inline>
        </w:drawing>
      </w:r>
    </w:p>
    <w:p w14:paraId="7925EE36" w14:textId="25D288E6" w:rsidR="00EA2088" w:rsidRPr="009867C1" w:rsidRDefault="00EA2088" w:rsidP="00EA2088">
      <w:pPr>
        <w:pStyle w:val="Caption"/>
        <w:rPr>
          <w:vanish/>
          <w:specVanish/>
        </w:rPr>
      </w:pPr>
      <w:bookmarkStart w:id="353" w:name="_Toc86773945"/>
      <w:r w:rsidRPr="009867C1">
        <w:t xml:space="preserve">Figure </w:t>
      </w:r>
      <w:r w:rsidR="00840B50" w:rsidRPr="009867C1">
        <w:fldChar w:fldCharType="begin"/>
      </w:r>
      <w:r w:rsidR="00840B50" w:rsidRPr="009867C1">
        <w:instrText xml:space="preserve"> STYLEREF 7 \s </w:instrText>
      </w:r>
      <w:r w:rsidR="00840B50" w:rsidRPr="009867C1">
        <w:fldChar w:fldCharType="separate"/>
      </w:r>
      <w:r w:rsidR="000667DB">
        <w:rPr>
          <w:noProof/>
        </w:rPr>
        <w:t>C</w:t>
      </w:r>
      <w:r w:rsidR="00840B50" w:rsidRPr="009867C1">
        <w:fldChar w:fldCharType="end"/>
      </w:r>
      <w:r w:rsidR="00840B50" w:rsidRPr="009867C1">
        <w:noBreakHyphen/>
      </w:r>
      <w:r w:rsidR="00840B50" w:rsidRPr="009867C1">
        <w:fldChar w:fldCharType="begin"/>
      </w:r>
      <w:r w:rsidR="00840B50" w:rsidRPr="009867C1">
        <w:instrText xml:space="preserve"> SEQ Appendix_Figure \* ARABIC \s 7 </w:instrText>
      </w:r>
      <w:r w:rsidR="00840B50" w:rsidRPr="009867C1">
        <w:fldChar w:fldCharType="separate"/>
      </w:r>
      <w:r w:rsidR="000667DB">
        <w:rPr>
          <w:noProof/>
        </w:rPr>
        <w:t>6</w:t>
      </w:r>
      <w:r w:rsidR="00840B50" w:rsidRPr="009867C1">
        <w:fldChar w:fldCharType="end"/>
      </w:r>
      <w:r w:rsidRPr="009867C1">
        <w:t>: PCA loadings for herbs.</w:t>
      </w:r>
      <w:bookmarkEnd w:id="353"/>
    </w:p>
    <w:p w14:paraId="3F30953D" w14:textId="77777777" w:rsidR="00EA2088" w:rsidRPr="009867C1" w:rsidRDefault="00EA2088" w:rsidP="00EA2088">
      <w:pPr>
        <w:pStyle w:val="Caption"/>
        <w:rPr>
          <w:noProof/>
        </w:rPr>
      </w:pPr>
      <w:r w:rsidRPr="009867C1">
        <w:t xml:space="preserve"> The first axis (35% of variation) consists primarily of false-lily-of-the-valley (positive) and deer fern and salal (negative). The second axis (18% of variation) consists of salal, deer fern, and false-lily-of-the-valley (negative).</w:t>
      </w:r>
    </w:p>
    <w:p w14:paraId="320AE497" w14:textId="45DA164F" w:rsidR="00495E89" w:rsidRPr="009867C1" w:rsidRDefault="00495E89" w:rsidP="00EA2088">
      <w:pPr>
        <w:pStyle w:val="Caption"/>
      </w:pPr>
    </w:p>
    <w:p w14:paraId="234B02C0" w14:textId="77777777" w:rsidR="00EA2088" w:rsidRPr="009867C1" w:rsidRDefault="00495E89" w:rsidP="00EA2088">
      <w:pPr>
        <w:keepNext/>
      </w:pPr>
      <w:r w:rsidRPr="009867C1">
        <w:rPr>
          <w:noProof/>
        </w:rPr>
        <w:drawing>
          <wp:inline distT="0" distB="0" distL="0" distR="0" wp14:anchorId="4B559672" wp14:editId="5AF885D9">
            <wp:extent cx="6428783" cy="4698089"/>
            <wp:effectExtent l="0" t="0" r="0" b="762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12069"/>
                    <a:stretch/>
                  </pic:blipFill>
                  <pic:spPr bwMode="auto">
                    <a:xfrm>
                      <a:off x="0" y="0"/>
                      <a:ext cx="6434238" cy="4702075"/>
                    </a:xfrm>
                    <a:prstGeom prst="rect">
                      <a:avLst/>
                    </a:prstGeom>
                    <a:noFill/>
                    <a:ln>
                      <a:noFill/>
                    </a:ln>
                    <a:extLst>
                      <a:ext uri="{53640926-AAD7-44D8-BBD7-CCE9431645EC}">
                        <a14:shadowObscured xmlns:a14="http://schemas.microsoft.com/office/drawing/2010/main"/>
                      </a:ext>
                    </a:extLst>
                  </pic:spPr>
                </pic:pic>
              </a:graphicData>
            </a:graphic>
          </wp:inline>
        </w:drawing>
      </w:r>
    </w:p>
    <w:p w14:paraId="1048949F" w14:textId="7038645A" w:rsidR="00EA2088" w:rsidRPr="009867C1" w:rsidRDefault="00EA2088" w:rsidP="00EA2088">
      <w:pPr>
        <w:pStyle w:val="Caption"/>
        <w:rPr>
          <w:vanish/>
          <w:specVanish/>
        </w:rPr>
      </w:pPr>
      <w:bookmarkStart w:id="354" w:name="_Toc86773946"/>
      <w:r w:rsidRPr="009867C1">
        <w:t xml:space="preserve">Figure </w:t>
      </w:r>
      <w:r w:rsidR="00840B50" w:rsidRPr="009867C1">
        <w:fldChar w:fldCharType="begin"/>
      </w:r>
      <w:r w:rsidR="00840B50" w:rsidRPr="009867C1">
        <w:instrText xml:space="preserve"> STYLEREF 7 \s </w:instrText>
      </w:r>
      <w:r w:rsidR="00840B50" w:rsidRPr="009867C1">
        <w:fldChar w:fldCharType="separate"/>
      </w:r>
      <w:r w:rsidR="000667DB">
        <w:rPr>
          <w:noProof/>
        </w:rPr>
        <w:t>C</w:t>
      </w:r>
      <w:r w:rsidR="00840B50" w:rsidRPr="009867C1">
        <w:fldChar w:fldCharType="end"/>
      </w:r>
      <w:r w:rsidR="00840B50" w:rsidRPr="009867C1">
        <w:noBreakHyphen/>
      </w:r>
      <w:r w:rsidR="00840B50" w:rsidRPr="009867C1">
        <w:fldChar w:fldCharType="begin"/>
      </w:r>
      <w:r w:rsidR="00840B50" w:rsidRPr="009867C1">
        <w:instrText xml:space="preserve"> SEQ Appendix_Figure \* ARABIC \s 7 </w:instrText>
      </w:r>
      <w:r w:rsidR="00840B50" w:rsidRPr="009867C1">
        <w:fldChar w:fldCharType="separate"/>
      </w:r>
      <w:r w:rsidR="000667DB">
        <w:rPr>
          <w:noProof/>
        </w:rPr>
        <w:t>7</w:t>
      </w:r>
      <w:r w:rsidR="00840B50" w:rsidRPr="009867C1">
        <w:fldChar w:fldCharType="end"/>
      </w:r>
      <w:r w:rsidRPr="009867C1">
        <w:t>: PCA loadings for the shrub influence index.</w:t>
      </w:r>
      <w:bookmarkEnd w:id="354"/>
    </w:p>
    <w:p w14:paraId="4B7A5D85" w14:textId="77777777" w:rsidR="00EA2088" w:rsidRPr="009867C1" w:rsidRDefault="00EA2088" w:rsidP="00EA2088">
      <w:pPr>
        <w:pStyle w:val="Caption"/>
        <w:rPr>
          <w:noProof/>
        </w:rPr>
      </w:pPr>
      <w:r w:rsidRPr="009867C1">
        <w:t xml:space="preserve"> The first axis (90% of variation) consists mostly of salmonberry (positive) and the second axis (3% of variation) to false azalea and Alaskan blueberry (negative).</w:t>
      </w:r>
    </w:p>
    <w:p w14:paraId="139BBDBB" w14:textId="77777777" w:rsidR="00EA2088" w:rsidRPr="009867C1" w:rsidRDefault="00495E89" w:rsidP="00EA2088">
      <w:pPr>
        <w:keepNext/>
      </w:pPr>
      <w:r w:rsidRPr="009867C1">
        <w:rPr>
          <w:noProof/>
        </w:rPr>
        <w:drawing>
          <wp:inline distT="0" distB="0" distL="0" distR="0" wp14:anchorId="281054E3" wp14:editId="288202B4">
            <wp:extent cx="6708122" cy="4991487"/>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10468"/>
                    <a:stretch/>
                  </pic:blipFill>
                  <pic:spPr bwMode="auto">
                    <a:xfrm>
                      <a:off x="0" y="0"/>
                      <a:ext cx="6714403" cy="4996160"/>
                    </a:xfrm>
                    <a:prstGeom prst="rect">
                      <a:avLst/>
                    </a:prstGeom>
                    <a:noFill/>
                    <a:ln>
                      <a:noFill/>
                    </a:ln>
                    <a:extLst>
                      <a:ext uri="{53640926-AAD7-44D8-BBD7-CCE9431645EC}">
                        <a14:shadowObscured xmlns:a14="http://schemas.microsoft.com/office/drawing/2010/main"/>
                      </a:ext>
                    </a:extLst>
                  </pic:spPr>
                </pic:pic>
              </a:graphicData>
            </a:graphic>
          </wp:inline>
        </w:drawing>
      </w:r>
    </w:p>
    <w:p w14:paraId="6B4411FB" w14:textId="78D176FC" w:rsidR="00EA2088" w:rsidRPr="009867C1" w:rsidRDefault="00EA2088" w:rsidP="00EA2088">
      <w:pPr>
        <w:pStyle w:val="Caption"/>
        <w:rPr>
          <w:vanish/>
          <w:specVanish/>
        </w:rPr>
      </w:pPr>
      <w:bookmarkStart w:id="355" w:name="_Ref76307813"/>
      <w:bookmarkStart w:id="356" w:name="_Toc86773947"/>
      <w:r w:rsidRPr="009867C1">
        <w:t xml:space="preserve">Figure </w:t>
      </w:r>
      <w:r w:rsidR="00840B50" w:rsidRPr="009867C1">
        <w:fldChar w:fldCharType="begin"/>
      </w:r>
      <w:r w:rsidR="00840B50" w:rsidRPr="009867C1">
        <w:instrText xml:space="preserve"> STYLEREF 7 \s </w:instrText>
      </w:r>
      <w:r w:rsidR="00840B50" w:rsidRPr="009867C1">
        <w:fldChar w:fldCharType="separate"/>
      </w:r>
      <w:r w:rsidR="000667DB">
        <w:rPr>
          <w:noProof/>
        </w:rPr>
        <w:t>C</w:t>
      </w:r>
      <w:r w:rsidR="00840B50" w:rsidRPr="009867C1">
        <w:fldChar w:fldCharType="end"/>
      </w:r>
      <w:r w:rsidR="00840B50" w:rsidRPr="009867C1">
        <w:noBreakHyphen/>
      </w:r>
      <w:r w:rsidR="00840B50" w:rsidRPr="009867C1">
        <w:fldChar w:fldCharType="begin"/>
      </w:r>
      <w:r w:rsidR="00840B50" w:rsidRPr="009867C1">
        <w:instrText xml:space="preserve"> SEQ Appendix_Figure \* ARABIC \s 7 </w:instrText>
      </w:r>
      <w:r w:rsidR="00840B50" w:rsidRPr="009867C1">
        <w:fldChar w:fldCharType="separate"/>
      </w:r>
      <w:r w:rsidR="000667DB">
        <w:rPr>
          <w:noProof/>
        </w:rPr>
        <w:t>8</w:t>
      </w:r>
      <w:r w:rsidR="00840B50" w:rsidRPr="009867C1">
        <w:fldChar w:fldCharType="end"/>
      </w:r>
      <w:bookmarkEnd w:id="355"/>
      <w:r w:rsidRPr="009867C1">
        <w:t>: PCA loadings for tree influence index.</w:t>
      </w:r>
      <w:bookmarkEnd w:id="356"/>
    </w:p>
    <w:p w14:paraId="2D72BD93" w14:textId="77777777" w:rsidR="00EA2088" w:rsidRPr="009867C1" w:rsidRDefault="00EA2088" w:rsidP="00EA2088">
      <w:pPr>
        <w:pStyle w:val="Caption"/>
        <w:sectPr w:rsidR="00EA2088" w:rsidRPr="009867C1" w:rsidSect="00102181">
          <w:pgSz w:w="15840" w:h="12240" w:orient="landscape"/>
          <w:pgMar w:top="1440" w:right="1440" w:bottom="1440" w:left="1440" w:header="706" w:footer="706" w:gutter="0"/>
          <w:cols w:space="708"/>
          <w:docGrid w:linePitch="326"/>
        </w:sectPr>
      </w:pPr>
      <w:r w:rsidRPr="009867C1">
        <w:t xml:space="preserve"> The first axis (38% of variation) </w:t>
      </w:r>
      <w:bookmarkStart w:id="357" w:name="_Hlk71280499"/>
      <w:r w:rsidRPr="009867C1">
        <w:t xml:space="preserve">consists of cedar (positive), and the second axis (18% of variation) a combination of snags (positive) and stumps and Sitka spruce (negative). </w:t>
      </w:r>
      <w:bookmarkEnd w:id="357"/>
    </w:p>
    <w:p w14:paraId="4FF3BFC6" w14:textId="6B8431DC" w:rsidR="00495E89" w:rsidRPr="009867C1" w:rsidRDefault="00495E89" w:rsidP="00DB2610">
      <w:pPr>
        <w:pStyle w:val="Heading8"/>
      </w:pPr>
      <w:bookmarkStart w:id="358" w:name="_Toc99385533"/>
      <w:r w:rsidRPr="009867C1">
        <w:t>Vegetation Autumn 2017</w:t>
      </w:r>
      <w:bookmarkEnd w:id="358"/>
    </w:p>
    <w:p w14:paraId="5510EE63" w14:textId="77777777" w:rsidR="00495E89" w:rsidRPr="009867C1" w:rsidRDefault="00495E89" w:rsidP="005C481D">
      <w:pPr>
        <w:ind w:firstLine="720"/>
      </w:pPr>
      <w:r w:rsidRPr="009867C1">
        <w:t xml:space="preserve">The goal of the autumn measures was to characterize the vegetation community around each sporocarp sample. This characterization had to be done rapidly due to time constraints during field work as sampling was conducted alongside fall fish counts by the Heiltsuk Integrated Resource Management Department and the Reynolds lab. To do this, a 5m-radius circular vegetation plot was measured centered on the fungal sporocarp sample, and percent cover of moss, herb, shrub, and tree species were visually estimated by Allen Larocque. For use as response variables in downstream analyses, the dimensions of these data were reduced via principal components analysis (PCA). </w:t>
      </w:r>
    </w:p>
    <w:p w14:paraId="0596358B" w14:textId="77777777" w:rsidR="00495E89" w:rsidRPr="009867C1" w:rsidRDefault="00495E89" w:rsidP="00495E89">
      <w:pPr>
        <w:rPr>
          <w:b/>
        </w:rPr>
      </w:pPr>
    </w:p>
    <w:p w14:paraId="6E90C659" w14:textId="77777777" w:rsidR="00495E89" w:rsidRPr="009867C1" w:rsidRDefault="00495E89" w:rsidP="00495E89">
      <w:pPr>
        <w:rPr>
          <w:b/>
        </w:rPr>
      </w:pPr>
      <w:r w:rsidRPr="009867C1">
        <w:rPr>
          <w:b/>
        </w:rPr>
        <w:t xml:space="preserve"> Dimensionality reduction (PCA):</w:t>
      </w:r>
    </w:p>
    <w:p w14:paraId="43162EA8" w14:textId="14C5AA4B" w:rsidR="00495E89" w:rsidRPr="009867C1" w:rsidRDefault="00495E89" w:rsidP="00495E89">
      <w:pPr>
        <w:ind w:firstLine="720"/>
      </w:pPr>
      <w:r w:rsidRPr="009867C1">
        <w:t xml:space="preserve">For each species group measurement (moss, herb, shrub, and tree percent cover) the lowest 10% of variables were removed based on low variance </w:t>
      </w:r>
      <w:r w:rsidRPr="009867C1">
        <w:fldChar w:fldCharType="begin"/>
      </w:r>
      <w:r w:rsidR="00AC0205">
        <w:instrText xml:space="preserve"> ADDIN ZOTERO_ITEM CSL_CITATION {"citationID":"PV2coGNo","properties":{"formattedCitation":"(Poos &amp; Jackson, 2012)","plainCitation":"(Poos &amp; Jackson, 2012)","noteIndex":0},"citationItems":[{"id":1659,"uris":["http://zotero.org/users/2189142/items/TKZK2N6W"],"itemData":{"id":1659,"type":"article-journal","container-title":"Ecological Indicators","page":"82–90","source":"Google Scholar","title":"Addressing the removal of rare species in multivariate bioassessments: the impact of methodological choices","title-short":"Addressing the removal of rare species in multivariate bioassessments","volume":"18","author":[{"family":"Poos","given":"Mark S."},{"family":"Jackson","given":"Donald A."}],"issued":{"date-parts":[["2012"]]},"citation-key":"poos_2012a"}}],"schema":"https://github.com/citation-style-language/schema/raw/master/csl-citation.json"} </w:instrText>
      </w:r>
      <w:r w:rsidRPr="009867C1">
        <w:fldChar w:fldCharType="separate"/>
      </w:r>
      <w:r w:rsidR="0042141C" w:rsidRPr="009867C1">
        <w:t>(Poos &amp; Jackson, 2012)</w:t>
      </w:r>
      <w:r w:rsidRPr="009867C1">
        <w:fldChar w:fldCharType="end"/>
      </w:r>
      <w:r w:rsidRPr="009867C1">
        <w:t xml:space="preserve"> and PCA performed on the remaining variables using the R package PCAtools </w:t>
      </w:r>
      <w:r w:rsidRPr="009867C1">
        <w:fldChar w:fldCharType="begin"/>
      </w:r>
      <w:r w:rsidR="00AC0205">
        <w:instrText xml:space="preserve"> ADDIN ZOTERO_ITEM CSL_CITATION {"citationID":"6GnIROPr","properties":{"formattedCitation":"(Blighe &amp; Lun, 2020)","plainCitation":"(Blighe &amp; Lun, 2020)","noteIndex":0},"citationItems":[{"id":9899,"uris":["http://zotero.org/users/2189142/items/AAZPBJ4C"],"itemData":{"id":9899,"type":"book","title":"PCAtools: PCAtools: Everything Principal Components Analysis","URL":"https://github.com/kevinblighe/PCAtools","author":[{"family":"Blighe","given":"Kevin"},{"family":"Lun","given":"Aaron"}],"issued":{"date-parts":[["2020"]]},"citation-key":"blighe_2020"}}],"schema":"https://github.com/citation-style-language/schema/raw/master/csl-citation.json"} </w:instrText>
      </w:r>
      <w:r w:rsidRPr="009867C1">
        <w:fldChar w:fldCharType="separate"/>
      </w:r>
      <w:r w:rsidR="0042141C" w:rsidRPr="009867C1">
        <w:t>(Blighe &amp; Lun, 2020)</w:t>
      </w:r>
      <w:r w:rsidRPr="009867C1">
        <w:fldChar w:fldCharType="end"/>
      </w:r>
      <w:r w:rsidRPr="009867C1">
        <w:t xml:space="preserve">. Unscaled rather than scaled variables were used as we were interested in the absolute influence of each species on sporocarp and surrounding soil, not the relative influences. </w:t>
      </w:r>
    </w:p>
    <w:p w14:paraId="4508B348" w14:textId="7B2590F9" w:rsidR="00495E89" w:rsidRPr="009867C1" w:rsidRDefault="00495E89" w:rsidP="00495E89">
      <w:pPr>
        <w:ind w:firstLine="720"/>
      </w:pPr>
      <w:r w:rsidRPr="009867C1">
        <w:t xml:space="preserve">The loadings on the first two axes of each PCA are visualized in </w:t>
      </w:r>
      <w:r w:rsidR="00732898" w:rsidRPr="009867C1">
        <w:fldChar w:fldCharType="begin"/>
      </w:r>
      <w:r w:rsidR="00732898" w:rsidRPr="009867C1">
        <w:instrText xml:space="preserve"> REF _Ref76307850 \h </w:instrText>
      </w:r>
      <w:r w:rsidR="009867C1">
        <w:instrText xml:space="preserve"> \* MERGEFORMAT </w:instrText>
      </w:r>
      <w:r w:rsidR="00732898" w:rsidRPr="009867C1">
        <w:fldChar w:fldCharType="separate"/>
      </w:r>
      <w:r w:rsidR="000667DB" w:rsidRPr="009867C1">
        <w:t xml:space="preserve">Figure </w:t>
      </w:r>
      <w:r w:rsidR="000667DB">
        <w:rPr>
          <w:noProof/>
        </w:rPr>
        <w:t>C</w:t>
      </w:r>
      <w:r w:rsidR="000667DB" w:rsidRPr="009867C1">
        <w:rPr>
          <w:noProof/>
        </w:rPr>
        <w:noBreakHyphen/>
      </w:r>
      <w:r w:rsidR="000667DB">
        <w:rPr>
          <w:noProof/>
        </w:rPr>
        <w:t>9</w:t>
      </w:r>
      <w:r w:rsidR="00732898" w:rsidRPr="009867C1">
        <w:fldChar w:fldCharType="end"/>
      </w:r>
      <w:r w:rsidRPr="009867C1">
        <w:t xml:space="preserve"> to </w:t>
      </w:r>
      <w:r w:rsidR="00732898" w:rsidRPr="009867C1">
        <w:fldChar w:fldCharType="begin"/>
      </w:r>
      <w:r w:rsidR="00732898" w:rsidRPr="009867C1">
        <w:instrText xml:space="preserve"> REF _Ref76307861 \h </w:instrText>
      </w:r>
      <w:r w:rsidR="009867C1">
        <w:instrText xml:space="preserve"> \* MERGEFORMAT </w:instrText>
      </w:r>
      <w:r w:rsidR="00732898" w:rsidRPr="009867C1">
        <w:fldChar w:fldCharType="separate"/>
      </w:r>
      <w:r w:rsidR="000667DB" w:rsidRPr="009867C1">
        <w:t xml:space="preserve">Figure </w:t>
      </w:r>
      <w:r w:rsidR="000667DB">
        <w:rPr>
          <w:noProof/>
        </w:rPr>
        <w:t>C</w:t>
      </w:r>
      <w:r w:rsidR="000667DB" w:rsidRPr="009867C1">
        <w:rPr>
          <w:noProof/>
        </w:rPr>
        <w:noBreakHyphen/>
      </w:r>
      <w:r w:rsidR="000667DB">
        <w:rPr>
          <w:noProof/>
        </w:rPr>
        <w:t>12</w:t>
      </w:r>
      <w:r w:rsidR="00732898" w:rsidRPr="009867C1">
        <w:fldChar w:fldCharType="end"/>
      </w:r>
      <w:r w:rsidRPr="009867C1">
        <w:t>, and were interpreted as : 1.) moss: PC1 42% variance explained, positive - Lanky moss (</w:t>
      </w:r>
      <w:r w:rsidRPr="009867C1">
        <w:rPr>
          <w:i/>
        </w:rPr>
        <w:t>Rhytidiadelphus loreus</w:t>
      </w:r>
      <w:r w:rsidRPr="009867C1">
        <w:t>); PC2 25% variance explained, negative - step moss (</w:t>
      </w:r>
      <w:r w:rsidRPr="009867C1">
        <w:rPr>
          <w:i/>
        </w:rPr>
        <w:t>Hylocomium splendens</w:t>
      </w:r>
      <w:r w:rsidRPr="009867C1">
        <w:t>); 2.) herbs: PC1 35.5% variance explained, positive - deer fern (</w:t>
      </w:r>
      <w:r w:rsidRPr="009867C1">
        <w:rPr>
          <w:i/>
        </w:rPr>
        <w:t>Struthiopteris spicant</w:t>
      </w:r>
      <w:r w:rsidRPr="009867C1">
        <w:t>), negative – spiny wood fern (</w:t>
      </w:r>
      <w:r w:rsidRPr="009867C1">
        <w:rPr>
          <w:i/>
        </w:rPr>
        <w:t>Dryopteris expansa</w:t>
      </w:r>
      <w:r w:rsidRPr="009867C1">
        <w:rPr>
          <w:iCs/>
        </w:rPr>
        <w:t>)</w:t>
      </w:r>
      <w:r w:rsidRPr="009867C1">
        <w:t>; PC2 29% variance explained, positive – spiny wood fern and deer fern, negative – bunchberry (</w:t>
      </w:r>
      <w:r w:rsidRPr="009867C1">
        <w:rPr>
          <w:i/>
          <w:iCs/>
        </w:rPr>
        <w:t>Cornus canadensis</w:t>
      </w:r>
      <w:r w:rsidRPr="009867C1">
        <w:t>); 3.) shrubs: PC1 34.7% variance explained, positive – Alaskan blueberry (</w:t>
      </w:r>
      <w:r w:rsidRPr="009867C1">
        <w:rPr>
          <w:i/>
          <w:iCs/>
        </w:rPr>
        <w:t>Vaccinuium alaskansae</w:t>
      </w:r>
      <w:r w:rsidRPr="009867C1">
        <w:t>); PC2 27.6% of variation, positive - salal (</w:t>
      </w:r>
      <w:r w:rsidRPr="009867C1">
        <w:rPr>
          <w:i/>
          <w:iCs/>
        </w:rPr>
        <w:t>Gaultheria shallon</w:t>
      </w:r>
      <w:r w:rsidRPr="009867C1">
        <w:t>) and false azalea (</w:t>
      </w:r>
      <w:r w:rsidRPr="009867C1">
        <w:rPr>
          <w:i/>
        </w:rPr>
        <w:t>Rhododendron menziesii</w:t>
      </w:r>
      <w:r w:rsidRPr="009867C1">
        <w:t>), and negative - salmonberry (</w:t>
      </w:r>
      <w:r w:rsidRPr="009867C1">
        <w:rPr>
          <w:i/>
          <w:iCs/>
        </w:rPr>
        <w:t>Rubus spectabilis</w:t>
      </w:r>
      <w:r w:rsidRPr="009867C1">
        <w:t>). 4.) trees: PC1 56% variance explained, positive – Sitka spruce (</w:t>
      </w:r>
      <w:r w:rsidRPr="009867C1">
        <w:rPr>
          <w:i/>
        </w:rPr>
        <w:t>Picea sitchensis</w:t>
      </w:r>
      <w:r w:rsidRPr="009867C1">
        <w:t>), negative - Western hemlock (</w:t>
      </w:r>
      <w:r w:rsidRPr="009867C1">
        <w:rPr>
          <w:i/>
        </w:rPr>
        <w:t>Tsuga heterophylla</w:t>
      </w:r>
      <w:r w:rsidRPr="009867C1">
        <w:t xml:space="preserve">); PC2 22.6% variance explained, positive – </w:t>
      </w:r>
      <w:r w:rsidR="00E63B12">
        <w:t>a</w:t>
      </w:r>
      <w:r w:rsidRPr="009867C1">
        <w:t>mabilis fir (</w:t>
      </w:r>
      <w:r w:rsidRPr="009867C1">
        <w:rPr>
          <w:i/>
          <w:iCs/>
        </w:rPr>
        <w:t>Abies amabilis</w:t>
      </w:r>
      <w:r w:rsidRPr="009867C1">
        <w:t>); negative – Western red cedar (</w:t>
      </w:r>
      <w:r w:rsidRPr="009867C1">
        <w:rPr>
          <w:i/>
          <w:iCs/>
        </w:rPr>
        <w:t>Thuja plicata</w:t>
      </w:r>
      <w:r w:rsidRPr="009867C1">
        <w:t xml:space="preserve">). Finally, the weights of the first two axes of each PCA for each soil core was extracted and used in downstream analyses.  </w:t>
      </w:r>
    </w:p>
    <w:p w14:paraId="79D2993C" w14:textId="77777777" w:rsidR="00495E89" w:rsidRPr="009867C1" w:rsidRDefault="00495E89" w:rsidP="00495E89">
      <w:pPr>
        <w:rPr>
          <w:b/>
        </w:rPr>
      </w:pPr>
    </w:p>
    <w:p w14:paraId="7C8A9173" w14:textId="77777777" w:rsidR="007E3DBC" w:rsidRPr="009867C1" w:rsidRDefault="007E3DBC" w:rsidP="00495E89">
      <w:pPr>
        <w:sectPr w:rsidR="007E3DBC" w:rsidRPr="009867C1" w:rsidSect="004E2CD0">
          <w:pgSz w:w="12240" w:h="15840"/>
          <w:pgMar w:top="1440" w:right="1440" w:bottom="1440" w:left="1440" w:header="706" w:footer="706" w:gutter="0"/>
          <w:cols w:space="708"/>
          <w:docGrid w:linePitch="326"/>
        </w:sectPr>
      </w:pPr>
    </w:p>
    <w:p w14:paraId="1AF7E8C2" w14:textId="77777777" w:rsidR="00DB2610" w:rsidRPr="009867C1" w:rsidRDefault="00495E89" w:rsidP="00DB2610">
      <w:pPr>
        <w:keepNext/>
      </w:pPr>
      <w:r w:rsidRPr="009867C1">
        <w:rPr>
          <w:noProof/>
        </w:rPr>
        <w:drawing>
          <wp:inline distT="0" distB="0" distL="0" distR="0" wp14:anchorId="1E312449" wp14:editId="5E49D91D">
            <wp:extent cx="7893535" cy="4809766"/>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10636"/>
                    <a:stretch/>
                  </pic:blipFill>
                  <pic:spPr bwMode="auto">
                    <a:xfrm>
                      <a:off x="0" y="0"/>
                      <a:ext cx="7897329" cy="4812078"/>
                    </a:xfrm>
                    <a:prstGeom prst="rect">
                      <a:avLst/>
                    </a:prstGeom>
                    <a:noFill/>
                    <a:ln>
                      <a:noFill/>
                    </a:ln>
                    <a:extLst>
                      <a:ext uri="{53640926-AAD7-44D8-BBD7-CCE9431645EC}">
                        <a14:shadowObscured xmlns:a14="http://schemas.microsoft.com/office/drawing/2010/main"/>
                      </a:ext>
                    </a:extLst>
                  </pic:spPr>
                </pic:pic>
              </a:graphicData>
            </a:graphic>
          </wp:inline>
        </w:drawing>
      </w:r>
    </w:p>
    <w:p w14:paraId="512248EF" w14:textId="0E0A2076" w:rsidR="00DB2610" w:rsidRPr="009867C1" w:rsidRDefault="00DB2610" w:rsidP="00DB2610">
      <w:pPr>
        <w:pStyle w:val="Caption"/>
        <w:rPr>
          <w:vanish/>
          <w:specVanish/>
        </w:rPr>
      </w:pPr>
      <w:bookmarkStart w:id="359" w:name="_Ref76307850"/>
      <w:bookmarkStart w:id="360" w:name="_Toc86773948"/>
      <w:r w:rsidRPr="009867C1">
        <w:t xml:space="preserve">Figure </w:t>
      </w:r>
      <w:r w:rsidR="00840B50" w:rsidRPr="009867C1">
        <w:fldChar w:fldCharType="begin"/>
      </w:r>
      <w:r w:rsidR="00840B50" w:rsidRPr="009867C1">
        <w:instrText xml:space="preserve"> STYLEREF 7 \s </w:instrText>
      </w:r>
      <w:r w:rsidR="00840B50" w:rsidRPr="009867C1">
        <w:fldChar w:fldCharType="separate"/>
      </w:r>
      <w:r w:rsidR="000667DB">
        <w:rPr>
          <w:noProof/>
        </w:rPr>
        <w:t>C</w:t>
      </w:r>
      <w:r w:rsidR="00840B50" w:rsidRPr="009867C1">
        <w:fldChar w:fldCharType="end"/>
      </w:r>
      <w:r w:rsidR="00840B50" w:rsidRPr="009867C1">
        <w:noBreakHyphen/>
      </w:r>
      <w:r w:rsidR="00840B50" w:rsidRPr="009867C1">
        <w:fldChar w:fldCharType="begin"/>
      </w:r>
      <w:r w:rsidR="00840B50" w:rsidRPr="009867C1">
        <w:instrText xml:space="preserve"> SEQ Appendix_Figure \* ARABIC \s 7 </w:instrText>
      </w:r>
      <w:r w:rsidR="00840B50" w:rsidRPr="009867C1">
        <w:fldChar w:fldCharType="separate"/>
      </w:r>
      <w:r w:rsidR="000667DB">
        <w:rPr>
          <w:noProof/>
        </w:rPr>
        <w:t>9</w:t>
      </w:r>
      <w:r w:rsidR="00840B50" w:rsidRPr="009867C1">
        <w:fldChar w:fldCharType="end"/>
      </w:r>
      <w:bookmarkEnd w:id="359"/>
      <w:r w:rsidRPr="009867C1">
        <w:t>: PCA loadings for moss, fall 2017.</w:t>
      </w:r>
      <w:bookmarkEnd w:id="360"/>
    </w:p>
    <w:p w14:paraId="2B54DD74" w14:textId="77777777" w:rsidR="00DB2610" w:rsidRPr="009867C1" w:rsidRDefault="00DB2610" w:rsidP="00DB2610">
      <w:pPr>
        <w:pStyle w:val="Caption"/>
      </w:pPr>
      <w:r w:rsidRPr="009867C1">
        <w:t xml:space="preserve"> The first axis (42% of variation) corresponds primarily to lanky moss and the second axis (25% of variation) to step moss.</w:t>
      </w:r>
    </w:p>
    <w:p w14:paraId="374A5D7F" w14:textId="77777777" w:rsidR="00DB2610" w:rsidRPr="009867C1" w:rsidRDefault="00495E89" w:rsidP="00DB2610">
      <w:pPr>
        <w:keepNext/>
      </w:pPr>
      <w:r w:rsidRPr="009867C1">
        <w:rPr>
          <w:noProof/>
        </w:rPr>
        <w:drawing>
          <wp:inline distT="0" distB="0" distL="0" distR="0" wp14:anchorId="521B0A25" wp14:editId="72611AC2">
            <wp:extent cx="8221345" cy="5033286"/>
            <wp:effectExtent l="0" t="0" r="825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10212"/>
                    <a:stretch/>
                  </pic:blipFill>
                  <pic:spPr bwMode="auto">
                    <a:xfrm>
                      <a:off x="0" y="0"/>
                      <a:ext cx="8221345" cy="5033286"/>
                    </a:xfrm>
                    <a:prstGeom prst="rect">
                      <a:avLst/>
                    </a:prstGeom>
                    <a:noFill/>
                    <a:ln>
                      <a:noFill/>
                    </a:ln>
                    <a:extLst>
                      <a:ext uri="{53640926-AAD7-44D8-BBD7-CCE9431645EC}">
                        <a14:shadowObscured xmlns:a14="http://schemas.microsoft.com/office/drawing/2010/main"/>
                      </a:ext>
                    </a:extLst>
                  </pic:spPr>
                </pic:pic>
              </a:graphicData>
            </a:graphic>
          </wp:inline>
        </w:drawing>
      </w:r>
    </w:p>
    <w:p w14:paraId="2B9B5D06" w14:textId="31819861" w:rsidR="00DB2610" w:rsidRPr="009867C1" w:rsidRDefault="00DB2610" w:rsidP="00DB2610">
      <w:pPr>
        <w:pStyle w:val="Caption"/>
        <w:rPr>
          <w:vanish/>
          <w:specVanish/>
        </w:rPr>
      </w:pPr>
      <w:bookmarkStart w:id="361" w:name="_Toc86773949"/>
      <w:r w:rsidRPr="009867C1">
        <w:t xml:space="preserve">Figure </w:t>
      </w:r>
      <w:r w:rsidR="00840B50" w:rsidRPr="009867C1">
        <w:fldChar w:fldCharType="begin"/>
      </w:r>
      <w:r w:rsidR="00840B50" w:rsidRPr="009867C1">
        <w:instrText xml:space="preserve"> STYLEREF 7 \s </w:instrText>
      </w:r>
      <w:r w:rsidR="00840B50" w:rsidRPr="009867C1">
        <w:fldChar w:fldCharType="separate"/>
      </w:r>
      <w:r w:rsidR="000667DB">
        <w:rPr>
          <w:noProof/>
        </w:rPr>
        <w:t>C</w:t>
      </w:r>
      <w:r w:rsidR="00840B50" w:rsidRPr="009867C1">
        <w:fldChar w:fldCharType="end"/>
      </w:r>
      <w:r w:rsidR="00840B50" w:rsidRPr="009867C1">
        <w:noBreakHyphen/>
      </w:r>
      <w:r w:rsidR="00840B50" w:rsidRPr="009867C1">
        <w:fldChar w:fldCharType="begin"/>
      </w:r>
      <w:r w:rsidR="00840B50" w:rsidRPr="009867C1">
        <w:instrText xml:space="preserve"> SEQ Appendix_Figure \* ARABIC \s 7 </w:instrText>
      </w:r>
      <w:r w:rsidR="00840B50" w:rsidRPr="009867C1">
        <w:fldChar w:fldCharType="separate"/>
      </w:r>
      <w:r w:rsidR="000667DB">
        <w:rPr>
          <w:noProof/>
        </w:rPr>
        <w:t>10</w:t>
      </w:r>
      <w:r w:rsidR="00840B50" w:rsidRPr="009867C1">
        <w:fldChar w:fldCharType="end"/>
      </w:r>
      <w:r w:rsidRPr="009867C1">
        <w:t>: PCA loadings for herbs, fall 2017.</w:t>
      </w:r>
      <w:bookmarkEnd w:id="361"/>
    </w:p>
    <w:p w14:paraId="024C868D" w14:textId="77777777" w:rsidR="00DB2610" w:rsidRPr="009867C1" w:rsidRDefault="00DB2610" w:rsidP="00DB2610">
      <w:pPr>
        <w:pStyle w:val="Caption"/>
      </w:pPr>
      <w:r w:rsidRPr="009867C1">
        <w:t xml:space="preserve"> The first axis (35.5% of variation) corresponds primarily to deer fern (positive) and spiny wood fern (negative) and the second axis (29% of variation) to both deer fern and spiny wood fern together (positive) and bunchberry (negative).</w:t>
      </w:r>
    </w:p>
    <w:p w14:paraId="076F9784" w14:textId="77777777" w:rsidR="00DB2610" w:rsidRPr="009867C1" w:rsidRDefault="00495E89" w:rsidP="00DB2610">
      <w:pPr>
        <w:keepNext/>
      </w:pPr>
      <w:r w:rsidRPr="009867C1">
        <w:rPr>
          <w:noProof/>
        </w:rPr>
        <w:drawing>
          <wp:inline distT="0" distB="0" distL="0" distR="0" wp14:anchorId="124C8535" wp14:editId="1C9EF821">
            <wp:extent cx="8221345" cy="5049189"/>
            <wp:effectExtent l="0" t="0" r="825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9929"/>
                    <a:stretch/>
                  </pic:blipFill>
                  <pic:spPr bwMode="auto">
                    <a:xfrm>
                      <a:off x="0" y="0"/>
                      <a:ext cx="8221345" cy="5049189"/>
                    </a:xfrm>
                    <a:prstGeom prst="rect">
                      <a:avLst/>
                    </a:prstGeom>
                    <a:noFill/>
                    <a:ln>
                      <a:noFill/>
                    </a:ln>
                    <a:extLst>
                      <a:ext uri="{53640926-AAD7-44D8-BBD7-CCE9431645EC}">
                        <a14:shadowObscured xmlns:a14="http://schemas.microsoft.com/office/drawing/2010/main"/>
                      </a:ext>
                    </a:extLst>
                  </pic:spPr>
                </pic:pic>
              </a:graphicData>
            </a:graphic>
          </wp:inline>
        </w:drawing>
      </w:r>
    </w:p>
    <w:p w14:paraId="2B63291B" w14:textId="5BBA142B" w:rsidR="00DB2610" w:rsidRPr="009867C1" w:rsidRDefault="00DB2610" w:rsidP="00DB2610">
      <w:pPr>
        <w:pStyle w:val="Caption"/>
        <w:rPr>
          <w:vanish/>
          <w:specVanish/>
        </w:rPr>
      </w:pPr>
      <w:bookmarkStart w:id="362" w:name="_Toc86773950"/>
      <w:r w:rsidRPr="009867C1">
        <w:t xml:space="preserve">Figure </w:t>
      </w:r>
      <w:r w:rsidR="00840B50" w:rsidRPr="009867C1">
        <w:fldChar w:fldCharType="begin"/>
      </w:r>
      <w:r w:rsidR="00840B50" w:rsidRPr="009867C1">
        <w:instrText xml:space="preserve"> STYLEREF 7 \s </w:instrText>
      </w:r>
      <w:r w:rsidR="00840B50" w:rsidRPr="009867C1">
        <w:fldChar w:fldCharType="separate"/>
      </w:r>
      <w:r w:rsidR="000667DB">
        <w:rPr>
          <w:noProof/>
        </w:rPr>
        <w:t>C</w:t>
      </w:r>
      <w:r w:rsidR="00840B50" w:rsidRPr="009867C1">
        <w:fldChar w:fldCharType="end"/>
      </w:r>
      <w:r w:rsidR="00840B50" w:rsidRPr="009867C1">
        <w:noBreakHyphen/>
      </w:r>
      <w:r w:rsidR="00840B50" w:rsidRPr="009867C1">
        <w:fldChar w:fldCharType="begin"/>
      </w:r>
      <w:r w:rsidR="00840B50" w:rsidRPr="009867C1">
        <w:instrText xml:space="preserve"> SEQ Appendix_Figure \* ARABIC \s 7 </w:instrText>
      </w:r>
      <w:r w:rsidR="00840B50" w:rsidRPr="009867C1">
        <w:fldChar w:fldCharType="separate"/>
      </w:r>
      <w:r w:rsidR="000667DB">
        <w:rPr>
          <w:noProof/>
        </w:rPr>
        <w:t>11</w:t>
      </w:r>
      <w:r w:rsidR="00840B50" w:rsidRPr="009867C1">
        <w:fldChar w:fldCharType="end"/>
      </w:r>
      <w:r w:rsidRPr="009867C1">
        <w:t>: PCA loadings for shrubs, fall 2017.</w:t>
      </w:r>
      <w:bookmarkEnd w:id="362"/>
    </w:p>
    <w:p w14:paraId="162CAC9B" w14:textId="77777777" w:rsidR="00DB2610" w:rsidRPr="009867C1" w:rsidRDefault="00DB2610" w:rsidP="00DB2610">
      <w:pPr>
        <w:pStyle w:val="Caption"/>
      </w:pPr>
      <w:r w:rsidRPr="009867C1">
        <w:t xml:space="preserve"> The first axis (34.7% of variation) corresponds primarily to </w:t>
      </w:r>
      <w:r w:rsidRPr="009867C1">
        <w:rPr>
          <w:i/>
          <w:iCs/>
        </w:rPr>
        <w:t>Vaccinium alaskensae</w:t>
      </w:r>
      <w:r w:rsidRPr="009867C1">
        <w:t xml:space="preserve"> (positive) and the second axis (27.6% of variation) to salal and false azalea (positive) and salmonberry (negative).</w:t>
      </w:r>
    </w:p>
    <w:p w14:paraId="3DE43BEB" w14:textId="4AE667D6" w:rsidR="00495E89" w:rsidRPr="009867C1" w:rsidRDefault="00495E89" w:rsidP="00DB2610">
      <w:pPr>
        <w:pStyle w:val="Caption"/>
      </w:pPr>
    </w:p>
    <w:p w14:paraId="164F5D9C" w14:textId="77777777" w:rsidR="00DB2610" w:rsidRPr="009867C1" w:rsidRDefault="00495E89" w:rsidP="00DB2610">
      <w:pPr>
        <w:keepNext/>
      </w:pPr>
      <w:r w:rsidRPr="009867C1">
        <w:rPr>
          <w:noProof/>
        </w:rPr>
        <w:drawing>
          <wp:inline distT="0" distB="0" distL="0" distR="0" wp14:anchorId="19A1D478" wp14:editId="2D742CA1">
            <wp:extent cx="7175416" cy="4420704"/>
            <wp:effectExtent l="0" t="0" r="698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9645"/>
                    <a:stretch/>
                  </pic:blipFill>
                  <pic:spPr bwMode="auto">
                    <a:xfrm>
                      <a:off x="0" y="0"/>
                      <a:ext cx="7180107" cy="4423594"/>
                    </a:xfrm>
                    <a:prstGeom prst="rect">
                      <a:avLst/>
                    </a:prstGeom>
                    <a:noFill/>
                    <a:ln>
                      <a:noFill/>
                    </a:ln>
                    <a:extLst>
                      <a:ext uri="{53640926-AAD7-44D8-BBD7-CCE9431645EC}">
                        <a14:shadowObscured xmlns:a14="http://schemas.microsoft.com/office/drawing/2010/main"/>
                      </a:ext>
                    </a:extLst>
                  </pic:spPr>
                </pic:pic>
              </a:graphicData>
            </a:graphic>
          </wp:inline>
        </w:drawing>
      </w:r>
    </w:p>
    <w:p w14:paraId="36F5C4B8" w14:textId="71E3D115" w:rsidR="00DB2610" w:rsidRPr="009867C1" w:rsidRDefault="00DB2610" w:rsidP="00DB2610">
      <w:pPr>
        <w:pStyle w:val="Caption"/>
        <w:rPr>
          <w:vanish/>
          <w:specVanish/>
        </w:rPr>
      </w:pPr>
      <w:bookmarkStart w:id="363" w:name="_Ref76307861"/>
      <w:bookmarkStart w:id="364" w:name="_Toc86773951"/>
      <w:r w:rsidRPr="009867C1">
        <w:t xml:space="preserve">Figure </w:t>
      </w:r>
      <w:r w:rsidR="00840B50" w:rsidRPr="009867C1">
        <w:fldChar w:fldCharType="begin"/>
      </w:r>
      <w:r w:rsidR="00840B50" w:rsidRPr="009867C1">
        <w:instrText xml:space="preserve"> STYLEREF 7 \s </w:instrText>
      </w:r>
      <w:r w:rsidR="00840B50" w:rsidRPr="009867C1">
        <w:fldChar w:fldCharType="separate"/>
      </w:r>
      <w:r w:rsidR="000667DB">
        <w:rPr>
          <w:noProof/>
        </w:rPr>
        <w:t>C</w:t>
      </w:r>
      <w:r w:rsidR="00840B50" w:rsidRPr="009867C1">
        <w:fldChar w:fldCharType="end"/>
      </w:r>
      <w:r w:rsidR="00840B50" w:rsidRPr="009867C1">
        <w:noBreakHyphen/>
      </w:r>
      <w:r w:rsidR="00840B50" w:rsidRPr="009867C1">
        <w:fldChar w:fldCharType="begin"/>
      </w:r>
      <w:r w:rsidR="00840B50" w:rsidRPr="009867C1">
        <w:instrText xml:space="preserve"> SEQ Appendix_Figure \* ARABIC \s 7 </w:instrText>
      </w:r>
      <w:r w:rsidR="00840B50" w:rsidRPr="009867C1">
        <w:fldChar w:fldCharType="separate"/>
      </w:r>
      <w:r w:rsidR="000667DB">
        <w:rPr>
          <w:noProof/>
        </w:rPr>
        <w:t>12</w:t>
      </w:r>
      <w:r w:rsidR="00840B50" w:rsidRPr="009867C1">
        <w:fldChar w:fldCharType="end"/>
      </w:r>
      <w:bookmarkEnd w:id="363"/>
      <w:r w:rsidRPr="009867C1">
        <w:t>: PCA loadings for trees, fall 2017.</w:t>
      </w:r>
      <w:bookmarkEnd w:id="364"/>
    </w:p>
    <w:p w14:paraId="0D88A435" w14:textId="029764A4" w:rsidR="00DB2610" w:rsidRPr="009867C1" w:rsidRDefault="00DB2610" w:rsidP="00DB2610">
      <w:pPr>
        <w:pStyle w:val="Caption"/>
        <w:sectPr w:rsidR="00DB2610" w:rsidRPr="009867C1" w:rsidSect="007E3DBC">
          <w:pgSz w:w="15840" w:h="12240" w:orient="landscape"/>
          <w:pgMar w:top="1440" w:right="1440" w:bottom="1440" w:left="1440" w:header="706" w:footer="706" w:gutter="0"/>
          <w:cols w:space="708"/>
          <w:docGrid w:linePitch="326"/>
        </w:sectPr>
      </w:pPr>
      <w:r w:rsidRPr="009867C1">
        <w:t xml:space="preserve"> The first axis (56% of variation) corresponds primarily to Sitka spruce (positive) and hemlock (negative) and the second axis (22.6% of variation) to </w:t>
      </w:r>
      <w:r w:rsidR="00AB5D5B">
        <w:t>a</w:t>
      </w:r>
      <w:r w:rsidRPr="009867C1">
        <w:t>mabilis fir (positive) and cedar (negative). Alder was excluded from this analysis as it occurred at only two sites.</w:t>
      </w:r>
    </w:p>
    <w:p w14:paraId="0FB4F2B9" w14:textId="76744A9B" w:rsidR="008618DE" w:rsidRPr="009867C1" w:rsidRDefault="008618DE" w:rsidP="00DB2610">
      <w:pPr>
        <w:pStyle w:val="Heading7"/>
      </w:pPr>
      <w:bookmarkStart w:id="365" w:name="_Toc99385534"/>
      <w:bookmarkEnd w:id="305"/>
      <w:bookmarkEnd w:id="306"/>
      <w:r w:rsidRPr="009867C1">
        <w:t>Nutrient Addition</w:t>
      </w:r>
      <w:r w:rsidR="00180376" w:rsidRPr="009867C1">
        <w:t xml:space="preserve"> Calculations</w:t>
      </w:r>
      <w:bookmarkEnd w:id="365"/>
    </w:p>
    <w:p w14:paraId="2BD06E96" w14:textId="7EE84FB8" w:rsidR="008618DE" w:rsidRPr="009867C1" w:rsidRDefault="008618DE" w:rsidP="00F24152">
      <w:pPr>
        <w:ind w:firstLine="720"/>
      </w:pPr>
      <w:r w:rsidRPr="009867C1">
        <w:t xml:space="preserve">Drake et al. performed an addition of </w:t>
      </w:r>
      <w:r w:rsidRPr="009867C1">
        <w:rPr>
          <w:vertAlign w:val="superscript"/>
        </w:rPr>
        <w:t>15</w:t>
      </w:r>
      <w:r w:rsidRPr="009867C1">
        <w:t xml:space="preserve">N plus a modified Hoagland solution to mimic the decomposition of a dead salmon </w:t>
      </w:r>
      <w:r w:rsidRPr="009867C1">
        <w:fldChar w:fldCharType="begin"/>
      </w:r>
      <w:r w:rsidR="00AC0205">
        <w:instrText xml:space="preserve"> ADDIN ZOTERO_ITEM CSL_CITATION {"citationID":"dSusEzm6","properties":{"formattedCitation":"(Drake et al., 2006)","plainCitation":"(Drake et al., 2006)","noteIndex":0},"citationItems":[{"id":174,"uris":["http://zotero.org/users/2189142/items/Q77G9SAN"],"itemData":{"id":174,"type":"article-journal","abstract":"We introduced an 15N-NH4+ tracer to the riparian forest of a salmon-bearing stream (Kennedy Creek, Washington, USA) to quantify the cycling and fate of a late-season pulse of salmon N and, ultimately, mechanisms regulating potential links between salmon abundance and tree growth. The 15N tracer simulated deposition of 7.25 kg of salmon (fresh) to four 50-m2 plots. We added NH4+ (the initial product of salmon carcass decay) and other important nutrients provided by carcasses (P, S, K, Mg, Ca) to soils in late October 2003, coincident with local salmon spawning. We followed the 15N tracer through soil and tree pools for one year. Biological uptake of the 15N tracer occurred quickly: 64% of the 15N tracer was bound in soil microbiota within 14 days, and roots of the dominant riparian tree, western red cedar (Thuja plicata), began to take up 15N tracer within seven days. Root uptake continued through the winter. The 15N tracer content of soil organic matter reached a maximum of ̃52%, five weeks after the application, and a relative equilibrium of ̃40% within five months. Six months after the addition, in spring 2004, at least 37% of the 15N tracer was found in tree tissues: ̃23% in foliage, ̃11% in roots, and ̃3% in stems. Within the stems, xylem and phloem sap contained ̃96% of the tracer N, and ̃4% was in structural xylem N. After one year, at least 28% of the 15N tracer was still found in trees, and loss from the plots was only ̃20%. The large portion of tracer N taken up in the fall and reallocated to leaves and stems the following spring provides mechanistic evidence for a one-year-lagged tree-growth response to salmon nutrients. Salmon nutrients have been deposited in the Kennedy Creek system each fall for centuries, but the system shows no evidence of nutrient saturation. Rates of N uptake and retention are a function of site history and disturbance and also may be the result of a legacy effect, in which annual salmon nutrient addition may lead to increased efficiency of nutrient uptake and use.","container-title":"Ecology","DOI":"10.1890/0012-9658(2006)87[1256:FONIRF]2.0.CO;2","ISSN":"0012-9658","issue":"5","journalAbbreviation":"Ecology","page":"1256-1266","source":"esajournals.org (Atypon)","title":"Fate of nitrogen in riparian forest soils and trees: an 15n tracer study simulating salmon decay","title-short":"Fate of nitrogen in riparian forest soils and trees","volume":"87","author":[{"family":"Drake","given":"Deanne C."},{"family":"Naiman","given":"Robert J."},{"family":"Bechtold","given":"J. Scott"}],"issued":{"date-parts":[["2006",5,1]]},"citation-key":"drake_2006"}}],"schema":"https://github.com/citation-style-language/schema/raw/master/csl-citation.json"} </w:instrText>
      </w:r>
      <w:r w:rsidRPr="009867C1">
        <w:fldChar w:fldCharType="separate"/>
      </w:r>
      <w:r w:rsidR="0042141C" w:rsidRPr="009867C1">
        <w:t>(Drake et al., 2006)</w:t>
      </w:r>
      <w:r w:rsidRPr="009867C1">
        <w:fldChar w:fldCharType="end"/>
      </w:r>
      <w:r w:rsidRPr="009867C1">
        <w:t xml:space="preserve">. Here I perform a similar experiment, but mimicking a pink salmon (~1.5 kg average mass) to match the dominant salmon type on the central coast, instead of a chum salmon (~7.5 kg average mass) which dominates the Washington State site studied by Drake. The 1.5 kg mass average for the Central Coast was taken from the supplementary material of </w:t>
      </w:r>
      <w:r w:rsidRPr="009867C1">
        <w:fldChar w:fldCharType="begin"/>
      </w:r>
      <w:r w:rsidR="00AC0205">
        <w:instrText xml:space="preserve"> ADDIN ZOTERO_ITEM CSL_CITATION {"citationID":"wxVLy0wh","properties":{"formattedCitation":"(Hocking &amp; Reynolds, 2011)","plainCitation":"(Hocking &amp; Reynolds, 2011)","noteIndex":0},"citationItems":[{"id":550,"uris":["http://zotero.org/users/2189142/items/JR362H46"],"itemData":{"id":550,"type":"article-journal","abstract":"The study of natural gradients in nutrient subsidies between ecosystems allows for predictions of how changes in one system can affect biodiversity in another. We performed a large-scale empirical test of the role of Pacific salmon (Oncorhynchus spp.) in structuring riparian plant communities. A comparison of 50 watersheds in the remote Great Bear Rainforest of British Columbia’s central coast in Canada shows that salmon influence nutrient loading to plants, shifting plant communities toward nutrient-rich species, which in turn decreases plant diversity. These effects are mediated by interactions between salmon density and the physical characteristics of watersheds. Predicting how salmon affect terrestrial ecosystems is central to conservation plans that aim to better integrate ecosystem values into resource management.","container-title":"Science","DOI":"10.1126/science.1201079","ISSN":"0036-8075, 1095-9203","issue":"6024","journalAbbreviation":"Science","language":"en","note":"PMID: 21442794","page":"1609-1612","source":"www.sciencemag.org.ezproxy.library.ubc.ca","title":"Impacts of Salmon on Riparian Plant Diversity","volume":"331","author":[{"family":"Hocking","given":"Morgan D."},{"family":"Reynolds","given":"John D."}],"issued":{"date-parts":[["2011",3,25]]},"citation-key":"hocking_2011"}}],"schema":"https://github.com/citation-style-language/schema/raw/master/csl-citation.json"} </w:instrText>
      </w:r>
      <w:r w:rsidRPr="009867C1">
        <w:fldChar w:fldCharType="separate"/>
      </w:r>
      <w:r w:rsidR="0042141C" w:rsidRPr="009867C1">
        <w:t>(Hocking &amp; Reynolds, 2011)</w:t>
      </w:r>
      <w:r w:rsidRPr="009867C1">
        <w:fldChar w:fldCharType="end"/>
      </w:r>
      <w:r w:rsidRPr="009867C1">
        <w:t>.</w:t>
      </w:r>
    </w:p>
    <w:p w14:paraId="1788839D" w14:textId="77777777" w:rsidR="008618DE" w:rsidRPr="009867C1" w:rsidRDefault="008618DE" w:rsidP="005C481D">
      <w:pPr>
        <w:ind w:firstLine="720"/>
      </w:pPr>
      <w:r w:rsidRPr="009867C1">
        <w:t xml:space="preserve"> Nutrients as a percentage of carcass mass above taken from Drake 2006. Target grams of each nutrient was calculated by:</w:t>
      </w:r>
    </w:p>
    <w:p w14:paraId="6B2DD15C" w14:textId="77777777" w:rsidR="008618DE" w:rsidRPr="009867C1" w:rsidRDefault="00557CA9" w:rsidP="008618DE">
      <m:oMathPara>
        <m:oMath>
          <m:d>
            <m:dPr>
              <m:ctrlPr>
                <w:rPr>
                  <w:rFonts w:ascii="Cambria Math" w:hAnsi="Cambria Math"/>
                  <w:i/>
                </w:rPr>
              </m:ctrlPr>
            </m:dPr>
            <m:e>
              <m:r>
                <w:rPr>
                  <w:rFonts w:ascii="Cambria Math" w:hAnsi="Cambria Math"/>
                </w:rPr>
                <m:t>proportion of nutrient</m:t>
              </m:r>
            </m:e>
          </m:d>
          <m:r>
            <w:rPr>
              <w:rFonts w:ascii="Cambria Math" w:hAnsi="Cambria Math"/>
            </w:rPr>
            <m:t>*1500g=Target mass (g)</m:t>
          </m:r>
        </m:oMath>
      </m:oMathPara>
    </w:p>
    <w:p w14:paraId="29D6BFF9" w14:textId="4EC934D9" w:rsidR="008618DE" w:rsidRPr="009867C1" w:rsidRDefault="00732898" w:rsidP="008618DE">
      <w:r w:rsidRPr="009867C1">
        <w:fldChar w:fldCharType="begin"/>
      </w:r>
      <w:r w:rsidRPr="009867C1">
        <w:instrText xml:space="preserve"> REF _Ref76307943 \h </w:instrText>
      </w:r>
      <w:r w:rsidR="009867C1">
        <w:instrText xml:space="preserve"> \* MERGEFORMAT </w:instrText>
      </w:r>
      <w:r w:rsidRPr="009867C1">
        <w:fldChar w:fldCharType="separate"/>
      </w:r>
      <w:r w:rsidR="000667DB" w:rsidRPr="009867C1">
        <w:t xml:space="preserve">Table </w:t>
      </w:r>
      <w:r w:rsidR="000667DB">
        <w:rPr>
          <w:noProof/>
        </w:rPr>
        <w:t>D</w:t>
      </w:r>
      <w:r w:rsidR="000667DB" w:rsidRPr="009867C1">
        <w:rPr>
          <w:noProof/>
        </w:rPr>
        <w:noBreakHyphen/>
      </w:r>
      <w:r w:rsidR="000667DB">
        <w:rPr>
          <w:noProof/>
        </w:rPr>
        <w:t>1</w:t>
      </w:r>
      <w:r w:rsidRPr="009867C1">
        <w:fldChar w:fldCharType="end"/>
      </w:r>
      <w:r w:rsidRPr="009867C1">
        <w:t xml:space="preserve"> </w:t>
      </w:r>
      <w:r w:rsidR="008618DE" w:rsidRPr="009867C1">
        <w:t>show</w:t>
      </w:r>
      <w:r w:rsidR="00F24152" w:rsidRPr="009867C1">
        <w:t>s</w:t>
      </w:r>
      <w:r w:rsidR="008618DE" w:rsidRPr="009867C1">
        <w:t xml:space="preserve"> the compound salts used in this study and Drake 2005, their molar masses and the mass ratio of each constituent element in the compound. </w:t>
      </w:r>
    </w:p>
    <w:p w14:paraId="2E8F87C1" w14:textId="77777777" w:rsidR="008618DE" w:rsidRPr="009867C1" w:rsidRDefault="008618DE" w:rsidP="008618DE">
      <w:r w:rsidRPr="009867C1">
        <w:t>Ratios are simply:</w:t>
      </w:r>
    </w:p>
    <w:p w14:paraId="5357B7DA" w14:textId="77777777" w:rsidR="008618DE" w:rsidRPr="009867C1" w:rsidRDefault="00557CA9" w:rsidP="008618DE">
      <m:oMathPara>
        <m:oMath>
          <m:f>
            <m:fPr>
              <m:ctrlPr>
                <w:rPr>
                  <w:rFonts w:ascii="Cambria Math" w:hAnsi="Cambria Math"/>
                  <w:i/>
                </w:rPr>
              </m:ctrlPr>
            </m:fPr>
            <m:num>
              <m:r>
                <w:rPr>
                  <w:rFonts w:ascii="Cambria Math" w:hAnsi="Cambria Math"/>
                </w:rPr>
                <m:t>Total molar mass of target nutrient in compound</m:t>
              </m:r>
            </m:num>
            <m:den>
              <m:r>
                <w:rPr>
                  <w:rFonts w:ascii="Cambria Math" w:hAnsi="Cambria Math"/>
                </w:rPr>
                <m:t>molar mass of compound</m:t>
              </m:r>
            </m:den>
          </m:f>
        </m:oMath>
      </m:oMathPara>
    </w:p>
    <w:p w14:paraId="265B0A0C" w14:textId="4779F3D5" w:rsidR="008618DE" w:rsidRPr="009867C1" w:rsidRDefault="008618DE" w:rsidP="008618DE">
      <w:r w:rsidRPr="009867C1">
        <w:t>Tradeoffs had to be made to reach target element masses since each salt has a companion ion</w:t>
      </w:r>
      <w:r w:rsidR="00693CCD" w:rsidRPr="009867C1">
        <w:t xml:space="preserve"> (</w:t>
      </w:r>
      <w:r w:rsidR="00693CCD" w:rsidRPr="009867C1">
        <w:fldChar w:fldCharType="begin"/>
      </w:r>
      <w:r w:rsidR="00693CCD" w:rsidRPr="009867C1">
        <w:instrText xml:space="preserve"> REF _Ref76308148 \h </w:instrText>
      </w:r>
      <w:r w:rsidR="009867C1">
        <w:instrText xml:space="preserve"> \* MERGEFORMAT </w:instrText>
      </w:r>
      <w:r w:rsidR="00693CCD" w:rsidRPr="009867C1">
        <w:fldChar w:fldCharType="separate"/>
      </w:r>
      <w:r w:rsidR="000667DB" w:rsidRPr="009867C1">
        <w:t xml:space="preserve">Table </w:t>
      </w:r>
      <w:r w:rsidR="000667DB">
        <w:rPr>
          <w:noProof/>
        </w:rPr>
        <w:t>D</w:t>
      </w:r>
      <w:r w:rsidR="000667DB" w:rsidRPr="009867C1">
        <w:rPr>
          <w:noProof/>
        </w:rPr>
        <w:noBreakHyphen/>
      </w:r>
      <w:r w:rsidR="000667DB">
        <w:rPr>
          <w:noProof/>
        </w:rPr>
        <w:t>3</w:t>
      </w:r>
      <w:r w:rsidR="00693CCD" w:rsidRPr="009867C1">
        <w:fldChar w:fldCharType="end"/>
      </w:r>
      <w:r w:rsidR="00693CCD" w:rsidRPr="009867C1">
        <w:t>)</w:t>
      </w:r>
      <w:r w:rsidRPr="009867C1">
        <w:t xml:space="preserve">. In order I prioritized: 1. Nitrogen; 2. Phosphorus; 3. Potassium; 4. Magnesium. This results in a solution with approximately 30X as much sulphur as desired and 11X as much calcium. For treatments using </w:t>
      </w:r>
      <w:r w:rsidRPr="009867C1">
        <w:rPr>
          <w:vertAlign w:val="superscript"/>
        </w:rPr>
        <w:t>15</w:t>
      </w:r>
      <w:r w:rsidRPr="009867C1">
        <w:t>N the calculations are slightly different due to the heavier nature of the nitrogen (calculations not shown).</w:t>
      </w:r>
    </w:p>
    <w:p w14:paraId="10F2ADEF" w14:textId="3F70AAFB" w:rsidR="000F01AB" w:rsidRPr="009867C1" w:rsidRDefault="000F01AB" w:rsidP="000F01AB">
      <w:pPr>
        <w:pStyle w:val="Caption"/>
        <w:keepNext/>
      </w:pPr>
    </w:p>
    <w:p w14:paraId="361B82B9" w14:textId="565FAE85" w:rsidR="00DB2610" w:rsidRPr="009867C1" w:rsidRDefault="00DB2610" w:rsidP="00DB2610">
      <w:pPr>
        <w:pStyle w:val="Caption"/>
        <w:keepNext/>
        <w:rPr>
          <w:vanish/>
          <w:specVanish/>
        </w:rPr>
      </w:pPr>
      <w:bookmarkStart w:id="366" w:name="_Ref76307943"/>
      <w:bookmarkStart w:id="367" w:name="_Toc74949417"/>
      <w:bookmarkStart w:id="368" w:name="_Ref76307914"/>
      <w:r w:rsidRPr="009867C1">
        <w:t xml:space="preserve">Table </w:t>
      </w:r>
      <w:r w:rsidR="00840B50" w:rsidRPr="009867C1">
        <w:fldChar w:fldCharType="begin"/>
      </w:r>
      <w:r w:rsidR="00840B50" w:rsidRPr="009867C1">
        <w:instrText xml:space="preserve"> STYLEREF 7 \s </w:instrText>
      </w:r>
      <w:r w:rsidR="00840B50" w:rsidRPr="009867C1">
        <w:fldChar w:fldCharType="separate"/>
      </w:r>
      <w:r w:rsidR="000667DB">
        <w:rPr>
          <w:noProof/>
        </w:rPr>
        <w:t>D</w:t>
      </w:r>
      <w:r w:rsidR="00840B50" w:rsidRPr="009867C1">
        <w:fldChar w:fldCharType="end"/>
      </w:r>
      <w:r w:rsidR="00840B50" w:rsidRPr="009867C1">
        <w:noBreakHyphen/>
      </w:r>
      <w:r w:rsidR="00840B50" w:rsidRPr="009867C1">
        <w:fldChar w:fldCharType="begin"/>
      </w:r>
      <w:r w:rsidR="00840B50" w:rsidRPr="009867C1">
        <w:instrText xml:space="preserve"> SEQ Appendix_Table \* ARABIC \s 7 </w:instrText>
      </w:r>
      <w:r w:rsidR="00840B50" w:rsidRPr="009867C1">
        <w:fldChar w:fldCharType="separate"/>
      </w:r>
      <w:r w:rsidR="000667DB">
        <w:rPr>
          <w:noProof/>
        </w:rPr>
        <w:t>1</w:t>
      </w:r>
      <w:r w:rsidR="00840B50" w:rsidRPr="009867C1">
        <w:fldChar w:fldCharType="end"/>
      </w:r>
      <w:bookmarkEnd w:id="366"/>
      <w:r w:rsidRPr="009867C1">
        <w:t>: Nutrients, their molar masses and their proportion by mass of a salmon carcass.</w:t>
      </w:r>
      <w:bookmarkEnd w:id="367"/>
      <w:bookmarkEnd w:id="368"/>
    </w:p>
    <w:p w14:paraId="0E77C78F" w14:textId="5872B764" w:rsidR="00DB2610" w:rsidRPr="009867C1" w:rsidRDefault="00DB2610" w:rsidP="00DB2610">
      <w:pPr>
        <w:pStyle w:val="Caption"/>
        <w:keepNext/>
      </w:pPr>
      <w:r w:rsidRPr="009867C1">
        <w:t xml:space="preserve"> The final column is total mass in grams needed to mimic a 1.5 kg salmon.</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182"/>
        <w:gridCol w:w="986"/>
        <w:gridCol w:w="3703"/>
        <w:gridCol w:w="3469"/>
      </w:tblGrid>
      <w:tr w:rsidR="000F01AB" w:rsidRPr="009867C1" w14:paraId="54D59676" w14:textId="77777777" w:rsidTr="00BA6F95">
        <w:trPr>
          <w:trHeight w:val="300"/>
        </w:trPr>
        <w:tc>
          <w:tcPr>
            <w:tcW w:w="642" w:type="pct"/>
            <w:shd w:val="clear" w:color="auto" w:fill="auto"/>
            <w:noWrap/>
            <w:vAlign w:val="bottom"/>
            <w:hideMark/>
          </w:tcPr>
          <w:p w14:paraId="490764CB" w14:textId="77777777" w:rsidR="000F01AB" w:rsidRPr="009867C1" w:rsidRDefault="000F01AB" w:rsidP="00BA6F95">
            <w:pPr>
              <w:spacing w:line="240" w:lineRule="auto"/>
              <w:rPr>
                <w:rFonts w:eastAsia="Times New Roman"/>
                <w:b/>
                <w:bCs/>
                <w:color w:val="000000"/>
              </w:rPr>
            </w:pPr>
            <w:r w:rsidRPr="009867C1">
              <w:rPr>
                <w:rFonts w:eastAsia="Times New Roman"/>
                <w:b/>
                <w:bCs/>
                <w:color w:val="000000"/>
              </w:rPr>
              <w:t>Nutrient</w:t>
            </w:r>
          </w:p>
        </w:tc>
        <w:tc>
          <w:tcPr>
            <w:tcW w:w="525" w:type="pct"/>
            <w:shd w:val="clear" w:color="auto" w:fill="auto"/>
            <w:noWrap/>
            <w:vAlign w:val="bottom"/>
            <w:hideMark/>
          </w:tcPr>
          <w:p w14:paraId="3BB297B6" w14:textId="77777777" w:rsidR="000F01AB" w:rsidRPr="009867C1" w:rsidRDefault="000F01AB" w:rsidP="00BA6F95">
            <w:pPr>
              <w:spacing w:line="240" w:lineRule="auto"/>
              <w:rPr>
                <w:rFonts w:eastAsia="Times New Roman"/>
                <w:b/>
                <w:bCs/>
                <w:color w:val="000000"/>
              </w:rPr>
            </w:pPr>
            <w:r w:rsidRPr="009867C1">
              <w:rPr>
                <w:rFonts w:eastAsia="Times New Roman"/>
                <w:b/>
                <w:bCs/>
                <w:color w:val="000000"/>
              </w:rPr>
              <w:t>Molar mass</w:t>
            </w:r>
          </w:p>
        </w:tc>
        <w:tc>
          <w:tcPr>
            <w:tcW w:w="1974" w:type="pct"/>
            <w:shd w:val="clear" w:color="auto" w:fill="auto"/>
            <w:noWrap/>
            <w:vAlign w:val="bottom"/>
            <w:hideMark/>
          </w:tcPr>
          <w:p w14:paraId="4D730466" w14:textId="77777777" w:rsidR="000F01AB" w:rsidRPr="009867C1" w:rsidRDefault="000F01AB" w:rsidP="00BA6F95">
            <w:pPr>
              <w:spacing w:line="240" w:lineRule="auto"/>
              <w:rPr>
                <w:rFonts w:eastAsia="Times New Roman"/>
                <w:b/>
                <w:bCs/>
                <w:color w:val="000000"/>
              </w:rPr>
            </w:pPr>
            <w:r w:rsidRPr="009867C1">
              <w:rPr>
                <w:rFonts w:eastAsia="Times New Roman"/>
                <w:b/>
                <w:bCs/>
                <w:color w:val="000000"/>
              </w:rPr>
              <w:t>Proportion of a carcass of each nutrient (Drake 2005)</w:t>
            </w:r>
          </w:p>
        </w:tc>
        <w:tc>
          <w:tcPr>
            <w:tcW w:w="1859" w:type="pct"/>
            <w:shd w:val="clear" w:color="auto" w:fill="auto"/>
            <w:noWrap/>
            <w:vAlign w:val="bottom"/>
            <w:hideMark/>
          </w:tcPr>
          <w:p w14:paraId="507C8A61" w14:textId="77777777" w:rsidR="000F01AB" w:rsidRPr="009867C1" w:rsidRDefault="000F01AB" w:rsidP="00BA6F95">
            <w:pPr>
              <w:spacing w:line="240" w:lineRule="auto"/>
              <w:rPr>
                <w:rFonts w:eastAsia="Times New Roman"/>
                <w:b/>
                <w:bCs/>
                <w:color w:val="000000"/>
              </w:rPr>
            </w:pPr>
            <w:r w:rsidRPr="009867C1">
              <w:rPr>
                <w:rFonts w:eastAsia="Times New Roman"/>
                <w:b/>
                <w:bCs/>
                <w:color w:val="000000"/>
              </w:rPr>
              <w:t>Total target g of each nutrient given 1.5kg salmon</w:t>
            </w:r>
          </w:p>
        </w:tc>
      </w:tr>
      <w:tr w:rsidR="000F01AB" w:rsidRPr="009867C1" w14:paraId="59077AE3" w14:textId="77777777" w:rsidTr="00BA6F95">
        <w:trPr>
          <w:trHeight w:val="315"/>
        </w:trPr>
        <w:tc>
          <w:tcPr>
            <w:tcW w:w="642" w:type="pct"/>
            <w:shd w:val="clear" w:color="auto" w:fill="auto"/>
            <w:noWrap/>
            <w:vAlign w:val="bottom"/>
            <w:hideMark/>
          </w:tcPr>
          <w:p w14:paraId="20FA03F0" w14:textId="77777777" w:rsidR="000F01AB" w:rsidRPr="009867C1" w:rsidRDefault="000F01AB" w:rsidP="00BA6F95">
            <w:pPr>
              <w:spacing w:line="240" w:lineRule="auto"/>
              <w:rPr>
                <w:rFonts w:eastAsia="Times New Roman"/>
                <w:color w:val="000000"/>
              </w:rPr>
            </w:pPr>
            <w:r w:rsidRPr="009867C1">
              <w:rPr>
                <w:rFonts w:eastAsia="Times New Roman"/>
                <w:color w:val="000000"/>
              </w:rPr>
              <w:t>N</w:t>
            </w:r>
          </w:p>
        </w:tc>
        <w:tc>
          <w:tcPr>
            <w:tcW w:w="525" w:type="pct"/>
            <w:shd w:val="clear" w:color="auto" w:fill="auto"/>
            <w:noWrap/>
            <w:vAlign w:val="bottom"/>
            <w:hideMark/>
          </w:tcPr>
          <w:p w14:paraId="3275C436"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14</w:t>
            </w:r>
          </w:p>
        </w:tc>
        <w:tc>
          <w:tcPr>
            <w:tcW w:w="1974" w:type="pct"/>
            <w:shd w:val="clear" w:color="auto" w:fill="auto"/>
            <w:noWrap/>
            <w:vAlign w:val="bottom"/>
            <w:hideMark/>
          </w:tcPr>
          <w:p w14:paraId="6AF52408"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0.025</w:t>
            </w:r>
          </w:p>
        </w:tc>
        <w:tc>
          <w:tcPr>
            <w:tcW w:w="1859" w:type="pct"/>
            <w:shd w:val="clear" w:color="auto" w:fill="auto"/>
            <w:noWrap/>
            <w:vAlign w:val="bottom"/>
            <w:hideMark/>
          </w:tcPr>
          <w:p w14:paraId="59742DA2"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37.5</w:t>
            </w:r>
          </w:p>
        </w:tc>
      </w:tr>
      <w:tr w:rsidR="000F01AB" w:rsidRPr="009867C1" w14:paraId="7457C85E" w14:textId="77777777" w:rsidTr="00BA6F95">
        <w:trPr>
          <w:trHeight w:val="300"/>
        </w:trPr>
        <w:tc>
          <w:tcPr>
            <w:tcW w:w="642" w:type="pct"/>
            <w:shd w:val="clear" w:color="auto" w:fill="auto"/>
            <w:noWrap/>
            <w:vAlign w:val="bottom"/>
            <w:hideMark/>
          </w:tcPr>
          <w:p w14:paraId="0F024AE8" w14:textId="77777777" w:rsidR="000F01AB" w:rsidRPr="009867C1" w:rsidRDefault="000F01AB" w:rsidP="00BA6F95">
            <w:pPr>
              <w:spacing w:line="240" w:lineRule="auto"/>
              <w:rPr>
                <w:rFonts w:eastAsia="Times New Roman"/>
                <w:color w:val="000000"/>
              </w:rPr>
            </w:pPr>
            <w:r w:rsidRPr="009867C1">
              <w:rPr>
                <w:rFonts w:eastAsia="Times New Roman"/>
                <w:color w:val="000000"/>
              </w:rPr>
              <w:t>P</w:t>
            </w:r>
          </w:p>
        </w:tc>
        <w:tc>
          <w:tcPr>
            <w:tcW w:w="525" w:type="pct"/>
            <w:shd w:val="clear" w:color="auto" w:fill="auto"/>
            <w:noWrap/>
            <w:vAlign w:val="bottom"/>
            <w:hideMark/>
          </w:tcPr>
          <w:p w14:paraId="66006418"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31</w:t>
            </w:r>
          </w:p>
        </w:tc>
        <w:tc>
          <w:tcPr>
            <w:tcW w:w="1974" w:type="pct"/>
            <w:shd w:val="clear" w:color="auto" w:fill="auto"/>
            <w:noWrap/>
            <w:vAlign w:val="bottom"/>
            <w:hideMark/>
          </w:tcPr>
          <w:p w14:paraId="380CE74D"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0.0043</w:t>
            </w:r>
          </w:p>
        </w:tc>
        <w:tc>
          <w:tcPr>
            <w:tcW w:w="1859" w:type="pct"/>
            <w:shd w:val="clear" w:color="auto" w:fill="auto"/>
            <w:noWrap/>
            <w:vAlign w:val="bottom"/>
            <w:hideMark/>
          </w:tcPr>
          <w:p w14:paraId="6212551B"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6.45</w:t>
            </w:r>
          </w:p>
        </w:tc>
      </w:tr>
      <w:tr w:rsidR="000F01AB" w:rsidRPr="009867C1" w14:paraId="37D117D0" w14:textId="77777777" w:rsidTr="00BA6F95">
        <w:trPr>
          <w:trHeight w:val="300"/>
        </w:trPr>
        <w:tc>
          <w:tcPr>
            <w:tcW w:w="642" w:type="pct"/>
            <w:shd w:val="clear" w:color="auto" w:fill="auto"/>
            <w:noWrap/>
            <w:vAlign w:val="bottom"/>
            <w:hideMark/>
          </w:tcPr>
          <w:p w14:paraId="66AEBD00" w14:textId="77777777" w:rsidR="000F01AB" w:rsidRPr="009867C1" w:rsidRDefault="000F01AB" w:rsidP="00BA6F95">
            <w:pPr>
              <w:spacing w:line="240" w:lineRule="auto"/>
              <w:rPr>
                <w:rFonts w:eastAsia="Times New Roman"/>
                <w:color w:val="000000"/>
              </w:rPr>
            </w:pPr>
            <w:r w:rsidRPr="009867C1">
              <w:rPr>
                <w:rFonts w:eastAsia="Times New Roman"/>
                <w:color w:val="000000"/>
              </w:rPr>
              <w:t>K</w:t>
            </w:r>
          </w:p>
        </w:tc>
        <w:tc>
          <w:tcPr>
            <w:tcW w:w="525" w:type="pct"/>
            <w:shd w:val="clear" w:color="auto" w:fill="auto"/>
            <w:noWrap/>
            <w:vAlign w:val="bottom"/>
            <w:hideMark/>
          </w:tcPr>
          <w:p w14:paraId="589596C5"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39</w:t>
            </w:r>
          </w:p>
        </w:tc>
        <w:tc>
          <w:tcPr>
            <w:tcW w:w="1974" w:type="pct"/>
            <w:shd w:val="clear" w:color="auto" w:fill="auto"/>
            <w:noWrap/>
            <w:vAlign w:val="bottom"/>
            <w:hideMark/>
          </w:tcPr>
          <w:p w14:paraId="7DC5E160"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0.0014</w:t>
            </w:r>
          </w:p>
        </w:tc>
        <w:tc>
          <w:tcPr>
            <w:tcW w:w="1859" w:type="pct"/>
            <w:shd w:val="clear" w:color="auto" w:fill="auto"/>
            <w:noWrap/>
            <w:vAlign w:val="bottom"/>
            <w:hideMark/>
          </w:tcPr>
          <w:p w14:paraId="2B64099A"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2.1</w:t>
            </w:r>
          </w:p>
        </w:tc>
      </w:tr>
      <w:tr w:rsidR="000F01AB" w:rsidRPr="009867C1" w14:paraId="5769E8A9" w14:textId="77777777" w:rsidTr="00BA6F95">
        <w:trPr>
          <w:trHeight w:val="300"/>
        </w:trPr>
        <w:tc>
          <w:tcPr>
            <w:tcW w:w="642" w:type="pct"/>
            <w:shd w:val="clear" w:color="auto" w:fill="auto"/>
            <w:noWrap/>
            <w:vAlign w:val="bottom"/>
            <w:hideMark/>
          </w:tcPr>
          <w:p w14:paraId="6B8B493F" w14:textId="77777777" w:rsidR="000F01AB" w:rsidRPr="009867C1" w:rsidRDefault="000F01AB" w:rsidP="00BA6F95">
            <w:pPr>
              <w:spacing w:line="240" w:lineRule="auto"/>
              <w:rPr>
                <w:rFonts w:eastAsia="Times New Roman"/>
                <w:color w:val="000000"/>
              </w:rPr>
            </w:pPr>
            <w:r w:rsidRPr="009867C1">
              <w:rPr>
                <w:rFonts w:eastAsia="Times New Roman"/>
                <w:color w:val="000000"/>
              </w:rPr>
              <w:t>Mg</w:t>
            </w:r>
          </w:p>
        </w:tc>
        <w:tc>
          <w:tcPr>
            <w:tcW w:w="525" w:type="pct"/>
            <w:shd w:val="clear" w:color="auto" w:fill="auto"/>
            <w:noWrap/>
            <w:vAlign w:val="bottom"/>
            <w:hideMark/>
          </w:tcPr>
          <w:p w14:paraId="5985E90D"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24.3</w:t>
            </w:r>
          </w:p>
        </w:tc>
        <w:tc>
          <w:tcPr>
            <w:tcW w:w="1974" w:type="pct"/>
            <w:shd w:val="clear" w:color="auto" w:fill="auto"/>
            <w:noWrap/>
            <w:vAlign w:val="bottom"/>
            <w:hideMark/>
          </w:tcPr>
          <w:p w14:paraId="014A789C"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0.0003</w:t>
            </w:r>
          </w:p>
        </w:tc>
        <w:tc>
          <w:tcPr>
            <w:tcW w:w="1859" w:type="pct"/>
            <w:shd w:val="clear" w:color="auto" w:fill="auto"/>
            <w:noWrap/>
            <w:vAlign w:val="bottom"/>
            <w:hideMark/>
          </w:tcPr>
          <w:p w14:paraId="2101A6D4"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0.45</w:t>
            </w:r>
          </w:p>
        </w:tc>
      </w:tr>
      <w:tr w:rsidR="000F01AB" w:rsidRPr="009867C1" w14:paraId="0DA36808" w14:textId="77777777" w:rsidTr="00BA6F95">
        <w:trPr>
          <w:trHeight w:val="300"/>
        </w:trPr>
        <w:tc>
          <w:tcPr>
            <w:tcW w:w="642" w:type="pct"/>
            <w:shd w:val="clear" w:color="auto" w:fill="auto"/>
            <w:noWrap/>
            <w:vAlign w:val="bottom"/>
            <w:hideMark/>
          </w:tcPr>
          <w:p w14:paraId="150F71FA" w14:textId="77777777" w:rsidR="000F01AB" w:rsidRPr="009867C1" w:rsidRDefault="000F01AB" w:rsidP="00BA6F95">
            <w:pPr>
              <w:spacing w:line="240" w:lineRule="auto"/>
              <w:rPr>
                <w:rFonts w:eastAsia="Times New Roman"/>
                <w:color w:val="000000"/>
              </w:rPr>
            </w:pPr>
            <w:r w:rsidRPr="009867C1">
              <w:rPr>
                <w:rFonts w:eastAsia="Times New Roman"/>
                <w:color w:val="000000"/>
              </w:rPr>
              <w:t>S</w:t>
            </w:r>
          </w:p>
        </w:tc>
        <w:tc>
          <w:tcPr>
            <w:tcW w:w="525" w:type="pct"/>
            <w:shd w:val="clear" w:color="auto" w:fill="auto"/>
            <w:noWrap/>
            <w:vAlign w:val="bottom"/>
            <w:hideMark/>
          </w:tcPr>
          <w:p w14:paraId="0C94460F"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32</w:t>
            </w:r>
          </w:p>
        </w:tc>
        <w:tc>
          <w:tcPr>
            <w:tcW w:w="1974" w:type="pct"/>
            <w:shd w:val="clear" w:color="auto" w:fill="auto"/>
            <w:noWrap/>
            <w:vAlign w:val="bottom"/>
            <w:hideMark/>
          </w:tcPr>
          <w:p w14:paraId="2F5076CE"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0.001</w:t>
            </w:r>
          </w:p>
        </w:tc>
        <w:tc>
          <w:tcPr>
            <w:tcW w:w="1859" w:type="pct"/>
            <w:shd w:val="clear" w:color="auto" w:fill="auto"/>
            <w:noWrap/>
            <w:vAlign w:val="bottom"/>
            <w:hideMark/>
          </w:tcPr>
          <w:p w14:paraId="3CEA9002"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1.5</w:t>
            </w:r>
          </w:p>
        </w:tc>
      </w:tr>
      <w:tr w:rsidR="000F01AB" w:rsidRPr="009867C1" w14:paraId="12D84123" w14:textId="77777777" w:rsidTr="00BA6F95">
        <w:trPr>
          <w:trHeight w:val="300"/>
        </w:trPr>
        <w:tc>
          <w:tcPr>
            <w:tcW w:w="642" w:type="pct"/>
            <w:shd w:val="clear" w:color="auto" w:fill="auto"/>
            <w:noWrap/>
            <w:vAlign w:val="bottom"/>
            <w:hideMark/>
          </w:tcPr>
          <w:p w14:paraId="50DAC370" w14:textId="77777777" w:rsidR="000F01AB" w:rsidRPr="009867C1" w:rsidRDefault="000F01AB" w:rsidP="00BA6F95">
            <w:pPr>
              <w:spacing w:line="240" w:lineRule="auto"/>
              <w:rPr>
                <w:rFonts w:eastAsia="Times New Roman"/>
                <w:color w:val="000000"/>
              </w:rPr>
            </w:pPr>
            <w:r w:rsidRPr="009867C1">
              <w:rPr>
                <w:rFonts w:eastAsia="Times New Roman"/>
                <w:color w:val="000000"/>
              </w:rPr>
              <w:t>Ca</w:t>
            </w:r>
          </w:p>
        </w:tc>
        <w:tc>
          <w:tcPr>
            <w:tcW w:w="525" w:type="pct"/>
            <w:shd w:val="clear" w:color="auto" w:fill="auto"/>
            <w:noWrap/>
            <w:vAlign w:val="bottom"/>
            <w:hideMark/>
          </w:tcPr>
          <w:p w14:paraId="738872EE"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40</w:t>
            </w:r>
          </w:p>
        </w:tc>
        <w:tc>
          <w:tcPr>
            <w:tcW w:w="1974" w:type="pct"/>
            <w:shd w:val="clear" w:color="auto" w:fill="auto"/>
            <w:noWrap/>
            <w:vAlign w:val="bottom"/>
            <w:hideMark/>
          </w:tcPr>
          <w:p w14:paraId="54AE0D18"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0.0005</w:t>
            </w:r>
          </w:p>
        </w:tc>
        <w:tc>
          <w:tcPr>
            <w:tcW w:w="1859" w:type="pct"/>
            <w:shd w:val="clear" w:color="auto" w:fill="auto"/>
            <w:noWrap/>
            <w:vAlign w:val="bottom"/>
            <w:hideMark/>
          </w:tcPr>
          <w:p w14:paraId="34393CA4"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0.75</w:t>
            </w:r>
          </w:p>
        </w:tc>
      </w:tr>
      <w:tr w:rsidR="000F01AB" w:rsidRPr="009867C1" w14:paraId="6C929C6D" w14:textId="77777777" w:rsidTr="00BA6F95">
        <w:trPr>
          <w:trHeight w:val="315"/>
        </w:trPr>
        <w:tc>
          <w:tcPr>
            <w:tcW w:w="642" w:type="pct"/>
            <w:shd w:val="clear" w:color="auto" w:fill="auto"/>
            <w:noWrap/>
            <w:vAlign w:val="bottom"/>
            <w:hideMark/>
          </w:tcPr>
          <w:p w14:paraId="0D47A23A" w14:textId="77777777" w:rsidR="000F01AB" w:rsidRPr="009867C1" w:rsidRDefault="000F01AB" w:rsidP="00BA6F95">
            <w:pPr>
              <w:spacing w:line="240" w:lineRule="auto"/>
              <w:rPr>
                <w:rFonts w:eastAsia="Times New Roman"/>
                <w:color w:val="000000"/>
              </w:rPr>
            </w:pPr>
            <w:r w:rsidRPr="009867C1">
              <w:rPr>
                <w:rFonts w:eastAsia="Times New Roman"/>
                <w:color w:val="000000"/>
              </w:rPr>
              <w:t>15N, 10 atom%</w:t>
            </w:r>
          </w:p>
        </w:tc>
        <w:tc>
          <w:tcPr>
            <w:tcW w:w="525" w:type="pct"/>
            <w:shd w:val="clear" w:color="auto" w:fill="auto"/>
            <w:noWrap/>
            <w:vAlign w:val="bottom"/>
            <w:hideMark/>
          </w:tcPr>
          <w:p w14:paraId="10273BA1"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14.104</w:t>
            </w:r>
          </w:p>
        </w:tc>
        <w:tc>
          <w:tcPr>
            <w:tcW w:w="1974" w:type="pct"/>
            <w:shd w:val="clear" w:color="auto" w:fill="auto"/>
            <w:noWrap/>
            <w:vAlign w:val="bottom"/>
            <w:hideMark/>
          </w:tcPr>
          <w:p w14:paraId="4C273793"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0.025</w:t>
            </w:r>
          </w:p>
        </w:tc>
        <w:tc>
          <w:tcPr>
            <w:tcW w:w="1859" w:type="pct"/>
            <w:shd w:val="clear" w:color="auto" w:fill="auto"/>
            <w:noWrap/>
            <w:vAlign w:val="bottom"/>
            <w:hideMark/>
          </w:tcPr>
          <w:p w14:paraId="178BE310" w14:textId="77777777" w:rsidR="000F01AB" w:rsidRPr="009867C1" w:rsidRDefault="000F01AB" w:rsidP="00BA6F95">
            <w:pPr>
              <w:keepNext/>
              <w:spacing w:line="240" w:lineRule="auto"/>
              <w:jc w:val="right"/>
              <w:rPr>
                <w:rFonts w:eastAsia="Times New Roman"/>
                <w:color w:val="000000"/>
              </w:rPr>
            </w:pPr>
            <w:r w:rsidRPr="009867C1">
              <w:rPr>
                <w:rFonts w:eastAsia="Times New Roman"/>
                <w:color w:val="000000"/>
              </w:rPr>
              <w:t>37.5</w:t>
            </w:r>
          </w:p>
        </w:tc>
      </w:tr>
    </w:tbl>
    <w:p w14:paraId="7BB3EB07" w14:textId="4F87E39A" w:rsidR="000F01AB" w:rsidRPr="009867C1" w:rsidRDefault="000F01AB" w:rsidP="008618DE"/>
    <w:p w14:paraId="4544D61F" w14:textId="26083B0F" w:rsidR="00DB2610" w:rsidRPr="009867C1" w:rsidRDefault="00DB2610" w:rsidP="00DB2610">
      <w:pPr>
        <w:pStyle w:val="Caption"/>
        <w:keepNext/>
        <w:rPr>
          <w:vanish/>
          <w:specVanish/>
        </w:rPr>
      </w:pPr>
      <w:bookmarkStart w:id="369" w:name="_Toc74949418"/>
      <w:r w:rsidRPr="009867C1">
        <w:t xml:space="preserve">Table </w:t>
      </w:r>
      <w:r w:rsidR="00840B50" w:rsidRPr="009867C1">
        <w:fldChar w:fldCharType="begin"/>
      </w:r>
      <w:r w:rsidR="00840B50" w:rsidRPr="009867C1">
        <w:instrText xml:space="preserve"> STYLEREF 7 \s </w:instrText>
      </w:r>
      <w:r w:rsidR="00840B50" w:rsidRPr="009867C1">
        <w:fldChar w:fldCharType="separate"/>
      </w:r>
      <w:r w:rsidR="000667DB">
        <w:rPr>
          <w:noProof/>
        </w:rPr>
        <w:t>D</w:t>
      </w:r>
      <w:r w:rsidR="00840B50" w:rsidRPr="009867C1">
        <w:fldChar w:fldCharType="end"/>
      </w:r>
      <w:r w:rsidR="00840B50" w:rsidRPr="009867C1">
        <w:noBreakHyphen/>
      </w:r>
      <w:r w:rsidR="00840B50" w:rsidRPr="009867C1">
        <w:fldChar w:fldCharType="begin"/>
      </w:r>
      <w:r w:rsidR="00840B50" w:rsidRPr="009867C1">
        <w:instrText xml:space="preserve"> SEQ Appendix_Table \* ARABIC \s 7 </w:instrText>
      </w:r>
      <w:r w:rsidR="00840B50" w:rsidRPr="009867C1">
        <w:fldChar w:fldCharType="separate"/>
      </w:r>
      <w:r w:rsidR="000667DB">
        <w:rPr>
          <w:noProof/>
        </w:rPr>
        <w:t>2</w:t>
      </w:r>
      <w:r w:rsidR="00840B50" w:rsidRPr="009867C1">
        <w:fldChar w:fldCharType="end"/>
      </w:r>
      <w:r w:rsidRPr="009867C1">
        <w:t>: Compound salts used in Drake 2006 and in this study.</w:t>
      </w:r>
      <w:bookmarkEnd w:id="369"/>
    </w:p>
    <w:p w14:paraId="514DBE24" w14:textId="7CD7389A" w:rsidR="00DB2610" w:rsidRPr="009867C1" w:rsidRDefault="00DB2610" w:rsidP="00DB2610">
      <w:pPr>
        <w:pStyle w:val="Caption"/>
        <w:keepNext/>
      </w:pPr>
      <w:r w:rsidRPr="009867C1">
        <w:t xml:space="preserve"> Elemental ratio by mass is the sum total mass of the element in question/ whole compound.</w:t>
      </w: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266"/>
        <w:gridCol w:w="1134"/>
        <w:gridCol w:w="1276"/>
        <w:gridCol w:w="709"/>
        <w:gridCol w:w="708"/>
        <w:gridCol w:w="709"/>
        <w:gridCol w:w="709"/>
        <w:gridCol w:w="709"/>
        <w:gridCol w:w="756"/>
        <w:gridCol w:w="661"/>
        <w:gridCol w:w="703"/>
      </w:tblGrid>
      <w:tr w:rsidR="00732898" w:rsidRPr="009867C1" w14:paraId="17828F48" w14:textId="77777777" w:rsidTr="00732898">
        <w:trPr>
          <w:trHeight w:val="315"/>
        </w:trPr>
        <w:tc>
          <w:tcPr>
            <w:tcW w:w="1266" w:type="dxa"/>
            <w:shd w:val="clear" w:color="auto" w:fill="auto"/>
            <w:noWrap/>
            <w:vAlign w:val="bottom"/>
            <w:hideMark/>
          </w:tcPr>
          <w:p w14:paraId="0A7A18FC" w14:textId="77777777" w:rsidR="000F01AB" w:rsidRPr="009867C1" w:rsidRDefault="000F01AB" w:rsidP="00BA6F95">
            <w:pPr>
              <w:spacing w:line="240" w:lineRule="auto"/>
              <w:rPr>
                <w:rFonts w:eastAsia="Times New Roman"/>
                <w:color w:val="000000"/>
                <w:sz w:val="20"/>
                <w:szCs w:val="20"/>
              </w:rPr>
            </w:pPr>
            <w:r w:rsidRPr="009867C1">
              <w:rPr>
                <w:sz w:val="20"/>
                <w:szCs w:val="20"/>
              </w:rPr>
              <w:br w:type="page"/>
            </w:r>
            <w:r w:rsidRPr="009867C1">
              <w:rPr>
                <w:rFonts w:eastAsia="Times New Roman"/>
                <w:color w:val="000000"/>
                <w:sz w:val="20"/>
                <w:szCs w:val="20"/>
              </w:rPr>
              <w:t> </w:t>
            </w:r>
          </w:p>
        </w:tc>
        <w:tc>
          <w:tcPr>
            <w:tcW w:w="1134" w:type="dxa"/>
            <w:shd w:val="clear" w:color="auto" w:fill="auto"/>
            <w:noWrap/>
            <w:vAlign w:val="bottom"/>
            <w:hideMark/>
          </w:tcPr>
          <w:p w14:paraId="091D2297" w14:textId="77777777" w:rsidR="000F01AB" w:rsidRPr="009867C1" w:rsidRDefault="000F01AB" w:rsidP="00BA6F95">
            <w:pPr>
              <w:spacing w:line="240" w:lineRule="auto"/>
              <w:rPr>
                <w:rFonts w:eastAsia="Times New Roman"/>
                <w:color w:val="000000"/>
                <w:sz w:val="20"/>
                <w:szCs w:val="20"/>
              </w:rPr>
            </w:pPr>
            <w:r w:rsidRPr="009867C1">
              <w:rPr>
                <w:rFonts w:eastAsia="Times New Roman"/>
                <w:color w:val="000000"/>
                <w:sz w:val="20"/>
                <w:szCs w:val="20"/>
              </w:rPr>
              <w:t> </w:t>
            </w:r>
          </w:p>
        </w:tc>
        <w:tc>
          <w:tcPr>
            <w:tcW w:w="1276" w:type="dxa"/>
            <w:shd w:val="clear" w:color="auto" w:fill="auto"/>
            <w:noWrap/>
            <w:vAlign w:val="bottom"/>
            <w:hideMark/>
          </w:tcPr>
          <w:p w14:paraId="3DC4A052" w14:textId="77777777" w:rsidR="000F01AB" w:rsidRPr="009867C1" w:rsidRDefault="000F01AB" w:rsidP="00BA6F95">
            <w:pPr>
              <w:spacing w:line="240" w:lineRule="auto"/>
              <w:rPr>
                <w:rFonts w:eastAsia="Times New Roman"/>
                <w:b/>
                <w:bCs/>
                <w:color w:val="000000"/>
                <w:sz w:val="20"/>
                <w:szCs w:val="20"/>
              </w:rPr>
            </w:pPr>
            <w:r w:rsidRPr="009867C1">
              <w:rPr>
                <w:rFonts w:eastAsia="Times New Roman"/>
                <w:b/>
                <w:bCs/>
                <w:color w:val="000000"/>
                <w:sz w:val="20"/>
                <w:szCs w:val="20"/>
              </w:rPr>
              <w:t>Elemental Ratio by mass</w:t>
            </w:r>
          </w:p>
        </w:tc>
        <w:tc>
          <w:tcPr>
            <w:tcW w:w="709" w:type="dxa"/>
            <w:shd w:val="clear" w:color="auto" w:fill="auto"/>
            <w:noWrap/>
            <w:vAlign w:val="bottom"/>
            <w:hideMark/>
          </w:tcPr>
          <w:p w14:paraId="3B473CBC" w14:textId="77777777" w:rsidR="000F01AB" w:rsidRPr="009867C1" w:rsidRDefault="000F01AB" w:rsidP="00BA6F95">
            <w:pPr>
              <w:spacing w:line="240" w:lineRule="auto"/>
              <w:rPr>
                <w:rFonts w:eastAsia="Times New Roman"/>
                <w:color w:val="000000"/>
                <w:sz w:val="20"/>
                <w:szCs w:val="20"/>
              </w:rPr>
            </w:pPr>
            <w:r w:rsidRPr="009867C1">
              <w:rPr>
                <w:rFonts w:eastAsia="Times New Roman"/>
                <w:color w:val="000000"/>
                <w:sz w:val="20"/>
                <w:szCs w:val="20"/>
              </w:rPr>
              <w:t> </w:t>
            </w:r>
          </w:p>
        </w:tc>
        <w:tc>
          <w:tcPr>
            <w:tcW w:w="708" w:type="dxa"/>
            <w:shd w:val="clear" w:color="auto" w:fill="auto"/>
            <w:noWrap/>
            <w:vAlign w:val="bottom"/>
            <w:hideMark/>
          </w:tcPr>
          <w:p w14:paraId="36F1D50F" w14:textId="77777777" w:rsidR="000F01AB" w:rsidRPr="009867C1" w:rsidRDefault="000F01AB" w:rsidP="00BA6F95">
            <w:pPr>
              <w:spacing w:line="240" w:lineRule="auto"/>
              <w:rPr>
                <w:rFonts w:eastAsia="Times New Roman"/>
                <w:color w:val="000000"/>
                <w:sz w:val="20"/>
                <w:szCs w:val="20"/>
              </w:rPr>
            </w:pPr>
            <w:r w:rsidRPr="009867C1">
              <w:rPr>
                <w:rFonts w:eastAsia="Times New Roman"/>
                <w:color w:val="000000"/>
                <w:sz w:val="20"/>
                <w:szCs w:val="20"/>
              </w:rPr>
              <w:t> </w:t>
            </w:r>
          </w:p>
        </w:tc>
        <w:tc>
          <w:tcPr>
            <w:tcW w:w="709" w:type="dxa"/>
            <w:shd w:val="clear" w:color="auto" w:fill="auto"/>
            <w:noWrap/>
            <w:vAlign w:val="bottom"/>
            <w:hideMark/>
          </w:tcPr>
          <w:p w14:paraId="76877557" w14:textId="77777777" w:rsidR="000F01AB" w:rsidRPr="009867C1" w:rsidRDefault="000F01AB" w:rsidP="00BA6F95">
            <w:pPr>
              <w:spacing w:line="240" w:lineRule="auto"/>
              <w:rPr>
                <w:rFonts w:eastAsia="Times New Roman"/>
                <w:color w:val="000000"/>
                <w:sz w:val="20"/>
                <w:szCs w:val="20"/>
              </w:rPr>
            </w:pPr>
            <w:r w:rsidRPr="009867C1">
              <w:rPr>
                <w:rFonts w:eastAsia="Times New Roman"/>
                <w:color w:val="000000"/>
                <w:sz w:val="20"/>
                <w:szCs w:val="20"/>
              </w:rPr>
              <w:t> </w:t>
            </w:r>
          </w:p>
        </w:tc>
        <w:tc>
          <w:tcPr>
            <w:tcW w:w="709" w:type="dxa"/>
            <w:shd w:val="clear" w:color="auto" w:fill="auto"/>
            <w:noWrap/>
            <w:vAlign w:val="bottom"/>
            <w:hideMark/>
          </w:tcPr>
          <w:p w14:paraId="45AD8317" w14:textId="77777777" w:rsidR="000F01AB" w:rsidRPr="009867C1" w:rsidRDefault="000F01AB" w:rsidP="00BA6F95">
            <w:pPr>
              <w:spacing w:line="240" w:lineRule="auto"/>
              <w:rPr>
                <w:rFonts w:eastAsia="Times New Roman"/>
                <w:color w:val="000000"/>
                <w:sz w:val="20"/>
                <w:szCs w:val="20"/>
              </w:rPr>
            </w:pPr>
            <w:r w:rsidRPr="009867C1">
              <w:rPr>
                <w:rFonts w:eastAsia="Times New Roman"/>
                <w:color w:val="000000"/>
                <w:sz w:val="20"/>
                <w:szCs w:val="20"/>
              </w:rPr>
              <w:t> </w:t>
            </w:r>
          </w:p>
        </w:tc>
        <w:tc>
          <w:tcPr>
            <w:tcW w:w="709" w:type="dxa"/>
            <w:shd w:val="clear" w:color="auto" w:fill="auto"/>
            <w:noWrap/>
            <w:vAlign w:val="bottom"/>
            <w:hideMark/>
          </w:tcPr>
          <w:p w14:paraId="2C8AE631" w14:textId="77777777" w:rsidR="000F01AB" w:rsidRPr="009867C1" w:rsidRDefault="000F01AB" w:rsidP="00BA6F95">
            <w:pPr>
              <w:spacing w:line="240" w:lineRule="auto"/>
              <w:rPr>
                <w:rFonts w:eastAsia="Times New Roman"/>
                <w:color w:val="000000"/>
                <w:sz w:val="20"/>
                <w:szCs w:val="20"/>
              </w:rPr>
            </w:pPr>
            <w:r w:rsidRPr="009867C1">
              <w:rPr>
                <w:rFonts w:eastAsia="Times New Roman"/>
                <w:color w:val="000000"/>
                <w:sz w:val="20"/>
                <w:szCs w:val="20"/>
              </w:rPr>
              <w:t> </w:t>
            </w:r>
          </w:p>
        </w:tc>
        <w:tc>
          <w:tcPr>
            <w:tcW w:w="756" w:type="dxa"/>
            <w:shd w:val="clear" w:color="auto" w:fill="auto"/>
            <w:noWrap/>
            <w:vAlign w:val="bottom"/>
            <w:hideMark/>
          </w:tcPr>
          <w:p w14:paraId="67ADC1A9" w14:textId="77777777" w:rsidR="000F01AB" w:rsidRPr="009867C1" w:rsidRDefault="000F01AB" w:rsidP="00BA6F95">
            <w:pPr>
              <w:spacing w:line="240" w:lineRule="auto"/>
              <w:rPr>
                <w:rFonts w:eastAsia="Times New Roman"/>
                <w:color w:val="000000"/>
                <w:sz w:val="20"/>
                <w:szCs w:val="20"/>
              </w:rPr>
            </w:pPr>
            <w:r w:rsidRPr="009867C1">
              <w:rPr>
                <w:rFonts w:eastAsia="Times New Roman"/>
                <w:color w:val="000000"/>
                <w:sz w:val="20"/>
                <w:szCs w:val="20"/>
              </w:rPr>
              <w:t> </w:t>
            </w:r>
          </w:p>
        </w:tc>
        <w:tc>
          <w:tcPr>
            <w:tcW w:w="661" w:type="dxa"/>
            <w:shd w:val="clear" w:color="auto" w:fill="auto"/>
            <w:noWrap/>
            <w:vAlign w:val="bottom"/>
            <w:hideMark/>
          </w:tcPr>
          <w:p w14:paraId="0FEB64C3" w14:textId="77777777" w:rsidR="000F01AB" w:rsidRPr="009867C1" w:rsidRDefault="000F01AB" w:rsidP="00BA6F95">
            <w:pPr>
              <w:spacing w:line="240" w:lineRule="auto"/>
              <w:rPr>
                <w:rFonts w:eastAsia="Times New Roman"/>
                <w:color w:val="000000"/>
                <w:sz w:val="20"/>
                <w:szCs w:val="20"/>
              </w:rPr>
            </w:pPr>
            <w:r w:rsidRPr="009867C1">
              <w:rPr>
                <w:rFonts w:eastAsia="Times New Roman"/>
                <w:color w:val="000000"/>
                <w:sz w:val="20"/>
                <w:szCs w:val="20"/>
              </w:rPr>
              <w:t> </w:t>
            </w:r>
          </w:p>
        </w:tc>
        <w:tc>
          <w:tcPr>
            <w:tcW w:w="703" w:type="dxa"/>
            <w:shd w:val="clear" w:color="auto" w:fill="auto"/>
            <w:noWrap/>
            <w:vAlign w:val="bottom"/>
            <w:hideMark/>
          </w:tcPr>
          <w:p w14:paraId="548543B0" w14:textId="77777777" w:rsidR="000F01AB" w:rsidRPr="009867C1" w:rsidRDefault="000F01AB" w:rsidP="00BA6F95">
            <w:pPr>
              <w:spacing w:line="240" w:lineRule="auto"/>
              <w:rPr>
                <w:rFonts w:eastAsia="Times New Roman"/>
                <w:color w:val="000000"/>
                <w:sz w:val="20"/>
                <w:szCs w:val="20"/>
              </w:rPr>
            </w:pPr>
            <w:r w:rsidRPr="009867C1">
              <w:rPr>
                <w:rFonts w:eastAsia="Times New Roman"/>
                <w:color w:val="000000"/>
                <w:sz w:val="20"/>
                <w:szCs w:val="20"/>
              </w:rPr>
              <w:t> </w:t>
            </w:r>
          </w:p>
        </w:tc>
      </w:tr>
      <w:tr w:rsidR="00732898" w:rsidRPr="009867C1" w14:paraId="35F1A957" w14:textId="77777777" w:rsidTr="00732898">
        <w:trPr>
          <w:trHeight w:val="300"/>
        </w:trPr>
        <w:tc>
          <w:tcPr>
            <w:tcW w:w="1266" w:type="dxa"/>
            <w:shd w:val="clear" w:color="auto" w:fill="auto"/>
            <w:noWrap/>
            <w:vAlign w:val="bottom"/>
            <w:hideMark/>
          </w:tcPr>
          <w:p w14:paraId="06BF768E" w14:textId="77777777" w:rsidR="000F01AB" w:rsidRPr="009867C1" w:rsidRDefault="000F01AB" w:rsidP="00BA6F95">
            <w:pPr>
              <w:spacing w:line="240" w:lineRule="auto"/>
              <w:rPr>
                <w:rFonts w:eastAsia="Times New Roman"/>
                <w:b/>
                <w:bCs/>
                <w:color w:val="000000"/>
                <w:sz w:val="20"/>
                <w:szCs w:val="20"/>
              </w:rPr>
            </w:pPr>
            <w:r w:rsidRPr="009867C1">
              <w:rPr>
                <w:rFonts w:eastAsia="Times New Roman"/>
                <w:b/>
                <w:bCs/>
                <w:color w:val="000000"/>
                <w:sz w:val="20"/>
                <w:szCs w:val="20"/>
              </w:rPr>
              <w:t>Compound</w:t>
            </w:r>
          </w:p>
        </w:tc>
        <w:tc>
          <w:tcPr>
            <w:tcW w:w="1134" w:type="dxa"/>
            <w:shd w:val="clear" w:color="auto" w:fill="auto"/>
            <w:noWrap/>
            <w:vAlign w:val="bottom"/>
            <w:hideMark/>
          </w:tcPr>
          <w:p w14:paraId="7A33DE4E" w14:textId="77777777" w:rsidR="000F01AB" w:rsidRPr="009867C1" w:rsidRDefault="000F01AB" w:rsidP="00BA6F95">
            <w:pPr>
              <w:spacing w:line="240" w:lineRule="auto"/>
              <w:rPr>
                <w:rFonts w:eastAsia="Times New Roman"/>
                <w:b/>
                <w:bCs/>
                <w:color w:val="000000"/>
                <w:sz w:val="20"/>
                <w:szCs w:val="20"/>
              </w:rPr>
            </w:pPr>
            <w:r w:rsidRPr="009867C1">
              <w:rPr>
                <w:rFonts w:eastAsia="Times New Roman"/>
                <w:b/>
                <w:bCs/>
                <w:color w:val="000000"/>
                <w:sz w:val="20"/>
                <w:szCs w:val="20"/>
              </w:rPr>
              <w:t>Molar Mass of Compound</w:t>
            </w:r>
          </w:p>
        </w:tc>
        <w:tc>
          <w:tcPr>
            <w:tcW w:w="1276" w:type="dxa"/>
            <w:shd w:val="clear" w:color="auto" w:fill="auto"/>
            <w:noWrap/>
            <w:vAlign w:val="bottom"/>
            <w:hideMark/>
          </w:tcPr>
          <w:p w14:paraId="32E4436F" w14:textId="77777777" w:rsidR="000F01AB" w:rsidRPr="009867C1" w:rsidRDefault="000F01AB" w:rsidP="00BA6F95">
            <w:pPr>
              <w:spacing w:line="240" w:lineRule="auto"/>
              <w:rPr>
                <w:rFonts w:eastAsia="Times New Roman"/>
                <w:b/>
                <w:bCs/>
                <w:color w:val="000000"/>
                <w:sz w:val="20"/>
                <w:szCs w:val="20"/>
              </w:rPr>
            </w:pPr>
            <w:r w:rsidRPr="009867C1">
              <w:rPr>
                <w:rFonts w:eastAsia="Times New Roman"/>
                <w:b/>
                <w:bCs/>
                <w:color w:val="000000"/>
                <w:sz w:val="20"/>
                <w:szCs w:val="20"/>
              </w:rPr>
              <w:t>N</w:t>
            </w:r>
          </w:p>
        </w:tc>
        <w:tc>
          <w:tcPr>
            <w:tcW w:w="709" w:type="dxa"/>
            <w:shd w:val="clear" w:color="auto" w:fill="auto"/>
            <w:noWrap/>
            <w:vAlign w:val="bottom"/>
            <w:hideMark/>
          </w:tcPr>
          <w:p w14:paraId="79FBBEC8" w14:textId="77777777" w:rsidR="000F01AB" w:rsidRPr="009867C1" w:rsidRDefault="000F01AB" w:rsidP="00BA6F95">
            <w:pPr>
              <w:spacing w:line="240" w:lineRule="auto"/>
              <w:rPr>
                <w:rFonts w:eastAsia="Times New Roman"/>
                <w:b/>
                <w:bCs/>
                <w:color w:val="000000"/>
                <w:sz w:val="20"/>
                <w:szCs w:val="20"/>
              </w:rPr>
            </w:pPr>
            <w:r w:rsidRPr="009867C1">
              <w:rPr>
                <w:rFonts w:eastAsia="Times New Roman"/>
                <w:b/>
                <w:bCs/>
                <w:color w:val="000000"/>
                <w:sz w:val="20"/>
                <w:szCs w:val="20"/>
              </w:rPr>
              <w:t>P</w:t>
            </w:r>
          </w:p>
        </w:tc>
        <w:tc>
          <w:tcPr>
            <w:tcW w:w="708" w:type="dxa"/>
            <w:shd w:val="clear" w:color="auto" w:fill="auto"/>
            <w:noWrap/>
            <w:vAlign w:val="bottom"/>
            <w:hideMark/>
          </w:tcPr>
          <w:p w14:paraId="49D2E71B" w14:textId="77777777" w:rsidR="000F01AB" w:rsidRPr="009867C1" w:rsidRDefault="000F01AB" w:rsidP="00BA6F95">
            <w:pPr>
              <w:spacing w:line="240" w:lineRule="auto"/>
              <w:rPr>
                <w:rFonts w:eastAsia="Times New Roman"/>
                <w:b/>
                <w:bCs/>
                <w:color w:val="000000"/>
                <w:sz w:val="20"/>
                <w:szCs w:val="20"/>
              </w:rPr>
            </w:pPr>
            <w:r w:rsidRPr="009867C1">
              <w:rPr>
                <w:rFonts w:eastAsia="Times New Roman"/>
                <w:b/>
                <w:bCs/>
                <w:color w:val="000000"/>
                <w:sz w:val="20"/>
                <w:szCs w:val="20"/>
              </w:rPr>
              <w:t>K</w:t>
            </w:r>
          </w:p>
        </w:tc>
        <w:tc>
          <w:tcPr>
            <w:tcW w:w="709" w:type="dxa"/>
            <w:shd w:val="clear" w:color="auto" w:fill="auto"/>
            <w:noWrap/>
            <w:vAlign w:val="bottom"/>
            <w:hideMark/>
          </w:tcPr>
          <w:p w14:paraId="3AF8D8BE" w14:textId="77777777" w:rsidR="000F01AB" w:rsidRPr="009867C1" w:rsidRDefault="000F01AB" w:rsidP="00BA6F95">
            <w:pPr>
              <w:spacing w:line="240" w:lineRule="auto"/>
              <w:rPr>
                <w:rFonts w:eastAsia="Times New Roman"/>
                <w:b/>
                <w:bCs/>
                <w:color w:val="000000"/>
                <w:sz w:val="20"/>
                <w:szCs w:val="20"/>
              </w:rPr>
            </w:pPr>
            <w:r w:rsidRPr="009867C1">
              <w:rPr>
                <w:rFonts w:eastAsia="Times New Roman"/>
                <w:b/>
                <w:bCs/>
                <w:color w:val="000000"/>
                <w:sz w:val="20"/>
                <w:szCs w:val="20"/>
              </w:rPr>
              <w:t>Mg</w:t>
            </w:r>
          </w:p>
        </w:tc>
        <w:tc>
          <w:tcPr>
            <w:tcW w:w="709" w:type="dxa"/>
            <w:shd w:val="clear" w:color="auto" w:fill="auto"/>
            <w:noWrap/>
            <w:vAlign w:val="bottom"/>
            <w:hideMark/>
          </w:tcPr>
          <w:p w14:paraId="779FB402" w14:textId="77777777" w:rsidR="000F01AB" w:rsidRPr="009867C1" w:rsidRDefault="000F01AB" w:rsidP="00BA6F95">
            <w:pPr>
              <w:spacing w:line="240" w:lineRule="auto"/>
              <w:rPr>
                <w:rFonts w:eastAsia="Times New Roman"/>
                <w:b/>
                <w:bCs/>
                <w:color w:val="000000"/>
                <w:sz w:val="20"/>
                <w:szCs w:val="20"/>
              </w:rPr>
            </w:pPr>
            <w:r w:rsidRPr="009867C1">
              <w:rPr>
                <w:rFonts w:eastAsia="Times New Roman"/>
                <w:b/>
                <w:bCs/>
                <w:color w:val="000000"/>
                <w:sz w:val="20"/>
                <w:szCs w:val="20"/>
              </w:rPr>
              <w:t>S</w:t>
            </w:r>
          </w:p>
        </w:tc>
        <w:tc>
          <w:tcPr>
            <w:tcW w:w="709" w:type="dxa"/>
            <w:shd w:val="clear" w:color="auto" w:fill="auto"/>
            <w:noWrap/>
            <w:vAlign w:val="bottom"/>
            <w:hideMark/>
          </w:tcPr>
          <w:p w14:paraId="44C99967" w14:textId="77777777" w:rsidR="000F01AB" w:rsidRPr="009867C1" w:rsidRDefault="000F01AB" w:rsidP="00BA6F95">
            <w:pPr>
              <w:spacing w:line="240" w:lineRule="auto"/>
              <w:rPr>
                <w:rFonts w:eastAsia="Times New Roman"/>
                <w:b/>
                <w:bCs/>
                <w:color w:val="000000"/>
                <w:sz w:val="20"/>
                <w:szCs w:val="20"/>
              </w:rPr>
            </w:pPr>
            <w:r w:rsidRPr="009867C1">
              <w:rPr>
                <w:rFonts w:eastAsia="Times New Roman"/>
                <w:b/>
                <w:bCs/>
                <w:color w:val="000000"/>
                <w:sz w:val="20"/>
                <w:szCs w:val="20"/>
              </w:rPr>
              <w:t>Ca</w:t>
            </w:r>
          </w:p>
        </w:tc>
        <w:tc>
          <w:tcPr>
            <w:tcW w:w="756" w:type="dxa"/>
            <w:shd w:val="clear" w:color="auto" w:fill="auto"/>
            <w:noWrap/>
            <w:vAlign w:val="bottom"/>
            <w:hideMark/>
          </w:tcPr>
          <w:p w14:paraId="050ED4D2" w14:textId="77777777" w:rsidR="000F01AB" w:rsidRPr="009867C1" w:rsidRDefault="000F01AB" w:rsidP="00BA6F95">
            <w:pPr>
              <w:spacing w:line="240" w:lineRule="auto"/>
              <w:rPr>
                <w:rFonts w:eastAsia="Times New Roman"/>
                <w:b/>
                <w:bCs/>
                <w:color w:val="000000"/>
                <w:sz w:val="20"/>
                <w:szCs w:val="20"/>
              </w:rPr>
            </w:pPr>
            <w:r w:rsidRPr="009867C1">
              <w:rPr>
                <w:rFonts w:eastAsia="Times New Roman"/>
                <w:b/>
                <w:bCs/>
                <w:color w:val="000000"/>
                <w:sz w:val="20"/>
                <w:szCs w:val="20"/>
              </w:rPr>
              <w:t>H</w:t>
            </w:r>
          </w:p>
        </w:tc>
        <w:tc>
          <w:tcPr>
            <w:tcW w:w="661" w:type="dxa"/>
            <w:shd w:val="clear" w:color="auto" w:fill="auto"/>
            <w:noWrap/>
            <w:vAlign w:val="bottom"/>
            <w:hideMark/>
          </w:tcPr>
          <w:p w14:paraId="25072BF2" w14:textId="77777777" w:rsidR="000F01AB" w:rsidRPr="009867C1" w:rsidRDefault="000F01AB" w:rsidP="00BA6F95">
            <w:pPr>
              <w:spacing w:line="240" w:lineRule="auto"/>
              <w:rPr>
                <w:rFonts w:eastAsia="Times New Roman"/>
                <w:b/>
                <w:bCs/>
                <w:color w:val="000000"/>
                <w:sz w:val="20"/>
                <w:szCs w:val="20"/>
              </w:rPr>
            </w:pPr>
            <w:r w:rsidRPr="009867C1">
              <w:rPr>
                <w:rFonts w:eastAsia="Times New Roman"/>
                <w:b/>
                <w:bCs/>
                <w:color w:val="000000"/>
                <w:sz w:val="20"/>
                <w:szCs w:val="20"/>
              </w:rPr>
              <w:t>O</w:t>
            </w:r>
          </w:p>
        </w:tc>
        <w:tc>
          <w:tcPr>
            <w:tcW w:w="703" w:type="dxa"/>
            <w:shd w:val="clear" w:color="auto" w:fill="auto"/>
            <w:noWrap/>
            <w:vAlign w:val="bottom"/>
            <w:hideMark/>
          </w:tcPr>
          <w:p w14:paraId="1F2DAA79" w14:textId="77777777" w:rsidR="000F01AB" w:rsidRPr="009867C1" w:rsidRDefault="000F01AB" w:rsidP="00BA6F95">
            <w:pPr>
              <w:spacing w:line="240" w:lineRule="auto"/>
              <w:rPr>
                <w:rFonts w:eastAsia="Times New Roman"/>
                <w:b/>
                <w:bCs/>
                <w:color w:val="000000"/>
                <w:sz w:val="20"/>
                <w:szCs w:val="20"/>
              </w:rPr>
            </w:pPr>
            <w:r w:rsidRPr="009867C1">
              <w:rPr>
                <w:rFonts w:eastAsia="Times New Roman"/>
                <w:b/>
                <w:bCs/>
                <w:color w:val="000000"/>
                <w:sz w:val="20"/>
                <w:szCs w:val="20"/>
              </w:rPr>
              <w:t>Sum</w:t>
            </w:r>
          </w:p>
        </w:tc>
      </w:tr>
      <w:tr w:rsidR="00732898" w:rsidRPr="009867C1" w14:paraId="780C882F" w14:textId="77777777" w:rsidTr="00732898">
        <w:trPr>
          <w:trHeight w:val="360"/>
        </w:trPr>
        <w:tc>
          <w:tcPr>
            <w:tcW w:w="1266" w:type="dxa"/>
            <w:shd w:val="clear" w:color="auto" w:fill="auto"/>
            <w:noWrap/>
            <w:vAlign w:val="bottom"/>
            <w:hideMark/>
          </w:tcPr>
          <w:p w14:paraId="12FA5017" w14:textId="77777777" w:rsidR="000F01AB" w:rsidRPr="009867C1" w:rsidRDefault="000F01AB" w:rsidP="00BA6F95">
            <w:pPr>
              <w:spacing w:line="240" w:lineRule="auto"/>
              <w:rPr>
                <w:rFonts w:eastAsia="Times New Roman"/>
                <w:color w:val="000000"/>
                <w:sz w:val="20"/>
                <w:szCs w:val="20"/>
              </w:rPr>
            </w:pPr>
            <w:r w:rsidRPr="009867C1">
              <w:rPr>
                <w:rFonts w:eastAsia="Times New Roman"/>
                <w:color w:val="000000"/>
                <w:sz w:val="20"/>
                <w:szCs w:val="20"/>
              </w:rPr>
              <w:t>(NH4)</w:t>
            </w:r>
            <w:r w:rsidRPr="009867C1">
              <w:rPr>
                <w:rFonts w:eastAsia="Times New Roman"/>
                <w:color w:val="000000"/>
                <w:sz w:val="20"/>
                <w:szCs w:val="20"/>
                <w:vertAlign w:val="subscript"/>
              </w:rPr>
              <w:t>2</w:t>
            </w:r>
            <w:r w:rsidRPr="009867C1">
              <w:rPr>
                <w:rFonts w:eastAsia="Times New Roman"/>
                <w:color w:val="000000"/>
                <w:sz w:val="20"/>
                <w:szCs w:val="20"/>
              </w:rPr>
              <w:t>SO</w:t>
            </w:r>
            <w:r w:rsidRPr="009867C1">
              <w:rPr>
                <w:rFonts w:eastAsia="Times New Roman"/>
                <w:color w:val="000000"/>
                <w:sz w:val="20"/>
                <w:szCs w:val="20"/>
                <w:vertAlign w:val="subscript"/>
              </w:rPr>
              <w:t>4</w:t>
            </w:r>
            <w:r w:rsidRPr="009867C1">
              <w:rPr>
                <w:rFonts w:eastAsia="Times New Roman"/>
                <w:color w:val="000000"/>
                <w:sz w:val="20"/>
                <w:szCs w:val="20"/>
              </w:rPr>
              <w:t xml:space="preserve">     (</w:t>
            </w:r>
            <w:r w:rsidRPr="009867C1">
              <w:rPr>
                <w:rFonts w:eastAsia="Times New Roman"/>
                <w:color w:val="000000"/>
                <w:sz w:val="20"/>
                <w:szCs w:val="20"/>
                <w:vertAlign w:val="subscript"/>
              </w:rPr>
              <w:t>15</w:t>
            </w:r>
            <w:r w:rsidRPr="009867C1">
              <w:rPr>
                <w:rFonts w:eastAsia="Times New Roman"/>
                <w:color w:val="000000"/>
                <w:sz w:val="20"/>
                <w:szCs w:val="20"/>
              </w:rPr>
              <w:t>N)</w:t>
            </w:r>
          </w:p>
        </w:tc>
        <w:tc>
          <w:tcPr>
            <w:tcW w:w="1134" w:type="dxa"/>
            <w:shd w:val="clear" w:color="auto" w:fill="auto"/>
            <w:noWrap/>
            <w:vAlign w:val="bottom"/>
            <w:hideMark/>
          </w:tcPr>
          <w:p w14:paraId="27DF41E5"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132.34</w:t>
            </w:r>
          </w:p>
        </w:tc>
        <w:tc>
          <w:tcPr>
            <w:tcW w:w="1276" w:type="dxa"/>
            <w:shd w:val="clear" w:color="auto" w:fill="auto"/>
            <w:noWrap/>
            <w:vAlign w:val="bottom"/>
            <w:hideMark/>
          </w:tcPr>
          <w:p w14:paraId="3AEFC93B"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0.21</w:t>
            </w:r>
          </w:p>
        </w:tc>
        <w:tc>
          <w:tcPr>
            <w:tcW w:w="709" w:type="dxa"/>
            <w:shd w:val="clear" w:color="auto" w:fill="auto"/>
            <w:noWrap/>
            <w:vAlign w:val="bottom"/>
            <w:hideMark/>
          </w:tcPr>
          <w:p w14:paraId="1C07AA83"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0</w:t>
            </w:r>
          </w:p>
        </w:tc>
        <w:tc>
          <w:tcPr>
            <w:tcW w:w="708" w:type="dxa"/>
            <w:shd w:val="clear" w:color="auto" w:fill="auto"/>
            <w:noWrap/>
            <w:vAlign w:val="bottom"/>
            <w:hideMark/>
          </w:tcPr>
          <w:p w14:paraId="6D252167"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0</w:t>
            </w:r>
          </w:p>
        </w:tc>
        <w:tc>
          <w:tcPr>
            <w:tcW w:w="709" w:type="dxa"/>
            <w:shd w:val="clear" w:color="auto" w:fill="auto"/>
            <w:noWrap/>
            <w:vAlign w:val="bottom"/>
            <w:hideMark/>
          </w:tcPr>
          <w:p w14:paraId="447F6700"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0</w:t>
            </w:r>
          </w:p>
        </w:tc>
        <w:tc>
          <w:tcPr>
            <w:tcW w:w="709" w:type="dxa"/>
            <w:shd w:val="clear" w:color="auto" w:fill="auto"/>
            <w:noWrap/>
            <w:vAlign w:val="bottom"/>
            <w:hideMark/>
          </w:tcPr>
          <w:p w14:paraId="669F4B22"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0.24</w:t>
            </w:r>
          </w:p>
        </w:tc>
        <w:tc>
          <w:tcPr>
            <w:tcW w:w="709" w:type="dxa"/>
            <w:shd w:val="clear" w:color="auto" w:fill="auto"/>
            <w:noWrap/>
            <w:vAlign w:val="bottom"/>
            <w:hideMark/>
          </w:tcPr>
          <w:p w14:paraId="081232EB"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0</w:t>
            </w:r>
          </w:p>
        </w:tc>
        <w:tc>
          <w:tcPr>
            <w:tcW w:w="756" w:type="dxa"/>
            <w:shd w:val="clear" w:color="auto" w:fill="auto"/>
            <w:noWrap/>
            <w:vAlign w:val="bottom"/>
            <w:hideMark/>
          </w:tcPr>
          <w:p w14:paraId="3D381380"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0.06</w:t>
            </w:r>
          </w:p>
        </w:tc>
        <w:tc>
          <w:tcPr>
            <w:tcW w:w="661" w:type="dxa"/>
            <w:shd w:val="clear" w:color="auto" w:fill="auto"/>
            <w:noWrap/>
            <w:vAlign w:val="bottom"/>
            <w:hideMark/>
          </w:tcPr>
          <w:p w14:paraId="2B50DCD5"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0.48</w:t>
            </w:r>
          </w:p>
        </w:tc>
        <w:tc>
          <w:tcPr>
            <w:tcW w:w="703" w:type="dxa"/>
            <w:shd w:val="clear" w:color="auto" w:fill="auto"/>
            <w:noWrap/>
            <w:vAlign w:val="bottom"/>
            <w:hideMark/>
          </w:tcPr>
          <w:p w14:paraId="5834AE38"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1</w:t>
            </w:r>
          </w:p>
        </w:tc>
      </w:tr>
      <w:tr w:rsidR="00732898" w:rsidRPr="009867C1" w14:paraId="20F1311C" w14:textId="77777777" w:rsidTr="00732898">
        <w:trPr>
          <w:trHeight w:val="360"/>
        </w:trPr>
        <w:tc>
          <w:tcPr>
            <w:tcW w:w="1266" w:type="dxa"/>
            <w:shd w:val="clear" w:color="auto" w:fill="auto"/>
            <w:noWrap/>
            <w:vAlign w:val="bottom"/>
            <w:hideMark/>
          </w:tcPr>
          <w:p w14:paraId="13D17E38" w14:textId="77777777" w:rsidR="000F01AB" w:rsidRPr="009867C1" w:rsidRDefault="000F01AB" w:rsidP="00BA6F95">
            <w:pPr>
              <w:spacing w:line="240" w:lineRule="auto"/>
              <w:rPr>
                <w:rFonts w:eastAsia="Times New Roman"/>
                <w:color w:val="000000"/>
                <w:sz w:val="20"/>
                <w:szCs w:val="20"/>
              </w:rPr>
            </w:pPr>
            <w:r w:rsidRPr="009867C1">
              <w:rPr>
                <w:rFonts w:eastAsia="Times New Roman"/>
                <w:color w:val="000000"/>
                <w:sz w:val="20"/>
                <w:szCs w:val="20"/>
              </w:rPr>
              <w:t>(NH4)</w:t>
            </w:r>
            <w:r w:rsidRPr="009867C1">
              <w:rPr>
                <w:rFonts w:eastAsia="Times New Roman"/>
                <w:color w:val="000000"/>
                <w:sz w:val="20"/>
                <w:szCs w:val="20"/>
                <w:vertAlign w:val="subscript"/>
              </w:rPr>
              <w:t>2</w:t>
            </w:r>
            <w:r w:rsidRPr="009867C1">
              <w:rPr>
                <w:rFonts w:eastAsia="Times New Roman"/>
                <w:color w:val="000000"/>
                <w:sz w:val="20"/>
                <w:szCs w:val="20"/>
              </w:rPr>
              <w:t>SO</w:t>
            </w:r>
            <w:r w:rsidRPr="009867C1">
              <w:rPr>
                <w:rFonts w:eastAsia="Times New Roman"/>
                <w:color w:val="000000"/>
                <w:sz w:val="20"/>
                <w:szCs w:val="20"/>
                <w:vertAlign w:val="subscript"/>
              </w:rPr>
              <w:t>4</w:t>
            </w:r>
          </w:p>
        </w:tc>
        <w:tc>
          <w:tcPr>
            <w:tcW w:w="1134" w:type="dxa"/>
            <w:shd w:val="clear" w:color="auto" w:fill="auto"/>
            <w:noWrap/>
            <w:vAlign w:val="bottom"/>
            <w:hideMark/>
          </w:tcPr>
          <w:p w14:paraId="66E3E9A8"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132.14</w:t>
            </w:r>
          </w:p>
        </w:tc>
        <w:tc>
          <w:tcPr>
            <w:tcW w:w="1276" w:type="dxa"/>
            <w:shd w:val="clear" w:color="auto" w:fill="auto"/>
            <w:noWrap/>
            <w:vAlign w:val="bottom"/>
            <w:hideMark/>
          </w:tcPr>
          <w:p w14:paraId="5087BE87"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0.21</w:t>
            </w:r>
          </w:p>
        </w:tc>
        <w:tc>
          <w:tcPr>
            <w:tcW w:w="709" w:type="dxa"/>
            <w:shd w:val="clear" w:color="auto" w:fill="auto"/>
            <w:noWrap/>
            <w:vAlign w:val="bottom"/>
            <w:hideMark/>
          </w:tcPr>
          <w:p w14:paraId="02A51B7C"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0</w:t>
            </w:r>
          </w:p>
        </w:tc>
        <w:tc>
          <w:tcPr>
            <w:tcW w:w="708" w:type="dxa"/>
            <w:shd w:val="clear" w:color="auto" w:fill="auto"/>
            <w:noWrap/>
            <w:vAlign w:val="bottom"/>
            <w:hideMark/>
          </w:tcPr>
          <w:p w14:paraId="131C20BE"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0</w:t>
            </w:r>
          </w:p>
        </w:tc>
        <w:tc>
          <w:tcPr>
            <w:tcW w:w="709" w:type="dxa"/>
            <w:shd w:val="clear" w:color="auto" w:fill="auto"/>
            <w:noWrap/>
            <w:vAlign w:val="bottom"/>
            <w:hideMark/>
          </w:tcPr>
          <w:p w14:paraId="3920D173"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0</w:t>
            </w:r>
          </w:p>
        </w:tc>
        <w:tc>
          <w:tcPr>
            <w:tcW w:w="709" w:type="dxa"/>
            <w:shd w:val="clear" w:color="auto" w:fill="auto"/>
            <w:noWrap/>
            <w:vAlign w:val="bottom"/>
            <w:hideMark/>
          </w:tcPr>
          <w:p w14:paraId="3B0FEAA4"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0.24</w:t>
            </w:r>
          </w:p>
        </w:tc>
        <w:tc>
          <w:tcPr>
            <w:tcW w:w="709" w:type="dxa"/>
            <w:shd w:val="clear" w:color="auto" w:fill="auto"/>
            <w:noWrap/>
            <w:vAlign w:val="bottom"/>
            <w:hideMark/>
          </w:tcPr>
          <w:p w14:paraId="6CA96274"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0</w:t>
            </w:r>
          </w:p>
        </w:tc>
        <w:tc>
          <w:tcPr>
            <w:tcW w:w="756" w:type="dxa"/>
            <w:shd w:val="clear" w:color="auto" w:fill="auto"/>
            <w:noWrap/>
            <w:vAlign w:val="bottom"/>
            <w:hideMark/>
          </w:tcPr>
          <w:p w14:paraId="3932E3EB"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0.06</w:t>
            </w:r>
          </w:p>
        </w:tc>
        <w:tc>
          <w:tcPr>
            <w:tcW w:w="661" w:type="dxa"/>
            <w:shd w:val="clear" w:color="auto" w:fill="auto"/>
            <w:noWrap/>
            <w:vAlign w:val="bottom"/>
            <w:hideMark/>
          </w:tcPr>
          <w:p w14:paraId="705E77E0"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0.48</w:t>
            </w:r>
          </w:p>
        </w:tc>
        <w:tc>
          <w:tcPr>
            <w:tcW w:w="703" w:type="dxa"/>
            <w:shd w:val="clear" w:color="auto" w:fill="auto"/>
            <w:noWrap/>
            <w:vAlign w:val="bottom"/>
            <w:hideMark/>
          </w:tcPr>
          <w:p w14:paraId="7329AD7B"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1</w:t>
            </w:r>
          </w:p>
        </w:tc>
      </w:tr>
      <w:tr w:rsidR="00732898" w:rsidRPr="009867C1" w14:paraId="1F983DEF" w14:textId="77777777" w:rsidTr="00732898">
        <w:trPr>
          <w:trHeight w:val="375"/>
        </w:trPr>
        <w:tc>
          <w:tcPr>
            <w:tcW w:w="1266" w:type="dxa"/>
            <w:shd w:val="clear" w:color="auto" w:fill="auto"/>
            <w:noWrap/>
            <w:vAlign w:val="bottom"/>
            <w:hideMark/>
          </w:tcPr>
          <w:p w14:paraId="5FF5C886" w14:textId="77777777" w:rsidR="000F01AB" w:rsidRPr="009867C1" w:rsidRDefault="000F01AB" w:rsidP="00BA6F95">
            <w:pPr>
              <w:spacing w:line="240" w:lineRule="auto"/>
              <w:rPr>
                <w:rFonts w:eastAsia="Times New Roman"/>
                <w:color w:val="000000"/>
                <w:sz w:val="20"/>
                <w:szCs w:val="20"/>
              </w:rPr>
            </w:pPr>
            <w:r w:rsidRPr="009867C1">
              <w:rPr>
                <w:rFonts w:eastAsia="Times New Roman"/>
                <w:color w:val="000000"/>
                <w:sz w:val="20"/>
                <w:szCs w:val="20"/>
              </w:rPr>
              <w:t>Ca(HPO</w:t>
            </w:r>
            <w:r w:rsidRPr="009867C1">
              <w:rPr>
                <w:rFonts w:eastAsia="Times New Roman"/>
                <w:color w:val="000000"/>
                <w:sz w:val="20"/>
                <w:szCs w:val="20"/>
                <w:vertAlign w:val="subscript"/>
              </w:rPr>
              <w:t>4</w:t>
            </w:r>
            <w:r w:rsidRPr="009867C1">
              <w:rPr>
                <w:rFonts w:eastAsia="Times New Roman"/>
                <w:color w:val="000000"/>
                <w:sz w:val="20"/>
                <w:szCs w:val="20"/>
              </w:rPr>
              <w:t>)</w:t>
            </w:r>
            <w:r w:rsidRPr="009867C1">
              <w:rPr>
                <w:rFonts w:eastAsia="Times New Roman"/>
                <w:color w:val="000000"/>
                <w:sz w:val="20"/>
                <w:szCs w:val="20"/>
                <w:vertAlign w:val="superscript"/>
              </w:rPr>
              <w:t>2-</w:t>
            </w:r>
          </w:p>
        </w:tc>
        <w:tc>
          <w:tcPr>
            <w:tcW w:w="1134" w:type="dxa"/>
            <w:shd w:val="clear" w:color="auto" w:fill="auto"/>
            <w:noWrap/>
            <w:vAlign w:val="bottom"/>
            <w:hideMark/>
          </w:tcPr>
          <w:p w14:paraId="731AB636"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136</w:t>
            </w:r>
          </w:p>
        </w:tc>
        <w:tc>
          <w:tcPr>
            <w:tcW w:w="1276" w:type="dxa"/>
            <w:shd w:val="clear" w:color="auto" w:fill="auto"/>
            <w:noWrap/>
            <w:vAlign w:val="bottom"/>
            <w:hideMark/>
          </w:tcPr>
          <w:p w14:paraId="62CD2748"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0</w:t>
            </w:r>
          </w:p>
        </w:tc>
        <w:tc>
          <w:tcPr>
            <w:tcW w:w="709" w:type="dxa"/>
            <w:shd w:val="clear" w:color="auto" w:fill="auto"/>
            <w:noWrap/>
            <w:vAlign w:val="bottom"/>
            <w:hideMark/>
          </w:tcPr>
          <w:p w14:paraId="7368E41F"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0.22</w:t>
            </w:r>
          </w:p>
        </w:tc>
        <w:tc>
          <w:tcPr>
            <w:tcW w:w="708" w:type="dxa"/>
            <w:shd w:val="clear" w:color="auto" w:fill="auto"/>
            <w:noWrap/>
            <w:vAlign w:val="bottom"/>
            <w:hideMark/>
          </w:tcPr>
          <w:p w14:paraId="1A0479D7"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0</w:t>
            </w:r>
          </w:p>
        </w:tc>
        <w:tc>
          <w:tcPr>
            <w:tcW w:w="709" w:type="dxa"/>
            <w:shd w:val="clear" w:color="auto" w:fill="auto"/>
            <w:noWrap/>
            <w:vAlign w:val="bottom"/>
            <w:hideMark/>
          </w:tcPr>
          <w:p w14:paraId="38C2FB42"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0</w:t>
            </w:r>
          </w:p>
        </w:tc>
        <w:tc>
          <w:tcPr>
            <w:tcW w:w="709" w:type="dxa"/>
            <w:shd w:val="clear" w:color="auto" w:fill="auto"/>
            <w:noWrap/>
            <w:vAlign w:val="bottom"/>
            <w:hideMark/>
          </w:tcPr>
          <w:p w14:paraId="2B2DD7C3"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0</w:t>
            </w:r>
          </w:p>
        </w:tc>
        <w:tc>
          <w:tcPr>
            <w:tcW w:w="709" w:type="dxa"/>
            <w:shd w:val="clear" w:color="auto" w:fill="auto"/>
            <w:noWrap/>
            <w:vAlign w:val="bottom"/>
            <w:hideMark/>
          </w:tcPr>
          <w:p w14:paraId="18BB23F1"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0.29</w:t>
            </w:r>
          </w:p>
        </w:tc>
        <w:tc>
          <w:tcPr>
            <w:tcW w:w="756" w:type="dxa"/>
            <w:shd w:val="clear" w:color="auto" w:fill="auto"/>
            <w:noWrap/>
            <w:vAlign w:val="bottom"/>
            <w:hideMark/>
          </w:tcPr>
          <w:p w14:paraId="5E5E8EB2"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0.007</w:t>
            </w:r>
          </w:p>
        </w:tc>
        <w:tc>
          <w:tcPr>
            <w:tcW w:w="661" w:type="dxa"/>
            <w:shd w:val="clear" w:color="auto" w:fill="auto"/>
            <w:noWrap/>
            <w:vAlign w:val="bottom"/>
            <w:hideMark/>
          </w:tcPr>
          <w:p w14:paraId="6C951AB4"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0.47</w:t>
            </w:r>
          </w:p>
        </w:tc>
        <w:tc>
          <w:tcPr>
            <w:tcW w:w="703" w:type="dxa"/>
            <w:shd w:val="clear" w:color="auto" w:fill="auto"/>
            <w:noWrap/>
            <w:vAlign w:val="bottom"/>
            <w:hideMark/>
          </w:tcPr>
          <w:p w14:paraId="2F2E55A4"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1</w:t>
            </w:r>
          </w:p>
        </w:tc>
      </w:tr>
      <w:tr w:rsidR="00732898" w:rsidRPr="009867C1" w14:paraId="7F7CE3AE" w14:textId="77777777" w:rsidTr="00732898">
        <w:trPr>
          <w:trHeight w:val="360"/>
        </w:trPr>
        <w:tc>
          <w:tcPr>
            <w:tcW w:w="1266" w:type="dxa"/>
            <w:shd w:val="clear" w:color="auto" w:fill="auto"/>
            <w:noWrap/>
            <w:vAlign w:val="center"/>
            <w:hideMark/>
          </w:tcPr>
          <w:p w14:paraId="2E8CCCFF" w14:textId="77777777" w:rsidR="000F01AB" w:rsidRPr="009867C1" w:rsidRDefault="000F01AB" w:rsidP="00BA6F95">
            <w:pPr>
              <w:spacing w:line="240" w:lineRule="auto"/>
              <w:rPr>
                <w:rFonts w:eastAsia="Times New Roman"/>
                <w:color w:val="000000"/>
                <w:sz w:val="20"/>
                <w:szCs w:val="20"/>
              </w:rPr>
            </w:pPr>
            <w:r w:rsidRPr="009867C1">
              <w:rPr>
                <w:rFonts w:eastAsia="Times New Roman"/>
                <w:color w:val="000000"/>
                <w:sz w:val="20"/>
                <w:szCs w:val="20"/>
              </w:rPr>
              <w:t>K</w:t>
            </w:r>
            <w:r w:rsidRPr="009867C1">
              <w:rPr>
                <w:rFonts w:eastAsia="Times New Roman"/>
                <w:color w:val="000000"/>
                <w:sz w:val="20"/>
                <w:szCs w:val="20"/>
                <w:vertAlign w:val="subscript"/>
              </w:rPr>
              <w:t>2</w:t>
            </w:r>
            <w:r w:rsidRPr="009867C1">
              <w:rPr>
                <w:rFonts w:eastAsia="Times New Roman"/>
                <w:color w:val="000000"/>
                <w:sz w:val="20"/>
                <w:szCs w:val="20"/>
              </w:rPr>
              <w:t>SO</w:t>
            </w:r>
            <w:r w:rsidRPr="009867C1">
              <w:rPr>
                <w:rFonts w:eastAsia="Times New Roman"/>
                <w:color w:val="000000"/>
                <w:sz w:val="20"/>
                <w:szCs w:val="20"/>
                <w:vertAlign w:val="subscript"/>
              </w:rPr>
              <w:t>4</w:t>
            </w:r>
          </w:p>
        </w:tc>
        <w:tc>
          <w:tcPr>
            <w:tcW w:w="1134" w:type="dxa"/>
            <w:shd w:val="clear" w:color="auto" w:fill="auto"/>
            <w:noWrap/>
            <w:vAlign w:val="bottom"/>
            <w:hideMark/>
          </w:tcPr>
          <w:p w14:paraId="6AA11DF0"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174</w:t>
            </w:r>
          </w:p>
        </w:tc>
        <w:tc>
          <w:tcPr>
            <w:tcW w:w="1276" w:type="dxa"/>
            <w:shd w:val="clear" w:color="auto" w:fill="auto"/>
            <w:noWrap/>
            <w:vAlign w:val="bottom"/>
            <w:hideMark/>
          </w:tcPr>
          <w:p w14:paraId="42066F15"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0</w:t>
            </w:r>
          </w:p>
        </w:tc>
        <w:tc>
          <w:tcPr>
            <w:tcW w:w="709" w:type="dxa"/>
            <w:shd w:val="clear" w:color="auto" w:fill="auto"/>
            <w:noWrap/>
            <w:vAlign w:val="bottom"/>
            <w:hideMark/>
          </w:tcPr>
          <w:p w14:paraId="0BE04BE1"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0</w:t>
            </w:r>
          </w:p>
        </w:tc>
        <w:tc>
          <w:tcPr>
            <w:tcW w:w="708" w:type="dxa"/>
            <w:shd w:val="clear" w:color="auto" w:fill="auto"/>
            <w:noWrap/>
            <w:vAlign w:val="bottom"/>
            <w:hideMark/>
          </w:tcPr>
          <w:p w14:paraId="36CBA2A6"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0.45</w:t>
            </w:r>
          </w:p>
        </w:tc>
        <w:tc>
          <w:tcPr>
            <w:tcW w:w="709" w:type="dxa"/>
            <w:shd w:val="clear" w:color="auto" w:fill="auto"/>
            <w:noWrap/>
            <w:vAlign w:val="bottom"/>
            <w:hideMark/>
          </w:tcPr>
          <w:p w14:paraId="3D2B7EB7"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0</w:t>
            </w:r>
          </w:p>
        </w:tc>
        <w:tc>
          <w:tcPr>
            <w:tcW w:w="709" w:type="dxa"/>
            <w:shd w:val="clear" w:color="auto" w:fill="auto"/>
            <w:noWrap/>
            <w:vAlign w:val="bottom"/>
            <w:hideMark/>
          </w:tcPr>
          <w:p w14:paraId="48A9061A"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0.18</w:t>
            </w:r>
          </w:p>
        </w:tc>
        <w:tc>
          <w:tcPr>
            <w:tcW w:w="709" w:type="dxa"/>
            <w:shd w:val="clear" w:color="auto" w:fill="auto"/>
            <w:noWrap/>
            <w:vAlign w:val="bottom"/>
            <w:hideMark/>
          </w:tcPr>
          <w:p w14:paraId="175BE233"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0</w:t>
            </w:r>
          </w:p>
        </w:tc>
        <w:tc>
          <w:tcPr>
            <w:tcW w:w="756" w:type="dxa"/>
            <w:shd w:val="clear" w:color="auto" w:fill="auto"/>
            <w:noWrap/>
            <w:vAlign w:val="bottom"/>
            <w:hideMark/>
          </w:tcPr>
          <w:p w14:paraId="3B016E55"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0</w:t>
            </w:r>
          </w:p>
        </w:tc>
        <w:tc>
          <w:tcPr>
            <w:tcW w:w="661" w:type="dxa"/>
            <w:shd w:val="clear" w:color="auto" w:fill="auto"/>
            <w:noWrap/>
            <w:vAlign w:val="bottom"/>
            <w:hideMark/>
          </w:tcPr>
          <w:p w14:paraId="40F2885F"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0.37</w:t>
            </w:r>
          </w:p>
        </w:tc>
        <w:tc>
          <w:tcPr>
            <w:tcW w:w="703" w:type="dxa"/>
            <w:shd w:val="clear" w:color="auto" w:fill="auto"/>
            <w:noWrap/>
            <w:vAlign w:val="bottom"/>
            <w:hideMark/>
          </w:tcPr>
          <w:p w14:paraId="33668805"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1</w:t>
            </w:r>
          </w:p>
        </w:tc>
      </w:tr>
      <w:tr w:rsidR="00732898" w:rsidRPr="009867C1" w14:paraId="6CBDCF6A" w14:textId="77777777" w:rsidTr="00732898">
        <w:trPr>
          <w:trHeight w:val="375"/>
        </w:trPr>
        <w:tc>
          <w:tcPr>
            <w:tcW w:w="1266" w:type="dxa"/>
            <w:shd w:val="clear" w:color="auto" w:fill="auto"/>
            <w:noWrap/>
            <w:vAlign w:val="center"/>
            <w:hideMark/>
          </w:tcPr>
          <w:p w14:paraId="75378F6E" w14:textId="77777777" w:rsidR="000F01AB" w:rsidRPr="009867C1" w:rsidRDefault="000F01AB" w:rsidP="00BA6F95">
            <w:pPr>
              <w:spacing w:line="240" w:lineRule="auto"/>
              <w:rPr>
                <w:rFonts w:eastAsia="Times New Roman"/>
                <w:color w:val="000000"/>
                <w:sz w:val="20"/>
                <w:szCs w:val="20"/>
              </w:rPr>
            </w:pPr>
            <w:r w:rsidRPr="009867C1">
              <w:rPr>
                <w:rFonts w:eastAsia="Times New Roman"/>
                <w:color w:val="000000"/>
                <w:sz w:val="20"/>
                <w:szCs w:val="20"/>
              </w:rPr>
              <w:t>MgSO</w:t>
            </w:r>
            <w:r w:rsidRPr="009867C1">
              <w:rPr>
                <w:rFonts w:eastAsia="Times New Roman"/>
                <w:color w:val="000000"/>
                <w:sz w:val="20"/>
                <w:szCs w:val="20"/>
                <w:vertAlign w:val="subscript"/>
              </w:rPr>
              <w:t>4</w:t>
            </w:r>
          </w:p>
        </w:tc>
        <w:tc>
          <w:tcPr>
            <w:tcW w:w="1134" w:type="dxa"/>
            <w:shd w:val="clear" w:color="auto" w:fill="auto"/>
            <w:noWrap/>
            <w:vAlign w:val="bottom"/>
            <w:hideMark/>
          </w:tcPr>
          <w:p w14:paraId="6F866DA9"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120.3</w:t>
            </w:r>
          </w:p>
        </w:tc>
        <w:tc>
          <w:tcPr>
            <w:tcW w:w="1276" w:type="dxa"/>
            <w:shd w:val="clear" w:color="auto" w:fill="auto"/>
            <w:noWrap/>
            <w:vAlign w:val="bottom"/>
            <w:hideMark/>
          </w:tcPr>
          <w:p w14:paraId="1329F298"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0</w:t>
            </w:r>
          </w:p>
        </w:tc>
        <w:tc>
          <w:tcPr>
            <w:tcW w:w="709" w:type="dxa"/>
            <w:shd w:val="clear" w:color="auto" w:fill="auto"/>
            <w:noWrap/>
            <w:vAlign w:val="bottom"/>
            <w:hideMark/>
          </w:tcPr>
          <w:p w14:paraId="4B4C70FB"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0</w:t>
            </w:r>
          </w:p>
        </w:tc>
        <w:tc>
          <w:tcPr>
            <w:tcW w:w="708" w:type="dxa"/>
            <w:shd w:val="clear" w:color="auto" w:fill="auto"/>
            <w:noWrap/>
            <w:vAlign w:val="bottom"/>
            <w:hideMark/>
          </w:tcPr>
          <w:p w14:paraId="4E973D20"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0</w:t>
            </w:r>
          </w:p>
        </w:tc>
        <w:tc>
          <w:tcPr>
            <w:tcW w:w="709" w:type="dxa"/>
            <w:shd w:val="clear" w:color="auto" w:fill="auto"/>
            <w:noWrap/>
            <w:vAlign w:val="bottom"/>
            <w:hideMark/>
          </w:tcPr>
          <w:p w14:paraId="1B10DCB4"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0.20</w:t>
            </w:r>
          </w:p>
        </w:tc>
        <w:tc>
          <w:tcPr>
            <w:tcW w:w="709" w:type="dxa"/>
            <w:shd w:val="clear" w:color="auto" w:fill="auto"/>
            <w:noWrap/>
            <w:vAlign w:val="bottom"/>
            <w:hideMark/>
          </w:tcPr>
          <w:p w14:paraId="70EFA454"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0.26</w:t>
            </w:r>
          </w:p>
        </w:tc>
        <w:tc>
          <w:tcPr>
            <w:tcW w:w="709" w:type="dxa"/>
            <w:shd w:val="clear" w:color="auto" w:fill="auto"/>
            <w:noWrap/>
            <w:vAlign w:val="bottom"/>
            <w:hideMark/>
          </w:tcPr>
          <w:p w14:paraId="34801A89"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0</w:t>
            </w:r>
          </w:p>
        </w:tc>
        <w:tc>
          <w:tcPr>
            <w:tcW w:w="756" w:type="dxa"/>
            <w:shd w:val="clear" w:color="auto" w:fill="auto"/>
            <w:noWrap/>
            <w:vAlign w:val="bottom"/>
            <w:hideMark/>
          </w:tcPr>
          <w:p w14:paraId="3186C287"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0</w:t>
            </w:r>
          </w:p>
        </w:tc>
        <w:tc>
          <w:tcPr>
            <w:tcW w:w="661" w:type="dxa"/>
            <w:shd w:val="clear" w:color="auto" w:fill="auto"/>
            <w:noWrap/>
            <w:vAlign w:val="bottom"/>
            <w:hideMark/>
          </w:tcPr>
          <w:p w14:paraId="19E176D5" w14:textId="77777777" w:rsidR="000F01AB" w:rsidRPr="009867C1" w:rsidRDefault="000F01AB" w:rsidP="00BA6F95">
            <w:pPr>
              <w:spacing w:line="240" w:lineRule="auto"/>
              <w:jc w:val="right"/>
              <w:rPr>
                <w:rFonts w:eastAsia="Times New Roman"/>
                <w:color w:val="000000"/>
                <w:sz w:val="20"/>
                <w:szCs w:val="20"/>
              </w:rPr>
            </w:pPr>
            <w:r w:rsidRPr="009867C1">
              <w:rPr>
                <w:rFonts w:eastAsia="Times New Roman"/>
                <w:color w:val="000000"/>
                <w:sz w:val="20"/>
                <w:szCs w:val="20"/>
              </w:rPr>
              <w:t>0.53</w:t>
            </w:r>
          </w:p>
        </w:tc>
        <w:tc>
          <w:tcPr>
            <w:tcW w:w="703" w:type="dxa"/>
            <w:shd w:val="clear" w:color="auto" w:fill="auto"/>
            <w:noWrap/>
            <w:vAlign w:val="bottom"/>
            <w:hideMark/>
          </w:tcPr>
          <w:p w14:paraId="79988F49" w14:textId="77777777" w:rsidR="000F01AB" w:rsidRPr="009867C1" w:rsidRDefault="000F01AB" w:rsidP="00BA6F95">
            <w:pPr>
              <w:keepNext/>
              <w:spacing w:line="240" w:lineRule="auto"/>
              <w:jc w:val="right"/>
              <w:rPr>
                <w:rFonts w:eastAsia="Times New Roman"/>
                <w:color w:val="000000"/>
                <w:sz w:val="20"/>
                <w:szCs w:val="20"/>
              </w:rPr>
            </w:pPr>
            <w:r w:rsidRPr="009867C1">
              <w:rPr>
                <w:rFonts w:eastAsia="Times New Roman"/>
                <w:color w:val="000000"/>
                <w:sz w:val="20"/>
                <w:szCs w:val="20"/>
              </w:rPr>
              <w:t>1</w:t>
            </w:r>
          </w:p>
        </w:tc>
      </w:tr>
    </w:tbl>
    <w:p w14:paraId="2B337B44" w14:textId="710C9DE4" w:rsidR="000F01AB" w:rsidRPr="009867C1" w:rsidRDefault="000F01AB" w:rsidP="008618DE"/>
    <w:p w14:paraId="546B577A" w14:textId="79ADE0E6" w:rsidR="00DB2610" w:rsidRPr="009867C1" w:rsidRDefault="00DB2610" w:rsidP="00DB2610">
      <w:pPr>
        <w:pStyle w:val="Caption"/>
        <w:keepNext/>
      </w:pPr>
      <w:bookmarkStart w:id="370" w:name="_Ref76308148"/>
      <w:bookmarkStart w:id="371" w:name="_Toc74949419"/>
      <w:r w:rsidRPr="009867C1">
        <w:t xml:space="preserve">Table </w:t>
      </w:r>
      <w:r w:rsidR="00840B50" w:rsidRPr="009867C1">
        <w:fldChar w:fldCharType="begin"/>
      </w:r>
      <w:r w:rsidR="00840B50" w:rsidRPr="009867C1">
        <w:instrText xml:space="preserve"> STYLEREF 7 \s </w:instrText>
      </w:r>
      <w:r w:rsidR="00840B50" w:rsidRPr="009867C1">
        <w:fldChar w:fldCharType="separate"/>
      </w:r>
      <w:r w:rsidR="000667DB">
        <w:rPr>
          <w:noProof/>
        </w:rPr>
        <w:t>D</w:t>
      </w:r>
      <w:r w:rsidR="00840B50" w:rsidRPr="009867C1">
        <w:fldChar w:fldCharType="end"/>
      </w:r>
      <w:r w:rsidR="00840B50" w:rsidRPr="009867C1">
        <w:noBreakHyphen/>
      </w:r>
      <w:r w:rsidR="00840B50" w:rsidRPr="009867C1">
        <w:fldChar w:fldCharType="begin"/>
      </w:r>
      <w:r w:rsidR="00840B50" w:rsidRPr="009867C1">
        <w:instrText xml:space="preserve"> SEQ Appendix_Table \* ARABIC \s 7 </w:instrText>
      </w:r>
      <w:r w:rsidR="00840B50" w:rsidRPr="009867C1">
        <w:fldChar w:fldCharType="separate"/>
      </w:r>
      <w:r w:rsidR="000667DB">
        <w:rPr>
          <w:noProof/>
        </w:rPr>
        <w:t>3</w:t>
      </w:r>
      <w:r w:rsidR="00840B50" w:rsidRPr="009867C1">
        <w:fldChar w:fldCharType="end"/>
      </w:r>
      <w:bookmarkEnd w:id="370"/>
      <w:r w:rsidRPr="009867C1">
        <w:t>: Amount of each compound added.</w:t>
      </w:r>
      <w:bookmarkEnd w:id="371"/>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563"/>
        <w:gridCol w:w="1106"/>
        <w:gridCol w:w="1567"/>
        <w:gridCol w:w="881"/>
        <w:gridCol w:w="473"/>
        <w:gridCol w:w="473"/>
        <w:gridCol w:w="546"/>
        <w:gridCol w:w="546"/>
        <w:gridCol w:w="473"/>
        <w:gridCol w:w="546"/>
        <w:gridCol w:w="546"/>
        <w:gridCol w:w="620"/>
      </w:tblGrid>
      <w:tr w:rsidR="000F01AB" w:rsidRPr="009867C1" w14:paraId="586EFC28" w14:textId="77777777" w:rsidTr="00A81913">
        <w:trPr>
          <w:trHeight w:val="300"/>
        </w:trPr>
        <w:tc>
          <w:tcPr>
            <w:tcW w:w="627" w:type="pct"/>
            <w:shd w:val="clear" w:color="auto" w:fill="auto"/>
            <w:noWrap/>
            <w:vAlign w:val="bottom"/>
            <w:hideMark/>
          </w:tcPr>
          <w:p w14:paraId="115CB2EA" w14:textId="77777777" w:rsidR="000F01AB" w:rsidRPr="009867C1" w:rsidRDefault="000F01AB" w:rsidP="00BA6F95">
            <w:pPr>
              <w:spacing w:line="240" w:lineRule="auto"/>
              <w:rPr>
                <w:rFonts w:eastAsia="Times New Roman"/>
                <w:color w:val="000000"/>
              </w:rPr>
            </w:pPr>
            <w:r w:rsidRPr="009867C1">
              <w:rPr>
                <w:rFonts w:eastAsia="Times New Roman"/>
                <w:color w:val="000000"/>
              </w:rPr>
              <w:t> </w:t>
            </w:r>
          </w:p>
        </w:tc>
        <w:tc>
          <w:tcPr>
            <w:tcW w:w="453" w:type="pct"/>
            <w:shd w:val="clear" w:color="auto" w:fill="auto"/>
            <w:noWrap/>
            <w:vAlign w:val="bottom"/>
            <w:hideMark/>
          </w:tcPr>
          <w:p w14:paraId="2C486292" w14:textId="77777777" w:rsidR="000F01AB" w:rsidRPr="009867C1" w:rsidRDefault="000F01AB" w:rsidP="00BA6F95">
            <w:pPr>
              <w:spacing w:line="240" w:lineRule="auto"/>
              <w:rPr>
                <w:rFonts w:eastAsia="Times New Roman"/>
                <w:color w:val="000000"/>
              </w:rPr>
            </w:pPr>
            <w:r w:rsidRPr="009867C1">
              <w:rPr>
                <w:rFonts w:eastAsia="Times New Roman"/>
                <w:color w:val="000000"/>
              </w:rPr>
              <w:t> </w:t>
            </w:r>
          </w:p>
        </w:tc>
        <w:tc>
          <w:tcPr>
            <w:tcW w:w="709" w:type="pct"/>
            <w:shd w:val="clear" w:color="auto" w:fill="auto"/>
            <w:noWrap/>
            <w:vAlign w:val="bottom"/>
            <w:hideMark/>
          </w:tcPr>
          <w:p w14:paraId="6FFA5147" w14:textId="77777777" w:rsidR="000F01AB" w:rsidRPr="009867C1" w:rsidRDefault="000F01AB" w:rsidP="00BA6F95">
            <w:pPr>
              <w:spacing w:line="240" w:lineRule="auto"/>
              <w:rPr>
                <w:rFonts w:eastAsia="Times New Roman"/>
                <w:color w:val="000000"/>
              </w:rPr>
            </w:pPr>
            <w:r w:rsidRPr="009867C1">
              <w:rPr>
                <w:rFonts w:eastAsia="Times New Roman"/>
                <w:color w:val="000000"/>
              </w:rPr>
              <w:t> </w:t>
            </w:r>
          </w:p>
        </w:tc>
        <w:tc>
          <w:tcPr>
            <w:tcW w:w="418" w:type="pct"/>
            <w:shd w:val="clear" w:color="auto" w:fill="auto"/>
            <w:noWrap/>
            <w:vAlign w:val="bottom"/>
            <w:hideMark/>
          </w:tcPr>
          <w:p w14:paraId="710D139D" w14:textId="77777777" w:rsidR="000F01AB" w:rsidRPr="009867C1" w:rsidRDefault="000F01AB" w:rsidP="00BA6F95">
            <w:pPr>
              <w:spacing w:line="240" w:lineRule="auto"/>
              <w:rPr>
                <w:rFonts w:eastAsia="Times New Roman"/>
                <w:color w:val="000000"/>
              </w:rPr>
            </w:pPr>
            <w:r w:rsidRPr="009867C1">
              <w:rPr>
                <w:rFonts w:eastAsia="Times New Roman"/>
                <w:color w:val="000000"/>
              </w:rPr>
              <w:t>Implied (g)</w:t>
            </w:r>
          </w:p>
        </w:tc>
        <w:tc>
          <w:tcPr>
            <w:tcW w:w="418" w:type="pct"/>
            <w:shd w:val="clear" w:color="auto" w:fill="auto"/>
            <w:noWrap/>
            <w:vAlign w:val="bottom"/>
            <w:hideMark/>
          </w:tcPr>
          <w:p w14:paraId="1DB673EF" w14:textId="77777777" w:rsidR="000F01AB" w:rsidRPr="009867C1" w:rsidRDefault="000F01AB" w:rsidP="00BA6F95">
            <w:pPr>
              <w:spacing w:line="240" w:lineRule="auto"/>
              <w:rPr>
                <w:rFonts w:eastAsia="Times New Roman"/>
                <w:color w:val="000000"/>
              </w:rPr>
            </w:pPr>
            <w:r w:rsidRPr="009867C1">
              <w:rPr>
                <w:rFonts w:eastAsia="Times New Roman"/>
                <w:color w:val="000000"/>
              </w:rPr>
              <w:t> </w:t>
            </w:r>
          </w:p>
        </w:tc>
        <w:tc>
          <w:tcPr>
            <w:tcW w:w="418" w:type="pct"/>
            <w:shd w:val="clear" w:color="auto" w:fill="auto"/>
            <w:noWrap/>
            <w:vAlign w:val="bottom"/>
            <w:hideMark/>
          </w:tcPr>
          <w:p w14:paraId="7B8A6213" w14:textId="77777777" w:rsidR="000F01AB" w:rsidRPr="009867C1" w:rsidRDefault="000F01AB" w:rsidP="00BA6F95">
            <w:pPr>
              <w:spacing w:line="240" w:lineRule="auto"/>
              <w:rPr>
                <w:rFonts w:eastAsia="Times New Roman"/>
                <w:color w:val="000000"/>
              </w:rPr>
            </w:pPr>
            <w:r w:rsidRPr="009867C1">
              <w:rPr>
                <w:rFonts w:eastAsia="Times New Roman"/>
                <w:color w:val="000000"/>
              </w:rPr>
              <w:t> </w:t>
            </w:r>
          </w:p>
        </w:tc>
        <w:tc>
          <w:tcPr>
            <w:tcW w:w="418" w:type="pct"/>
            <w:shd w:val="clear" w:color="auto" w:fill="auto"/>
            <w:noWrap/>
            <w:vAlign w:val="bottom"/>
            <w:hideMark/>
          </w:tcPr>
          <w:p w14:paraId="06E17355" w14:textId="77777777" w:rsidR="000F01AB" w:rsidRPr="009867C1" w:rsidRDefault="000F01AB" w:rsidP="00BA6F95">
            <w:pPr>
              <w:spacing w:line="240" w:lineRule="auto"/>
              <w:rPr>
                <w:rFonts w:eastAsia="Times New Roman"/>
                <w:color w:val="000000"/>
              </w:rPr>
            </w:pPr>
            <w:r w:rsidRPr="009867C1">
              <w:rPr>
                <w:rFonts w:eastAsia="Times New Roman"/>
                <w:color w:val="000000"/>
              </w:rPr>
              <w:t> </w:t>
            </w:r>
          </w:p>
        </w:tc>
        <w:tc>
          <w:tcPr>
            <w:tcW w:w="335" w:type="pct"/>
            <w:shd w:val="clear" w:color="auto" w:fill="auto"/>
            <w:noWrap/>
            <w:vAlign w:val="bottom"/>
            <w:hideMark/>
          </w:tcPr>
          <w:p w14:paraId="1212443F" w14:textId="77777777" w:rsidR="000F01AB" w:rsidRPr="009867C1" w:rsidRDefault="000F01AB" w:rsidP="00BA6F95">
            <w:pPr>
              <w:spacing w:line="240" w:lineRule="auto"/>
              <w:rPr>
                <w:rFonts w:eastAsia="Times New Roman"/>
                <w:color w:val="000000"/>
              </w:rPr>
            </w:pPr>
            <w:r w:rsidRPr="009867C1">
              <w:rPr>
                <w:rFonts w:eastAsia="Times New Roman"/>
                <w:color w:val="000000"/>
              </w:rPr>
              <w:t> </w:t>
            </w:r>
          </w:p>
        </w:tc>
        <w:tc>
          <w:tcPr>
            <w:tcW w:w="265" w:type="pct"/>
            <w:shd w:val="clear" w:color="auto" w:fill="auto"/>
            <w:noWrap/>
            <w:vAlign w:val="bottom"/>
            <w:hideMark/>
          </w:tcPr>
          <w:p w14:paraId="61D0D97C" w14:textId="77777777" w:rsidR="000F01AB" w:rsidRPr="009867C1" w:rsidRDefault="000F01AB" w:rsidP="00BA6F95">
            <w:pPr>
              <w:spacing w:line="240" w:lineRule="auto"/>
              <w:rPr>
                <w:rFonts w:eastAsia="Times New Roman"/>
                <w:color w:val="000000"/>
              </w:rPr>
            </w:pPr>
            <w:r w:rsidRPr="009867C1">
              <w:rPr>
                <w:rFonts w:eastAsia="Times New Roman"/>
                <w:color w:val="000000"/>
              </w:rPr>
              <w:t> </w:t>
            </w:r>
          </w:p>
        </w:tc>
        <w:tc>
          <w:tcPr>
            <w:tcW w:w="335" w:type="pct"/>
            <w:shd w:val="clear" w:color="auto" w:fill="auto"/>
            <w:noWrap/>
            <w:vAlign w:val="bottom"/>
            <w:hideMark/>
          </w:tcPr>
          <w:p w14:paraId="24345785" w14:textId="77777777" w:rsidR="000F01AB" w:rsidRPr="009867C1" w:rsidRDefault="000F01AB" w:rsidP="00BA6F95">
            <w:pPr>
              <w:spacing w:line="240" w:lineRule="auto"/>
              <w:rPr>
                <w:rFonts w:eastAsia="Times New Roman"/>
                <w:color w:val="000000"/>
              </w:rPr>
            </w:pPr>
            <w:r w:rsidRPr="009867C1">
              <w:rPr>
                <w:rFonts w:eastAsia="Times New Roman"/>
                <w:color w:val="000000"/>
              </w:rPr>
              <w:t> </w:t>
            </w:r>
          </w:p>
        </w:tc>
        <w:tc>
          <w:tcPr>
            <w:tcW w:w="335" w:type="pct"/>
            <w:shd w:val="clear" w:color="auto" w:fill="auto"/>
            <w:noWrap/>
            <w:vAlign w:val="bottom"/>
            <w:hideMark/>
          </w:tcPr>
          <w:p w14:paraId="070E4B42" w14:textId="77777777" w:rsidR="000F01AB" w:rsidRPr="009867C1" w:rsidRDefault="000F01AB" w:rsidP="00BA6F95">
            <w:pPr>
              <w:spacing w:line="240" w:lineRule="auto"/>
              <w:rPr>
                <w:rFonts w:eastAsia="Times New Roman"/>
                <w:color w:val="000000"/>
              </w:rPr>
            </w:pPr>
            <w:r w:rsidRPr="009867C1">
              <w:rPr>
                <w:rFonts w:eastAsia="Times New Roman"/>
                <w:color w:val="000000"/>
              </w:rPr>
              <w:t> </w:t>
            </w:r>
          </w:p>
        </w:tc>
        <w:tc>
          <w:tcPr>
            <w:tcW w:w="269" w:type="pct"/>
            <w:shd w:val="clear" w:color="auto" w:fill="auto"/>
            <w:noWrap/>
            <w:vAlign w:val="bottom"/>
            <w:hideMark/>
          </w:tcPr>
          <w:p w14:paraId="4A69D075" w14:textId="77777777" w:rsidR="000F01AB" w:rsidRPr="009867C1" w:rsidRDefault="000F01AB" w:rsidP="00BA6F95">
            <w:pPr>
              <w:spacing w:line="240" w:lineRule="auto"/>
              <w:rPr>
                <w:rFonts w:eastAsia="Times New Roman"/>
                <w:color w:val="000000"/>
              </w:rPr>
            </w:pPr>
            <w:r w:rsidRPr="009867C1">
              <w:rPr>
                <w:rFonts w:eastAsia="Times New Roman"/>
                <w:color w:val="000000"/>
              </w:rPr>
              <w:t> </w:t>
            </w:r>
          </w:p>
        </w:tc>
      </w:tr>
      <w:tr w:rsidR="000F01AB" w:rsidRPr="009867C1" w14:paraId="203E1DB4" w14:textId="77777777" w:rsidTr="00A81913">
        <w:trPr>
          <w:trHeight w:val="360"/>
        </w:trPr>
        <w:tc>
          <w:tcPr>
            <w:tcW w:w="627" w:type="pct"/>
            <w:shd w:val="clear" w:color="auto" w:fill="auto"/>
            <w:noWrap/>
            <w:vAlign w:val="bottom"/>
            <w:hideMark/>
          </w:tcPr>
          <w:p w14:paraId="34CC7AB3" w14:textId="77777777" w:rsidR="000F01AB" w:rsidRPr="009867C1" w:rsidRDefault="000F01AB" w:rsidP="00BA6F95">
            <w:pPr>
              <w:spacing w:line="240" w:lineRule="auto"/>
              <w:rPr>
                <w:rFonts w:eastAsia="Times New Roman"/>
                <w:color w:val="000000"/>
              </w:rPr>
            </w:pPr>
            <w:r w:rsidRPr="009867C1">
              <w:rPr>
                <w:rFonts w:eastAsia="Times New Roman"/>
                <w:color w:val="000000"/>
              </w:rPr>
              <w:t>Procedure</w:t>
            </w:r>
          </w:p>
        </w:tc>
        <w:tc>
          <w:tcPr>
            <w:tcW w:w="453" w:type="pct"/>
            <w:shd w:val="clear" w:color="auto" w:fill="auto"/>
            <w:noWrap/>
            <w:vAlign w:val="bottom"/>
            <w:hideMark/>
          </w:tcPr>
          <w:p w14:paraId="238BFBA6" w14:textId="77777777" w:rsidR="000F01AB" w:rsidRPr="009867C1" w:rsidRDefault="000F01AB" w:rsidP="00BA6F95">
            <w:pPr>
              <w:spacing w:line="240" w:lineRule="auto"/>
              <w:rPr>
                <w:rFonts w:eastAsia="Times New Roman"/>
                <w:color w:val="000000"/>
              </w:rPr>
            </w:pPr>
            <w:r w:rsidRPr="009867C1">
              <w:rPr>
                <w:rFonts w:eastAsia="Times New Roman"/>
                <w:color w:val="000000"/>
              </w:rPr>
              <w:t>mass added (g)</w:t>
            </w:r>
          </w:p>
        </w:tc>
        <w:tc>
          <w:tcPr>
            <w:tcW w:w="709" w:type="pct"/>
            <w:shd w:val="clear" w:color="auto" w:fill="auto"/>
            <w:noWrap/>
            <w:vAlign w:val="bottom"/>
            <w:hideMark/>
          </w:tcPr>
          <w:p w14:paraId="4C41C1E2" w14:textId="77777777" w:rsidR="000F01AB" w:rsidRPr="009867C1" w:rsidRDefault="000F01AB" w:rsidP="00BA6F95">
            <w:pPr>
              <w:spacing w:line="240" w:lineRule="auto"/>
              <w:rPr>
                <w:rFonts w:eastAsia="Times New Roman"/>
                <w:color w:val="000000"/>
              </w:rPr>
            </w:pPr>
            <w:r w:rsidRPr="009867C1">
              <w:rPr>
                <w:rFonts w:eastAsia="Times New Roman"/>
                <w:color w:val="000000"/>
              </w:rPr>
              <w:t>compound</w:t>
            </w:r>
          </w:p>
        </w:tc>
        <w:tc>
          <w:tcPr>
            <w:tcW w:w="418" w:type="pct"/>
            <w:shd w:val="clear" w:color="auto" w:fill="auto"/>
            <w:noWrap/>
            <w:vAlign w:val="bottom"/>
            <w:hideMark/>
          </w:tcPr>
          <w:p w14:paraId="11B7C5E2" w14:textId="77777777" w:rsidR="000F01AB" w:rsidRPr="009867C1" w:rsidRDefault="000F01AB" w:rsidP="00BA6F95">
            <w:pPr>
              <w:spacing w:line="240" w:lineRule="auto"/>
              <w:rPr>
                <w:rFonts w:eastAsia="Times New Roman"/>
                <w:b/>
                <w:bCs/>
                <w:color w:val="000000"/>
              </w:rPr>
            </w:pPr>
            <w:r w:rsidRPr="009867C1">
              <w:rPr>
                <w:rFonts w:eastAsia="Times New Roman"/>
                <w:b/>
                <w:bCs/>
                <w:color w:val="000000"/>
              </w:rPr>
              <w:t>N</w:t>
            </w:r>
          </w:p>
        </w:tc>
        <w:tc>
          <w:tcPr>
            <w:tcW w:w="418" w:type="pct"/>
            <w:shd w:val="clear" w:color="auto" w:fill="auto"/>
            <w:noWrap/>
            <w:vAlign w:val="bottom"/>
            <w:hideMark/>
          </w:tcPr>
          <w:p w14:paraId="522F2D37" w14:textId="77777777" w:rsidR="000F01AB" w:rsidRPr="009867C1" w:rsidRDefault="000F01AB" w:rsidP="00BA6F95">
            <w:pPr>
              <w:spacing w:line="240" w:lineRule="auto"/>
              <w:rPr>
                <w:rFonts w:eastAsia="Times New Roman"/>
                <w:b/>
                <w:bCs/>
                <w:color w:val="000000"/>
              </w:rPr>
            </w:pPr>
            <w:r w:rsidRPr="009867C1">
              <w:rPr>
                <w:rFonts w:eastAsia="Times New Roman"/>
                <w:b/>
                <w:bCs/>
                <w:color w:val="000000"/>
              </w:rPr>
              <w:t>P</w:t>
            </w:r>
          </w:p>
        </w:tc>
        <w:tc>
          <w:tcPr>
            <w:tcW w:w="418" w:type="pct"/>
            <w:shd w:val="clear" w:color="auto" w:fill="auto"/>
            <w:noWrap/>
            <w:vAlign w:val="bottom"/>
            <w:hideMark/>
          </w:tcPr>
          <w:p w14:paraId="76E68712" w14:textId="77777777" w:rsidR="000F01AB" w:rsidRPr="009867C1" w:rsidRDefault="000F01AB" w:rsidP="00BA6F95">
            <w:pPr>
              <w:spacing w:line="240" w:lineRule="auto"/>
              <w:rPr>
                <w:rFonts w:eastAsia="Times New Roman"/>
                <w:b/>
                <w:bCs/>
                <w:color w:val="000000"/>
              </w:rPr>
            </w:pPr>
            <w:r w:rsidRPr="009867C1">
              <w:rPr>
                <w:rFonts w:eastAsia="Times New Roman"/>
                <w:b/>
                <w:bCs/>
                <w:color w:val="000000"/>
              </w:rPr>
              <w:t>K</w:t>
            </w:r>
          </w:p>
        </w:tc>
        <w:tc>
          <w:tcPr>
            <w:tcW w:w="418" w:type="pct"/>
            <w:shd w:val="clear" w:color="auto" w:fill="auto"/>
            <w:noWrap/>
            <w:vAlign w:val="bottom"/>
            <w:hideMark/>
          </w:tcPr>
          <w:p w14:paraId="04D8B38E" w14:textId="77777777" w:rsidR="000F01AB" w:rsidRPr="009867C1" w:rsidRDefault="000F01AB" w:rsidP="00BA6F95">
            <w:pPr>
              <w:spacing w:line="240" w:lineRule="auto"/>
              <w:rPr>
                <w:rFonts w:eastAsia="Times New Roman"/>
                <w:b/>
                <w:bCs/>
                <w:color w:val="000000"/>
              </w:rPr>
            </w:pPr>
            <w:r w:rsidRPr="009867C1">
              <w:rPr>
                <w:rFonts w:eastAsia="Times New Roman"/>
                <w:b/>
                <w:bCs/>
                <w:color w:val="000000"/>
              </w:rPr>
              <w:t>Mg</w:t>
            </w:r>
          </w:p>
        </w:tc>
        <w:tc>
          <w:tcPr>
            <w:tcW w:w="335" w:type="pct"/>
            <w:shd w:val="clear" w:color="auto" w:fill="auto"/>
            <w:noWrap/>
            <w:vAlign w:val="bottom"/>
            <w:hideMark/>
          </w:tcPr>
          <w:p w14:paraId="086D055D" w14:textId="77777777" w:rsidR="000F01AB" w:rsidRPr="009867C1" w:rsidRDefault="000F01AB" w:rsidP="00BA6F95">
            <w:pPr>
              <w:spacing w:line="240" w:lineRule="auto"/>
              <w:rPr>
                <w:rFonts w:eastAsia="Times New Roman"/>
                <w:b/>
                <w:bCs/>
                <w:color w:val="000000"/>
              </w:rPr>
            </w:pPr>
            <w:r w:rsidRPr="009867C1">
              <w:rPr>
                <w:rFonts w:eastAsia="Times New Roman"/>
                <w:b/>
                <w:bCs/>
                <w:color w:val="000000"/>
              </w:rPr>
              <w:t>S</w:t>
            </w:r>
          </w:p>
        </w:tc>
        <w:tc>
          <w:tcPr>
            <w:tcW w:w="265" w:type="pct"/>
            <w:shd w:val="clear" w:color="auto" w:fill="auto"/>
            <w:noWrap/>
            <w:vAlign w:val="bottom"/>
            <w:hideMark/>
          </w:tcPr>
          <w:p w14:paraId="59736BCB" w14:textId="77777777" w:rsidR="000F01AB" w:rsidRPr="009867C1" w:rsidRDefault="000F01AB" w:rsidP="00BA6F95">
            <w:pPr>
              <w:spacing w:line="240" w:lineRule="auto"/>
              <w:rPr>
                <w:rFonts w:eastAsia="Times New Roman"/>
                <w:b/>
                <w:bCs/>
                <w:color w:val="000000"/>
              </w:rPr>
            </w:pPr>
            <w:r w:rsidRPr="009867C1">
              <w:rPr>
                <w:rFonts w:eastAsia="Times New Roman"/>
                <w:b/>
                <w:bCs/>
                <w:color w:val="000000"/>
              </w:rPr>
              <w:t>Ca</w:t>
            </w:r>
          </w:p>
        </w:tc>
        <w:tc>
          <w:tcPr>
            <w:tcW w:w="335" w:type="pct"/>
            <w:shd w:val="clear" w:color="auto" w:fill="auto"/>
            <w:noWrap/>
            <w:vAlign w:val="bottom"/>
            <w:hideMark/>
          </w:tcPr>
          <w:p w14:paraId="3BFB2EA0" w14:textId="77777777" w:rsidR="000F01AB" w:rsidRPr="009867C1" w:rsidRDefault="000F01AB" w:rsidP="00BA6F95">
            <w:pPr>
              <w:spacing w:line="240" w:lineRule="auto"/>
              <w:rPr>
                <w:rFonts w:eastAsia="Times New Roman"/>
                <w:b/>
                <w:bCs/>
                <w:color w:val="000000"/>
              </w:rPr>
            </w:pPr>
            <w:r w:rsidRPr="009867C1">
              <w:rPr>
                <w:rFonts w:eastAsia="Times New Roman"/>
                <w:b/>
                <w:bCs/>
                <w:color w:val="000000"/>
              </w:rPr>
              <w:t>H</w:t>
            </w:r>
          </w:p>
        </w:tc>
        <w:tc>
          <w:tcPr>
            <w:tcW w:w="335" w:type="pct"/>
            <w:shd w:val="clear" w:color="auto" w:fill="auto"/>
            <w:noWrap/>
            <w:vAlign w:val="bottom"/>
            <w:hideMark/>
          </w:tcPr>
          <w:p w14:paraId="2E388ED6" w14:textId="77777777" w:rsidR="000F01AB" w:rsidRPr="009867C1" w:rsidRDefault="000F01AB" w:rsidP="00BA6F95">
            <w:pPr>
              <w:spacing w:line="240" w:lineRule="auto"/>
              <w:rPr>
                <w:rFonts w:eastAsia="Times New Roman"/>
                <w:b/>
                <w:bCs/>
                <w:color w:val="000000"/>
              </w:rPr>
            </w:pPr>
            <w:r w:rsidRPr="009867C1">
              <w:rPr>
                <w:rFonts w:eastAsia="Times New Roman"/>
                <w:b/>
                <w:bCs/>
                <w:color w:val="000000"/>
              </w:rPr>
              <w:t>O</w:t>
            </w:r>
          </w:p>
        </w:tc>
        <w:tc>
          <w:tcPr>
            <w:tcW w:w="269" w:type="pct"/>
            <w:shd w:val="clear" w:color="auto" w:fill="auto"/>
            <w:noWrap/>
            <w:vAlign w:val="bottom"/>
            <w:hideMark/>
          </w:tcPr>
          <w:p w14:paraId="4ACC71FF" w14:textId="77777777" w:rsidR="000F01AB" w:rsidRPr="009867C1" w:rsidRDefault="000F01AB" w:rsidP="00BA6F95">
            <w:pPr>
              <w:spacing w:line="240" w:lineRule="auto"/>
              <w:rPr>
                <w:rFonts w:eastAsia="Times New Roman"/>
                <w:b/>
                <w:bCs/>
                <w:color w:val="000000"/>
              </w:rPr>
            </w:pPr>
            <w:r w:rsidRPr="009867C1">
              <w:rPr>
                <w:rFonts w:eastAsia="Times New Roman"/>
                <w:b/>
                <w:bCs/>
                <w:color w:val="000000"/>
              </w:rPr>
              <w:t>sum</w:t>
            </w:r>
          </w:p>
        </w:tc>
      </w:tr>
      <w:tr w:rsidR="000F01AB" w:rsidRPr="009867C1" w14:paraId="202D8FCC" w14:textId="77777777" w:rsidTr="00A81913">
        <w:trPr>
          <w:trHeight w:val="360"/>
        </w:trPr>
        <w:tc>
          <w:tcPr>
            <w:tcW w:w="627" w:type="pct"/>
            <w:shd w:val="clear" w:color="auto" w:fill="auto"/>
            <w:noWrap/>
            <w:vAlign w:val="bottom"/>
            <w:hideMark/>
          </w:tcPr>
          <w:p w14:paraId="0A06429C" w14:textId="77777777" w:rsidR="000F01AB" w:rsidRPr="009867C1" w:rsidRDefault="000F01AB" w:rsidP="00BA6F95">
            <w:pPr>
              <w:spacing w:line="240" w:lineRule="auto"/>
              <w:rPr>
                <w:rFonts w:eastAsia="Times New Roman"/>
                <w:color w:val="000000"/>
              </w:rPr>
            </w:pPr>
            <w:r w:rsidRPr="009867C1">
              <w:rPr>
                <w:rFonts w:eastAsia="Times New Roman"/>
                <w:color w:val="000000"/>
              </w:rPr>
              <w:t>1. Meet nitrogen target</w:t>
            </w:r>
          </w:p>
        </w:tc>
        <w:tc>
          <w:tcPr>
            <w:tcW w:w="453" w:type="pct"/>
            <w:shd w:val="clear" w:color="auto" w:fill="auto"/>
            <w:noWrap/>
            <w:vAlign w:val="bottom"/>
            <w:hideMark/>
          </w:tcPr>
          <w:p w14:paraId="2D360156"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176.92</w:t>
            </w:r>
          </w:p>
        </w:tc>
        <w:tc>
          <w:tcPr>
            <w:tcW w:w="709" w:type="pct"/>
            <w:shd w:val="clear" w:color="auto" w:fill="auto"/>
            <w:noWrap/>
            <w:vAlign w:val="bottom"/>
            <w:hideMark/>
          </w:tcPr>
          <w:p w14:paraId="0BDE0F98" w14:textId="77777777" w:rsidR="000F01AB" w:rsidRPr="009867C1" w:rsidRDefault="000F01AB" w:rsidP="00BA6F95">
            <w:pPr>
              <w:spacing w:line="240" w:lineRule="auto"/>
              <w:rPr>
                <w:rFonts w:eastAsia="Times New Roman"/>
                <w:color w:val="000000"/>
              </w:rPr>
            </w:pPr>
            <w:r w:rsidRPr="009867C1">
              <w:rPr>
                <w:rFonts w:eastAsia="Times New Roman"/>
                <w:color w:val="000000"/>
              </w:rPr>
              <w:t>(NH4)</w:t>
            </w:r>
            <w:r w:rsidRPr="009867C1">
              <w:rPr>
                <w:rFonts w:eastAsia="Times New Roman"/>
                <w:color w:val="000000"/>
                <w:vertAlign w:val="subscript"/>
              </w:rPr>
              <w:t>2</w:t>
            </w:r>
            <w:r w:rsidRPr="009867C1">
              <w:rPr>
                <w:rFonts w:eastAsia="Times New Roman"/>
                <w:color w:val="000000"/>
              </w:rPr>
              <w:t>SO</w:t>
            </w:r>
            <w:r w:rsidRPr="009867C1">
              <w:rPr>
                <w:rFonts w:eastAsia="Times New Roman"/>
                <w:color w:val="000000"/>
                <w:vertAlign w:val="subscript"/>
              </w:rPr>
              <w:t>4</w:t>
            </w:r>
          </w:p>
        </w:tc>
        <w:tc>
          <w:tcPr>
            <w:tcW w:w="418" w:type="pct"/>
            <w:shd w:val="clear" w:color="auto" w:fill="auto"/>
            <w:noWrap/>
            <w:vAlign w:val="bottom"/>
            <w:hideMark/>
          </w:tcPr>
          <w:p w14:paraId="6108FB68"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37.5</w:t>
            </w:r>
          </w:p>
        </w:tc>
        <w:tc>
          <w:tcPr>
            <w:tcW w:w="418" w:type="pct"/>
            <w:shd w:val="clear" w:color="auto" w:fill="auto"/>
            <w:noWrap/>
            <w:vAlign w:val="bottom"/>
            <w:hideMark/>
          </w:tcPr>
          <w:p w14:paraId="30A19FAC"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0</w:t>
            </w:r>
          </w:p>
        </w:tc>
        <w:tc>
          <w:tcPr>
            <w:tcW w:w="418" w:type="pct"/>
            <w:shd w:val="clear" w:color="auto" w:fill="auto"/>
            <w:noWrap/>
            <w:vAlign w:val="bottom"/>
            <w:hideMark/>
          </w:tcPr>
          <w:p w14:paraId="437749A0"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0</w:t>
            </w:r>
          </w:p>
        </w:tc>
        <w:tc>
          <w:tcPr>
            <w:tcW w:w="418" w:type="pct"/>
            <w:shd w:val="clear" w:color="auto" w:fill="auto"/>
            <w:noWrap/>
            <w:vAlign w:val="bottom"/>
            <w:hideMark/>
          </w:tcPr>
          <w:p w14:paraId="5250452F"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0</w:t>
            </w:r>
          </w:p>
        </w:tc>
        <w:tc>
          <w:tcPr>
            <w:tcW w:w="335" w:type="pct"/>
            <w:shd w:val="clear" w:color="auto" w:fill="auto"/>
            <w:noWrap/>
            <w:vAlign w:val="bottom"/>
            <w:hideMark/>
          </w:tcPr>
          <w:p w14:paraId="6C7AEF8B"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42.84</w:t>
            </w:r>
          </w:p>
        </w:tc>
        <w:tc>
          <w:tcPr>
            <w:tcW w:w="265" w:type="pct"/>
            <w:shd w:val="clear" w:color="auto" w:fill="auto"/>
            <w:noWrap/>
            <w:vAlign w:val="bottom"/>
            <w:hideMark/>
          </w:tcPr>
          <w:p w14:paraId="43448EAC"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0</w:t>
            </w:r>
          </w:p>
        </w:tc>
        <w:tc>
          <w:tcPr>
            <w:tcW w:w="335" w:type="pct"/>
            <w:shd w:val="clear" w:color="auto" w:fill="auto"/>
            <w:noWrap/>
            <w:vAlign w:val="bottom"/>
            <w:hideMark/>
          </w:tcPr>
          <w:p w14:paraId="38223AF8"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10.</w:t>
            </w:r>
          </w:p>
        </w:tc>
        <w:tc>
          <w:tcPr>
            <w:tcW w:w="335" w:type="pct"/>
            <w:shd w:val="clear" w:color="auto" w:fill="auto"/>
            <w:noWrap/>
            <w:vAlign w:val="bottom"/>
            <w:hideMark/>
          </w:tcPr>
          <w:p w14:paraId="143D17CF"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85.68</w:t>
            </w:r>
          </w:p>
        </w:tc>
        <w:tc>
          <w:tcPr>
            <w:tcW w:w="269" w:type="pct"/>
            <w:shd w:val="clear" w:color="auto" w:fill="auto"/>
            <w:noWrap/>
            <w:vAlign w:val="bottom"/>
            <w:hideMark/>
          </w:tcPr>
          <w:p w14:paraId="06C72044"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176.74</w:t>
            </w:r>
          </w:p>
        </w:tc>
      </w:tr>
      <w:tr w:rsidR="000F01AB" w:rsidRPr="009867C1" w14:paraId="79C5FCE6" w14:textId="77777777" w:rsidTr="00A81913">
        <w:trPr>
          <w:trHeight w:val="375"/>
        </w:trPr>
        <w:tc>
          <w:tcPr>
            <w:tcW w:w="627" w:type="pct"/>
            <w:shd w:val="clear" w:color="auto" w:fill="auto"/>
            <w:noWrap/>
            <w:vAlign w:val="bottom"/>
            <w:hideMark/>
          </w:tcPr>
          <w:p w14:paraId="0EF23657" w14:textId="77777777" w:rsidR="000F01AB" w:rsidRPr="009867C1" w:rsidRDefault="000F01AB" w:rsidP="00BA6F95">
            <w:pPr>
              <w:spacing w:line="240" w:lineRule="auto"/>
              <w:rPr>
                <w:rFonts w:eastAsia="Times New Roman"/>
                <w:color w:val="000000"/>
              </w:rPr>
            </w:pPr>
            <w:r w:rsidRPr="009867C1">
              <w:rPr>
                <w:rFonts w:eastAsia="Times New Roman"/>
                <w:color w:val="000000"/>
              </w:rPr>
              <w:t>2. Add P</w:t>
            </w:r>
          </w:p>
        </w:tc>
        <w:tc>
          <w:tcPr>
            <w:tcW w:w="453" w:type="pct"/>
            <w:shd w:val="clear" w:color="auto" w:fill="auto"/>
            <w:noWrap/>
            <w:vAlign w:val="bottom"/>
            <w:hideMark/>
          </w:tcPr>
          <w:p w14:paraId="7D1B680A"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28.30</w:t>
            </w:r>
          </w:p>
        </w:tc>
        <w:tc>
          <w:tcPr>
            <w:tcW w:w="709" w:type="pct"/>
            <w:shd w:val="clear" w:color="auto" w:fill="auto"/>
            <w:noWrap/>
            <w:vAlign w:val="bottom"/>
            <w:hideMark/>
          </w:tcPr>
          <w:p w14:paraId="1F734FEE" w14:textId="77777777" w:rsidR="000F01AB" w:rsidRPr="009867C1" w:rsidRDefault="000F01AB" w:rsidP="00BA6F95">
            <w:pPr>
              <w:spacing w:line="240" w:lineRule="auto"/>
              <w:rPr>
                <w:rFonts w:eastAsia="Times New Roman"/>
                <w:color w:val="000000"/>
              </w:rPr>
            </w:pPr>
            <w:r w:rsidRPr="009867C1">
              <w:rPr>
                <w:rFonts w:eastAsia="Times New Roman"/>
                <w:color w:val="000000"/>
              </w:rPr>
              <w:t>Ca(HPO</w:t>
            </w:r>
            <w:r w:rsidRPr="009867C1">
              <w:rPr>
                <w:rFonts w:eastAsia="Times New Roman"/>
                <w:color w:val="000000"/>
                <w:vertAlign w:val="subscript"/>
              </w:rPr>
              <w:t>4</w:t>
            </w:r>
            <w:r w:rsidRPr="009867C1">
              <w:rPr>
                <w:rFonts w:eastAsia="Times New Roman"/>
                <w:color w:val="000000"/>
              </w:rPr>
              <w:t>)</w:t>
            </w:r>
            <w:r w:rsidRPr="009867C1">
              <w:rPr>
                <w:rFonts w:eastAsia="Times New Roman"/>
                <w:color w:val="000000"/>
                <w:vertAlign w:val="superscript"/>
              </w:rPr>
              <w:t>2-</w:t>
            </w:r>
          </w:p>
        </w:tc>
        <w:tc>
          <w:tcPr>
            <w:tcW w:w="418" w:type="pct"/>
            <w:shd w:val="clear" w:color="auto" w:fill="auto"/>
            <w:noWrap/>
            <w:vAlign w:val="bottom"/>
            <w:hideMark/>
          </w:tcPr>
          <w:p w14:paraId="25CE2086"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0</w:t>
            </w:r>
          </w:p>
        </w:tc>
        <w:tc>
          <w:tcPr>
            <w:tcW w:w="418" w:type="pct"/>
            <w:shd w:val="clear" w:color="auto" w:fill="auto"/>
            <w:noWrap/>
            <w:vAlign w:val="bottom"/>
            <w:hideMark/>
          </w:tcPr>
          <w:p w14:paraId="6FC27DF5"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6.45</w:t>
            </w:r>
          </w:p>
        </w:tc>
        <w:tc>
          <w:tcPr>
            <w:tcW w:w="418" w:type="pct"/>
            <w:shd w:val="clear" w:color="auto" w:fill="auto"/>
            <w:noWrap/>
            <w:vAlign w:val="bottom"/>
            <w:hideMark/>
          </w:tcPr>
          <w:p w14:paraId="13671293"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0</w:t>
            </w:r>
          </w:p>
        </w:tc>
        <w:tc>
          <w:tcPr>
            <w:tcW w:w="418" w:type="pct"/>
            <w:shd w:val="clear" w:color="auto" w:fill="auto"/>
            <w:noWrap/>
            <w:vAlign w:val="bottom"/>
            <w:hideMark/>
          </w:tcPr>
          <w:p w14:paraId="74403A89"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0</w:t>
            </w:r>
          </w:p>
        </w:tc>
        <w:tc>
          <w:tcPr>
            <w:tcW w:w="335" w:type="pct"/>
            <w:shd w:val="clear" w:color="auto" w:fill="auto"/>
            <w:noWrap/>
            <w:vAlign w:val="bottom"/>
            <w:hideMark/>
          </w:tcPr>
          <w:p w14:paraId="5F128F41"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0</w:t>
            </w:r>
          </w:p>
        </w:tc>
        <w:tc>
          <w:tcPr>
            <w:tcW w:w="265" w:type="pct"/>
            <w:shd w:val="clear" w:color="auto" w:fill="auto"/>
            <w:noWrap/>
            <w:vAlign w:val="bottom"/>
            <w:hideMark/>
          </w:tcPr>
          <w:p w14:paraId="660EA99F"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8.32</w:t>
            </w:r>
          </w:p>
        </w:tc>
        <w:tc>
          <w:tcPr>
            <w:tcW w:w="335" w:type="pct"/>
            <w:shd w:val="clear" w:color="auto" w:fill="auto"/>
            <w:noWrap/>
            <w:vAlign w:val="bottom"/>
            <w:hideMark/>
          </w:tcPr>
          <w:p w14:paraId="5B8E2003"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0.20</w:t>
            </w:r>
          </w:p>
        </w:tc>
        <w:tc>
          <w:tcPr>
            <w:tcW w:w="335" w:type="pct"/>
            <w:shd w:val="clear" w:color="auto" w:fill="auto"/>
            <w:noWrap/>
            <w:vAlign w:val="bottom"/>
            <w:hideMark/>
          </w:tcPr>
          <w:p w14:paraId="766EF877"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13.31</w:t>
            </w:r>
          </w:p>
        </w:tc>
        <w:tc>
          <w:tcPr>
            <w:tcW w:w="269" w:type="pct"/>
            <w:shd w:val="clear" w:color="auto" w:fill="auto"/>
            <w:noWrap/>
            <w:vAlign w:val="bottom"/>
            <w:hideMark/>
          </w:tcPr>
          <w:p w14:paraId="1A3EE438"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28.29</w:t>
            </w:r>
          </w:p>
        </w:tc>
      </w:tr>
      <w:tr w:rsidR="000F01AB" w:rsidRPr="009867C1" w14:paraId="63EDADDA" w14:textId="77777777" w:rsidTr="00A81913">
        <w:trPr>
          <w:trHeight w:val="360"/>
        </w:trPr>
        <w:tc>
          <w:tcPr>
            <w:tcW w:w="627" w:type="pct"/>
            <w:shd w:val="clear" w:color="auto" w:fill="auto"/>
            <w:noWrap/>
            <w:vAlign w:val="bottom"/>
            <w:hideMark/>
          </w:tcPr>
          <w:p w14:paraId="3B840B7A" w14:textId="77777777" w:rsidR="000F01AB" w:rsidRPr="009867C1" w:rsidRDefault="000F01AB" w:rsidP="00BA6F95">
            <w:pPr>
              <w:spacing w:line="240" w:lineRule="auto"/>
              <w:rPr>
                <w:rFonts w:eastAsia="Times New Roman"/>
                <w:color w:val="000000"/>
              </w:rPr>
            </w:pPr>
            <w:r w:rsidRPr="009867C1">
              <w:rPr>
                <w:rFonts w:eastAsia="Times New Roman"/>
                <w:color w:val="000000"/>
              </w:rPr>
              <w:t>3. Add K</w:t>
            </w:r>
          </w:p>
        </w:tc>
        <w:tc>
          <w:tcPr>
            <w:tcW w:w="453" w:type="pct"/>
            <w:shd w:val="clear" w:color="auto" w:fill="auto"/>
            <w:noWrap/>
            <w:vAlign w:val="bottom"/>
            <w:hideMark/>
          </w:tcPr>
          <w:p w14:paraId="53B90DFA"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4.68</w:t>
            </w:r>
          </w:p>
        </w:tc>
        <w:tc>
          <w:tcPr>
            <w:tcW w:w="709" w:type="pct"/>
            <w:shd w:val="clear" w:color="auto" w:fill="auto"/>
            <w:noWrap/>
            <w:vAlign w:val="center"/>
            <w:hideMark/>
          </w:tcPr>
          <w:p w14:paraId="7D5A14AC" w14:textId="77777777" w:rsidR="000F01AB" w:rsidRPr="009867C1" w:rsidRDefault="000F01AB" w:rsidP="00BA6F95">
            <w:pPr>
              <w:spacing w:line="240" w:lineRule="auto"/>
              <w:rPr>
                <w:rFonts w:eastAsia="Times New Roman"/>
                <w:color w:val="000000"/>
              </w:rPr>
            </w:pPr>
            <w:r w:rsidRPr="009867C1">
              <w:rPr>
                <w:rFonts w:eastAsia="Times New Roman"/>
                <w:color w:val="000000"/>
              </w:rPr>
              <w:t>K</w:t>
            </w:r>
            <w:r w:rsidRPr="009867C1">
              <w:rPr>
                <w:rFonts w:eastAsia="Times New Roman"/>
                <w:color w:val="000000"/>
                <w:vertAlign w:val="subscript"/>
              </w:rPr>
              <w:t>2</w:t>
            </w:r>
            <w:r w:rsidRPr="009867C1">
              <w:rPr>
                <w:rFonts w:eastAsia="Times New Roman"/>
                <w:color w:val="000000"/>
              </w:rPr>
              <w:t>SO</w:t>
            </w:r>
            <w:r w:rsidRPr="009867C1">
              <w:rPr>
                <w:rFonts w:eastAsia="Times New Roman"/>
                <w:color w:val="000000"/>
                <w:vertAlign w:val="subscript"/>
              </w:rPr>
              <w:t>4</w:t>
            </w:r>
          </w:p>
        </w:tc>
        <w:tc>
          <w:tcPr>
            <w:tcW w:w="418" w:type="pct"/>
            <w:shd w:val="clear" w:color="auto" w:fill="auto"/>
            <w:noWrap/>
            <w:vAlign w:val="bottom"/>
            <w:hideMark/>
          </w:tcPr>
          <w:p w14:paraId="03D7F70F"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0</w:t>
            </w:r>
          </w:p>
        </w:tc>
        <w:tc>
          <w:tcPr>
            <w:tcW w:w="418" w:type="pct"/>
            <w:shd w:val="clear" w:color="auto" w:fill="auto"/>
            <w:noWrap/>
            <w:vAlign w:val="bottom"/>
            <w:hideMark/>
          </w:tcPr>
          <w:p w14:paraId="0F2DB592"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0</w:t>
            </w:r>
          </w:p>
        </w:tc>
        <w:tc>
          <w:tcPr>
            <w:tcW w:w="418" w:type="pct"/>
            <w:shd w:val="clear" w:color="auto" w:fill="auto"/>
            <w:noWrap/>
            <w:vAlign w:val="bottom"/>
            <w:hideMark/>
          </w:tcPr>
          <w:p w14:paraId="679B6193"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2.1</w:t>
            </w:r>
          </w:p>
        </w:tc>
        <w:tc>
          <w:tcPr>
            <w:tcW w:w="418" w:type="pct"/>
            <w:shd w:val="clear" w:color="auto" w:fill="auto"/>
            <w:noWrap/>
            <w:vAlign w:val="bottom"/>
            <w:hideMark/>
          </w:tcPr>
          <w:p w14:paraId="4EFB45CE"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0</w:t>
            </w:r>
          </w:p>
        </w:tc>
        <w:tc>
          <w:tcPr>
            <w:tcW w:w="335" w:type="pct"/>
            <w:shd w:val="clear" w:color="auto" w:fill="auto"/>
            <w:noWrap/>
            <w:vAlign w:val="bottom"/>
            <w:hideMark/>
          </w:tcPr>
          <w:p w14:paraId="18B1BDEA"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0.86</w:t>
            </w:r>
          </w:p>
        </w:tc>
        <w:tc>
          <w:tcPr>
            <w:tcW w:w="265" w:type="pct"/>
            <w:shd w:val="clear" w:color="auto" w:fill="auto"/>
            <w:noWrap/>
            <w:vAlign w:val="bottom"/>
            <w:hideMark/>
          </w:tcPr>
          <w:p w14:paraId="75CF77D2"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0</w:t>
            </w:r>
          </w:p>
        </w:tc>
        <w:tc>
          <w:tcPr>
            <w:tcW w:w="335" w:type="pct"/>
            <w:shd w:val="clear" w:color="auto" w:fill="auto"/>
            <w:noWrap/>
            <w:vAlign w:val="bottom"/>
            <w:hideMark/>
          </w:tcPr>
          <w:p w14:paraId="3334ADDF"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0</w:t>
            </w:r>
          </w:p>
        </w:tc>
        <w:tc>
          <w:tcPr>
            <w:tcW w:w="335" w:type="pct"/>
            <w:shd w:val="clear" w:color="auto" w:fill="auto"/>
            <w:noWrap/>
            <w:vAlign w:val="bottom"/>
            <w:hideMark/>
          </w:tcPr>
          <w:p w14:paraId="06FF2426"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1.72</w:t>
            </w:r>
          </w:p>
        </w:tc>
        <w:tc>
          <w:tcPr>
            <w:tcW w:w="269" w:type="pct"/>
            <w:shd w:val="clear" w:color="auto" w:fill="auto"/>
            <w:noWrap/>
            <w:vAlign w:val="bottom"/>
            <w:hideMark/>
          </w:tcPr>
          <w:p w14:paraId="051A7B02"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4.68</w:t>
            </w:r>
          </w:p>
        </w:tc>
      </w:tr>
      <w:tr w:rsidR="000F01AB" w:rsidRPr="009867C1" w14:paraId="2ED2AD60" w14:textId="77777777" w:rsidTr="00A81913">
        <w:trPr>
          <w:trHeight w:val="360"/>
        </w:trPr>
        <w:tc>
          <w:tcPr>
            <w:tcW w:w="627" w:type="pct"/>
            <w:shd w:val="clear" w:color="auto" w:fill="auto"/>
            <w:noWrap/>
            <w:vAlign w:val="bottom"/>
            <w:hideMark/>
          </w:tcPr>
          <w:p w14:paraId="303371E4" w14:textId="77777777" w:rsidR="000F01AB" w:rsidRPr="009867C1" w:rsidRDefault="000F01AB" w:rsidP="00BA6F95">
            <w:pPr>
              <w:spacing w:line="240" w:lineRule="auto"/>
              <w:rPr>
                <w:rFonts w:eastAsia="Times New Roman"/>
                <w:color w:val="000000"/>
              </w:rPr>
            </w:pPr>
            <w:r w:rsidRPr="009867C1">
              <w:rPr>
                <w:rFonts w:eastAsia="Times New Roman"/>
                <w:color w:val="000000"/>
              </w:rPr>
              <w:t>4. Add Mg</w:t>
            </w:r>
          </w:p>
        </w:tc>
        <w:tc>
          <w:tcPr>
            <w:tcW w:w="453" w:type="pct"/>
            <w:shd w:val="clear" w:color="auto" w:fill="auto"/>
            <w:noWrap/>
            <w:vAlign w:val="bottom"/>
            <w:hideMark/>
          </w:tcPr>
          <w:p w14:paraId="40A50EAC"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2.22</w:t>
            </w:r>
          </w:p>
        </w:tc>
        <w:tc>
          <w:tcPr>
            <w:tcW w:w="709" w:type="pct"/>
            <w:shd w:val="clear" w:color="auto" w:fill="auto"/>
            <w:noWrap/>
            <w:vAlign w:val="center"/>
            <w:hideMark/>
          </w:tcPr>
          <w:p w14:paraId="1730A3F8" w14:textId="77777777" w:rsidR="000F01AB" w:rsidRPr="009867C1" w:rsidRDefault="000F01AB" w:rsidP="00BA6F95">
            <w:pPr>
              <w:spacing w:line="240" w:lineRule="auto"/>
              <w:rPr>
                <w:rFonts w:eastAsia="Times New Roman"/>
                <w:color w:val="000000"/>
              </w:rPr>
            </w:pPr>
            <w:r w:rsidRPr="009867C1">
              <w:rPr>
                <w:rFonts w:eastAsia="Times New Roman"/>
                <w:color w:val="000000"/>
              </w:rPr>
              <w:t>MgSO</w:t>
            </w:r>
            <w:r w:rsidRPr="009867C1">
              <w:rPr>
                <w:rFonts w:eastAsia="Times New Roman"/>
                <w:color w:val="000000"/>
                <w:vertAlign w:val="subscript"/>
              </w:rPr>
              <w:t>4</w:t>
            </w:r>
          </w:p>
        </w:tc>
        <w:tc>
          <w:tcPr>
            <w:tcW w:w="418" w:type="pct"/>
            <w:shd w:val="clear" w:color="auto" w:fill="auto"/>
            <w:noWrap/>
            <w:vAlign w:val="bottom"/>
            <w:hideMark/>
          </w:tcPr>
          <w:p w14:paraId="400F1F82"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0</w:t>
            </w:r>
          </w:p>
        </w:tc>
        <w:tc>
          <w:tcPr>
            <w:tcW w:w="418" w:type="pct"/>
            <w:shd w:val="clear" w:color="auto" w:fill="auto"/>
            <w:noWrap/>
            <w:vAlign w:val="bottom"/>
            <w:hideMark/>
          </w:tcPr>
          <w:p w14:paraId="1F38A3D5"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0</w:t>
            </w:r>
          </w:p>
        </w:tc>
        <w:tc>
          <w:tcPr>
            <w:tcW w:w="418" w:type="pct"/>
            <w:shd w:val="clear" w:color="auto" w:fill="auto"/>
            <w:noWrap/>
            <w:vAlign w:val="bottom"/>
            <w:hideMark/>
          </w:tcPr>
          <w:p w14:paraId="5AF1E18B"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0</w:t>
            </w:r>
          </w:p>
        </w:tc>
        <w:tc>
          <w:tcPr>
            <w:tcW w:w="418" w:type="pct"/>
            <w:shd w:val="clear" w:color="auto" w:fill="auto"/>
            <w:noWrap/>
            <w:vAlign w:val="bottom"/>
            <w:hideMark/>
          </w:tcPr>
          <w:p w14:paraId="0C66700F"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0.45</w:t>
            </w:r>
          </w:p>
        </w:tc>
        <w:tc>
          <w:tcPr>
            <w:tcW w:w="335" w:type="pct"/>
            <w:shd w:val="clear" w:color="auto" w:fill="auto"/>
            <w:noWrap/>
            <w:vAlign w:val="bottom"/>
            <w:hideMark/>
          </w:tcPr>
          <w:p w14:paraId="50E5ABC4"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0.59</w:t>
            </w:r>
          </w:p>
        </w:tc>
        <w:tc>
          <w:tcPr>
            <w:tcW w:w="265" w:type="pct"/>
            <w:shd w:val="clear" w:color="auto" w:fill="auto"/>
            <w:noWrap/>
            <w:vAlign w:val="bottom"/>
            <w:hideMark/>
          </w:tcPr>
          <w:p w14:paraId="15FB6083"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0</w:t>
            </w:r>
          </w:p>
        </w:tc>
        <w:tc>
          <w:tcPr>
            <w:tcW w:w="335" w:type="pct"/>
            <w:shd w:val="clear" w:color="auto" w:fill="auto"/>
            <w:noWrap/>
            <w:vAlign w:val="bottom"/>
            <w:hideMark/>
          </w:tcPr>
          <w:p w14:paraId="67B2410D"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0</w:t>
            </w:r>
          </w:p>
        </w:tc>
        <w:tc>
          <w:tcPr>
            <w:tcW w:w="335" w:type="pct"/>
            <w:shd w:val="clear" w:color="auto" w:fill="auto"/>
            <w:noWrap/>
            <w:vAlign w:val="bottom"/>
            <w:hideMark/>
          </w:tcPr>
          <w:p w14:paraId="3C768A28"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1.18</w:t>
            </w:r>
          </w:p>
        </w:tc>
        <w:tc>
          <w:tcPr>
            <w:tcW w:w="269" w:type="pct"/>
            <w:shd w:val="clear" w:color="auto" w:fill="auto"/>
            <w:noWrap/>
            <w:vAlign w:val="bottom"/>
            <w:hideMark/>
          </w:tcPr>
          <w:p w14:paraId="2A9EF2BB"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2.22</w:t>
            </w:r>
          </w:p>
        </w:tc>
      </w:tr>
      <w:tr w:rsidR="000F01AB" w:rsidRPr="009867C1" w14:paraId="7C997F91" w14:textId="77777777" w:rsidTr="00A81913">
        <w:trPr>
          <w:trHeight w:val="300"/>
        </w:trPr>
        <w:tc>
          <w:tcPr>
            <w:tcW w:w="627" w:type="pct"/>
            <w:shd w:val="clear" w:color="auto" w:fill="auto"/>
            <w:noWrap/>
            <w:vAlign w:val="bottom"/>
            <w:hideMark/>
          </w:tcPr>
          <w:p w14:paraId="6352139D" w14:textId="77777777" w:rsidR="000F01AB" w:rsidRPr="009867C1" w:rsidRDefault="000F01AB" w:rsidP="00BA6F95">
            <w:pPr>
              <w:spacing w:line="240" w:lineRule="auto"/>
              <w:rPr>
                <w:rFonts w:eastAsia="Times New Roman"/>
                <w:color w:val="000000"/>
              </w:rPr>
            </w:pPr>
            <w:r w:rsidRPr="009867C1">
              <w:rPr>
                <w:rFonts w:eastAsia="Times New Roman"/>
                <w:color w:val="000000"/>
              </w:rPr>
              <w:t> </w:t>
            </w:r>
          </w:p>
        </w:tc>
        <w:tc>
          <w:tcPr>
            <w:tcW w:w="453" w:type="pct"/>
            <w:shd w:val="clear" w:color="auto" w:fill="auto"/>
            <w:noWrap/>
            <w:vAlign w:val="bottom"/>
            <w:hideMark/>
          </w:tcPr>
          <w:p w14:paraId="5EC762C6" w14:textId="77777777" w:rsidR="000F01AB" w:rsidRPr="009867C1" w:rsidRDefault="000F01AB" w:rsidP="00BA6F95">
            <w:pPr>
              <w:spacing w:line="240" w:lineRule="auto"/>
              <w:rPr>
                <w:rFonts w:eastAsia="Times New Roman"/>
                <w:color w:val="000000"/>
              </w:rPr>
            </w:pPr>
          </w:p>
        </w:tc>
        <w:tc>
          <w:tcPr>
            <w:tcW w:w="709" w:type="pct"/>
            <w:shd w:val="clear" w:color="auto" w:fill="auto"/>
            <w:noWrap/>
            <w:vAlign w:val="bottom"/>
            <w:hideMark/>
          </w:tcPr>
          <w:p w14:paraId="22251F9F" w14:textId="77777777" w:rsidR="000F01AB" w:rsidRPr="009867C1" w:rsidRDefault="000F01AB" w:rsidP="00BA6F95">
            <w:pPr>
              <w:spacing w:line="240" w:lineRule="auto"/>
              <w:rPr>
                <w:rFonts w:eastAsia="Times New Roman"/>
                <w:color w:val="000000"/>
              </w:rPr>
            </w:pPr>
          </w:p>
        </w:tc>
        <w:tc>
          <w:tcPr>
            <w:tcW w:w="418" w:type="pct"/>
            <w:shd w:val="clear" w:color="auto" w:fill="auto"/>
            <w:noWrap/>
            <w:vAlign w:val="bottom"/>
            <w:hideMark/>
          </w:tcPr>
          <w:p w14:paraId="053ADA80" w14:textId="77777777" w:rsidR="000F01AB" w:rsidRPr="009867C1" w:rsidRDefault="000F01AB" w:rsidP="00BA6F95">
            <w:pPr>
              <w:spacing w:line="240" w:lineRule="auto"/>
              <w:rPr>
                <w:rFonts w:eastAsia="Times New Roman"/>
                <w:color w:val="000000"/>
              </w:rPr>
            </w:pPr>
          </w:p>
        </w:tc>
        <w:tc>
          <w:tcPr>
            <w:tcW w:w="418" w:type="pct"/>
            <w:shd w:val="clear" w:color="auto" w:fill="auto"/>
            <w:noWrap/>
            <w:vAlign w:val="bottom"/>
            <w:hideMark/>
          </w:tcPr>
          <w:p w14:paraId="3DDD1BC5" w14:textId="77777777" w:rsidR="000F01AB" w:rsidRPr="009867C1" w:rsidRDefault="000F01AB" w:rsidP="00BA6F95">
            <w:pPr>
              <w:spacing w:line="240" w:lineRule="auto"/>
              <w:rPr>
                <w:rFonts w:eastAsia="Times New Roman"/>
                <w:color w:val="000000"/>
              </w:rPr>
            </w:pPr>
          </w:p>
        </w:tc>
        <w:tc>
          <w:tcPr>
            <w:tcW w:w="418" w:type="pct"/>
            <w:shd w:val="clear" w:color="auto" w:fill="auto"/>
            <w:noWrap/>
            <w:vAlign w:val="bottom"/>
            <w:hideMark/>
          </w:tcPr>
          <w:p w14:paraId="667F220A" w14:textId="77777777" w:rsidR="000F01AB" w:rsidRPr="009867C1" w:rsidRDefault="000F01AB" w:rsidP="00BA6F95">
            <w:pPr>
              <w:spacing w:line="240" w:lineRule="auto"/>
              <w:rPr>
                <w:rFonts w:eastAsia="Times New Roman"/>
                <w:color w:val="000000"/>
              </w:rPr>
            </w:pPr>
          </w:p>
        </w:tc>
        <w:tc>
          <w:tcPr>
            <w:tcW w:w="418" w:type="pct"/>
            <w:shd w:val="clear" w:color="auto" w:fill="auto"/>
            <w:noWrap/>
            <w:vAlign w:val="bottom"/>
            <w:hideMark/>
          </w:tcPr>
          <w:p w14:paraId="3649D2CB" w14:textId="77777777" w:rsidR="000F01AB" w:rsidRPr="009867C1" w:rsidRDefault="000F01AB" w:rsidP="00BA6F95">
            <w:pPr>
              <w:spacing w:line="240" w:lineRule="auto"/>
              <w:rPr>
                <w:rFonts w:eastAsia="Times New Roman"/>
                <w:color w:val="000000"/>
              </w:rPr>
            </w:pPr>
          </w:p>
        </w:tc>
        <w:tc>
          <w:tcPr>
            <w:tcW w:w="335" w:type="pct"/>
            <w:shd w:val="clear" w:color="auto" w:fill="auto"/>
            <w:noWrap/>
            <w:vAlign w:val="bottom"/>
            <w:hideMark/>
          </w:tcPr>
          <w:p w14:paraId="49288492" w14:textId="77777777" w:rsidR="000F01AB" w:rsidRPr="009867C1" w:rsidRDefault="000F01AB" w:rsidP="00BA6F95">
            <w:pPr>
              <w:spacing w:line="240" w:lineRule="auto"/>
              <w:rPr>
                <w:rFonts w:eastAsia="Times New Roman"/>
                <w:color w:val="000000"/>
              </w:rPr>
            </w:pPr>
          </w:p>
        </w:tc>
        <w:tc>
          <w:tcPr>
            <w:tcW w:w="265" w:type="pct"/>
            <w:shd w:val="clear" w:color="auto" w:fill="auto"/>
            <w:noWrap/>
            <w:vAlign w:val="bottom"/>
            <w:hideMark/>
          </w:tcPr>
          <w:p w14:paraId="3272B22D" w14:textId="77777777" w:rsidR="000F01AB" w:rsidRPr="009867C1" w:rsidRDefault="000F01AB" w:rsidP="00BA6F95">
            <w:pPr>
              <w:spacing w:line="240" w:lineRule="auto"/>
              <w:rPr>
                <w:rFonts w:eastAsia="Times New Roman"/>
                <w:color w:val="000000"/>
              </w:rPr>
            </w:pPr>
          </w:p>
        </w:tc>
        <w:tc>
          <w:tcPr>
            <w:tcW w:w="335" w:type="pct"/>
            <w:shd w:val="clear" w:color="auto" w:fill="auto"/>
            <w:noWrap/>
            <w:vAlign w:val="bottom"/>
            <w:hideMark/>
          </w:tcPr>
          <w:p w14:paraId="752A39B8" w14:textId="77777777" w:rsidR="000F01AB" w:rsidRPr="009867C1" w:rsidRDefault="000F01AB" w:rsidP="00BA6F95">
            <w:pPr>
              <w:spacing w:line="240" w:lineRule="auto"/>
              <w:rPr>
                <w:rFonts w:eastAsia="Times New Roman"/>
                <w:color w:val="000000"/>
              </w:rPr>
            </w:pPr>
          </w:p>
        </w:tc>
        <w:tc>
          <w:tcPr>
            <w:tcW w:w="335" w:type="pct"/>
            <w:shd w:val="clear" w:color="auto" w:fill="auto"/>
            <w:noWrap/>
            <w:vAlign w:val="bottom"/>
            <w:hideMark/>
          </w:tcPr>
          <w:p w14:paraId="6FF52BB8" w14:textId="77777777" w:rsidR="000F01AB" w:rsidRPr="009867C1" w:rsidRDefault="000F01AB" w:rsidP="00BA6F95">
            <w:pPr>
              <w:spacing w:line="240" w:lineRule="auto"/>
              <w:rPr>
                <w:rFonts w:eastAsia="Times New Roman"/>
                <w:color w:val="000000"/>
              </w:rPr>
            </w:pPr>
          </w:p>
        </w:tc>
        <w:tc>
          <w:tcPr>
            <w:tcW w:w="269" w:type="pct"/>
            <w:shd w:val="clear" w:color="auto" w:fill="auto"/>
            <w:noWrap/>
            <w:vAlign w:val="bottom"/>
            <w:hideMark/>
          </w:tcPr>
          <w:p w14:paraId="2B9B36FE" w14:textId="77777777" w:rsidR="000F01AB" w:rsidRPr="009867C1" w:rsidRDefault="000F01AB" w:rsidP="00BA6F95">
            <w:pPr>
              <w:spacing w:line="240" w:lineRule="auto"/>
              <w:rPr>
                <w:rFonts w:eastAsia="Times New Roman"/>
                <w:color w:val="000000"/>
              </w:rPr>
            </w:pPr>
          </w:p>
        </w:tc>
      </w:tr>
      <w:tr w:rsidR="000F01AB" w:rsidRPr="009867C1" w14:paraId="119003C3" w14:textId="77777777" w:rsidTr="00A81913">
        <w:trPr>
          <w:trHeight w:val="300"/>
        </w:trPr>
        <w:tc>
          <w:tcPr>
            <w:tcW w:w="627" w:type="pct"/>
            <w:shd w:val="clear" w:color="auto" w:fill="auto"/>
            <w:noWrap/>
            <w:vAlign w:val="bottom"/>
            <w:hideMark/>
          </w:tcPr>
          <w:p w14:paraId="27BFE0F4" w14:textId="77777777" w:rsidR="000F01AB" w:rsidRPr="009867C1" w:rsidRDefault="000F01AB" w:rsidP="00BA6F95">
            <w:pPr>
              <w:spacing w:line="240" w:lineRule="auto"/>
              <w:rPr>
                <w:rFonts w:eastAsia="Times New Roman"/>
                <w:color w:val="000000"/>
              </w:rPr>
            </w:pPr>
            <w:r w:rsidRPr="009867C1">
              <w:rPr>
                <w:rFonts w:eastAsia="Times New Roman"/>
                <w:color w:val="000000"/>
              </w:rPr>
              <w:t> </w:t>
            </w:r>
          </w:p>
        </w:tc>
        <w:tc>
          <w:tcPr>
            <w:tcW w:w="453" w:type="pct"/>
            <w:shd w:val="clear" w:color="auto" w:fill="auto"/>
            <w:noWrap/>
            <w:vAlign w:val="bottom"/>
            <w:hideMark/>
          </w:tcPr>
          <w:p w14:paraId="0725AD1D" w14:textId="77777777" w:rsidR="000F01AB" w:rsidRPr="009867C1" w:rsidRDefault="000F01AB" w:rsidP="00BA6F95">
            <w:pPr>
              <w:spacing w:line="240" w:lineRule="auto"/>
              <w:rPr>
                <w:rFonts w:eastAsia="Times New Roman"/>
                <w:color w:val="000000"/>
              </w:rPr>
            </w:pPr>
          </w:p>
        </w:tc>
        <w:tc>
          <w:tcPr>
            <w:tcW w:w="709" w:type="pct"/>
            <w:shd w:val="clear" w:color="auto" w:fill="auto"/>
            <w:noWrap/>
            <w:vAlign w:val="bottom"/>
            <w:hideMark/>
          </w:tcPr>
          <w:p w14:paraId="4B6ED50D" w14:textId="77777777" w:rsidR="000F01AB" w:rsidRPr="009867C1" w:rsidRDefault="000F01AB" w:rsidP="00BA6F95">
            <w:pPr>
              <w:spacing w:line="240" w:lineRule="auto"/>
              <w:rPr>
                <w:rFonts w:eastAsia="Times New Roman"/>
                <w:b/>
                <w:bCs/>
                <w:color w:val="000000"/>
              </w:rPr>
            </w:pPr>
            <w:r w:rsidRPr="009867C1">
              <w:rPr>
                <w:rFonts w:eastAsia="Times New Roman"/>
                <w:b/>
                <w:bCs/>
                <w:color w:val="000000"/>
              </w:rPr>
              <w:t>Total</w:t>
            </w:r>
          </w:p>
        </w:tc>
        <w:tc>
          <w:tcPr>
            <w:tcW w:w="418" w:type="pct"/>
            <w:shd w:val="clear" w:color="auto" w:fill="auto"/>
            <w:noWrap/>
            <w:vAlign w:val="bottom"/>
            <w:hideMark/>
          </w:tcPr>
          <w:p w14:paraId="75F0314E"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37.5</w:t>
            </w:r>
          </w:p>
        </w:tc>
        <w:tc>
          <w:tcPr>
            <w:tcW w:w="418" w:type="pct"/>
            <w:shd w:val="clear" w:color="auto" w:fill="auto"/>
            <w:noWrap/>
            <w:vAlign w:val="bottom"/>
            <w:hideMark/>
          </w:tcPr>
          <w:p w14:paraId="1AA07885"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6.45</w:t>
            </w:r>
          </w:p>
        </w:tc>
        <w:tc>
          <w:tcPr>
            <w:tcW w:w="418" w:type="pct"/>
            <w:shd w:val="clear" w:color="auto" w:fill="auto"/>
            <w:noWrap/>
            <w:vAlign w:val="bottom"/>
            <w:hideMark/>
          </w:tcPr>
          <w:p w14:paraId="193C5179"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2.1</w:t>
            </w:r>
          </w:p>
        </w:tc>
        <w:tc>
          <w:tcPr>
            <w:tcW w:w="418" w:type="pct"/>
            <w:shd w:val="clear" w:color="auto" w:fill="auto"/>
            <w:noWrap/>
            <w:vAlign w:val="bottom"/>
            <w:hideMark/>
          </w:tcPr>
          <w:p w14:paraId="3A0E498D"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0.45</w:t>
            </w:r>
          </w:p>
        </w:tc>
        <w:tc>
          <w:tcPr>
            <w:tcW w:w="335" w:type="pct"/>
            <w:shd w:val="clear" w:color="auto" w:fill="auto"/>
            <w:noWrap/>
            <w:vAlign w:val="bottom"/>
            <w:hideMark/>
          </w:tcPr>
          <w:p w14:paraId="512881B6"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44.29</w:t>
            </w:r>
          </w:p>
        </w:tc>
        <w:tc>
          <w:tcPr>
            <w:tcW w:w="265" w:type="pct"/>
            <w:shd w:val="clear" w:color="auto" w:fill="auto"/>
            <w:noWrap/>
            <w:vAlign w:val="bottom"/>
            <w:hideMark/>
          </w:tcPr>
          <w:p w14:paraId="1A04F4A4"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8.32</w:t>
            </w:r>
          </w:p>
        </w:tc>
        <w:tc>
          <w:tcPr>
            <w:tcW w:w="335" w:type="pct"/>
            <w:shd w:val="clear" w:color="auto" w:fill="auto"/>
            <w:noWrap/>
            <w:vAlign w:val="bottom"/>
            <w:hideMark/>
          </w:tcPr>
          <w:p w14:paraId="4B2A0308"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10.91</w:t>
            </w:r>
          </w:p>
        </w:tc>
        <w:tc>
          <w:tcPr>
            <w:tcW w:w="335" w:type="pct"/>
            <w:shd w:val="clear" w:color="auto" w:fill="auto"/>
            <w:noWrap/>
            <w:vAlign w:val="bottom"/>
            <w:hideMark/>
          </w:tcPr>
          <w:p w14:paraId="25C32060"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101.9</w:t>
            </w:r>
          </w:p>
        </w:tc>
        <w:tc>
          <w:tcPr>
            <w:tcW w:w="269" w:type="pct"/>
            <w:shd w:val="clear" w:color="auto" w:fill="auto"/>
            <w:noWrap/>
            <w:vAlign w:val="bottom"/>
            <w:hideMark/>
          </w:tcPr>
          <w:p w14:paraId="49BDCDE1"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211.9</w:t>
            </w:r>
          </w:p>
        </w:tc>
      </w:tr>
      <w:tr w:rsidR="000F01AB" w:rsidRPr="009867C1" w14:paraId="442653F1" w14:textId="77777777" w:rsidTr="00A81913">
        <w:trPr>
          <w:trHeight w:val="300"/>
        </w:trPr>
        <w:tc>
          <w:tcPr>
            <w:tcW w:w="627" w:type="pct"/>
            <w:shd w:val="clear" w:color="auto" w:fill="auto"/>
            <w:noWrap/>
            <w:vAlign w:val="bottom"/>
            <w:hideMark/>
          </w:tcPr>
          <w:p w14:paraId="5CED0D34" w14:textId="77777777" w:rsidR="000F01AB" w:rsidRPr="009867C1" w:rsidRDefault="000F01AB" w:rsidP="00BA6F95">
            <w:pPr>
              <w:spacing w:line="240" w:lineRule="auto"/>
              <w:rPr>
                <w:rFonts w:eastAsia="Times New Roman"/>
                <w:color w:val="000000"/>
              </w:rPr>
            </w:pPr>
            <w:r w:rsidRPr="009867C1">
              <w:rPr>
                <w:rFonts w:eastAsia="Times New Roman"/>
                <w:color w:val="000000"/>
              </w:rPr>
              <w:t> </w:t>
            </w:r>
          </w:p>
        </w:tc>
        <w:tc>
          <w:tcPr>
            <w:tcW w:w="453" w:type="pct"/>
            <w:shd w:val="clear" w:color="auto" w:fill="auto"/>
            <w:noWrap/>
            <w:vAlign w:val="bottom"/>
            <w:hideMark/>
          </w:tcPr>
          <w:p w14:paraId="0D207B08" w14:textId="77777777" w:rsidR="000F01AB" w:rsidRPr="009867C1" w:rsidRDefault="000F01AB" w:rsidP="00BA6F95">
            <w:pPr>
              <w:spacing w:line="240" w:lineRule="auto"/>
              <w:rPr>
                <w:rFonts w:eastAsia="Times New Roman"/>
                <w:color w:val="000000"/>
              </w:rPr>
            </w:pPr>
          </w:p>
        </w:tc>
        <w:tc>
          <w:tcPr>
            <w:tcW w:w="709" w:type="pct"/>
            <w:shd w:val="clear" w:color="auto" w:fill="auto"/>
            <w:noWrap/>
            <w:vAlign w:val="bottom"/>
            <w:hideMark/>
          </w:tcPr>
          <w:p w14:paraId="321C8E0A" w14:textId="77777777" w:rsidR="000F01AB" w:rsidRPr="009867C1" w:rsidRDefault="000F01AB" w:rsidP="00BA6F95">
            <w:pPr>
              <w:spacing w:line="240" w:lineRule="auto"/>
              <w:rPr>
                <w:rFonts w:eastAsia="Times New Roman"/>
                <w:color w:val="000000"/>
              </w:rPr>
            </w:pPr>
            <w:r w:rsidRPr="009867C1">
              <w:rPr>
                <w:rFonts w:eastAsia="Times New Roman"/>
                <w:color w:val="000000"/>
              </w:rPr>
              <w:t>Proportion of desired</w:t>
            </w:r>
          </w:p>
        </w:tc>
        <w:tc>
          <w:tcPr>
            <w:tcW w:w="418" w:type="pct"/>
            <w:shd w:val="clear" w:color="auto" w:fill="auto"/>
            <w:noWrap/>
            <w:vAlign w:val="bottom"/>
            <w:hideMark/>
          </w:tcPr>
          <w:p w14:paraId="0C81EEF3"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1</w:t>
            </w:r>
          </w:p>
        </w:tc>
        <w:tc>
          <w:tcPr>
            <w:tcW w:w="418" w:type="pct"/>
            <w:shd w:val="clear" w:color="auto" w:fill="auto"/>
            <w:noWrap/>
            <w:vAlign w:val="bottom"/>
            <w:hideMark/>
          </w:tcPr>
          <w:p w14:paraId="6FB8A788"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1</w:t>
            </w:r>
          </w:p>
        </w:tc>
        <w:tc>
          <w:tcPr>
            <w:tcW w:w="418" w:type="pct"/>
            <w:shd w:val="clear" w:color="auto" w:fill="auto"/>
            <w:noWrap/>
            <w:vAlign w:val="bottom"/>
            <w:hideMark/>
          </w:tcPr>
          <w:p w14:paraId="1A0002A5"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1</w:t>
            </w:r>
          </w:p>
        </w:tc>
        <w:tc>
          <w:tcPr>
            <w:tcW w:w="418" w:type="pct"/>
            <w:shd w:val="clear" w:color="auto" w:fill="auto"/>
            <w:noWrap/>
            <w:vAlign w:val="bottom"/>
            <w:hideMark/>
          </w:tcPr>
          <w:p w14:paraId="0D723FB3"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1</w:t>
            </w:r>
          </w:p>
        </w:tc>
        <w:tc>
          <w:tcPr>
            <w:tcW w:w="335" w:type="pct"/>
            <w:shd w:val="clear" w:color="auto" w:fill="auto"/>
            <w:noWrap/>
            <w:vAlign w:val="bottom"/>
            <w:hideMark/>
          </w:tcPr>
          <w:p w14:paraId="73025BA3"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29.53</w:t>
            </w:r>
          </w:p>
        </w:tc>
        <w:tc>
          <w:tcPr>
            <w:tcW w:w="265" w:type="pct"/>
            <w:shd w:val="clear" w:color="auto" w:fill="auto"/>
            <w:noWrap/>
            <w:vAlign w:val="bottom"/>
            <w:hideMark/>
          </w:tcPr>
          <w:p w14:paraId="3C828376"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11.0</w:t>
            </w:r>
          </w:p>
        </w:tc>
        <w:tc>
          <w:tcPr>
            <w:tcW w:w="335" w:type="pct"/>
            <w:shd w:val="clear" w:color="auto" w:fill="auto"/>
            <w:noWrap/>
            <w:vAlign w:val="bottom"/>
            <w:hideMark/>
          </w:tcPr>
          <w:p w14:paraId="75FA1A75" w14:textId="77777777" w:rsidR="000F01AB" w:rsidRPr="009867C1" w:rsidRDefault="000F01AB" w:rsidP="00BA6F95">
            <w:pPr>
              <w:spacing w:line="240" w:lineRule="auto"/>
              <w:rPr>
                <w:rFonts w:eastAsia="Times New Roman"/>
                <w:color w:val="000000"/>
              </w:rPr>
            </w:pPr>
          </w:p>
        </w:tc>
        <w:tc>
          <w:tcPr>
            <w:tcW w:w="335" w:type="pct"/>
            <w:shd w:val="clear" w:color="auto" w:fill="auto"/>
            <w:noWrap/>
            <w:vAlign w:val="bottom"/>
            <w:hideMark/>
          </w:tcPr>
          <w:p w14:paraId="16D5FD7B" w14:textId="77777777" w:rsidR="000F01AB" w:rsidRPr="009867C1" w:rsidRDefault="000F01AB" w:rsidP="00BA6F95">
            <w:pPr>
              <w:spacing w:line="240" w:lineRule="auto"/>
              <w:rPr>
                <w:rFonts w:eastAsia="Times New Roman"/>
                <w:color w:val="000000"/>
              </w:rPr>
            </w:pPr>
          </w:p>
        </w:tc>
        <w:tc>
          <w:tcPr>
            <w:tcW w:w="269" w:type="pct"/>
            <w:shd w:val="clear" w:color="auto" w:fill="auto"/>
            <w:noWrap/>
            <w:vAlign w:val="bottom"/>
            <w:hideMark/>
          </w:tcPr>
          <w:p w14:paraId="2A6A1EA4" w14:textId="77777777" w:rsidR="000F01AB" w:rsidRPr="009867C1" w:rsidRDefault="000F01AB" w:rsidP="00BA6F95">
            <w:pPr>
              <w:spacing w:line="240" w:lineRule="auto"/>
              <w:rPr>
                <w:rFonts w:eastAsia="Times New Roman"/>
                <w:color w:val="000000"/>
              </w:rPr>
            </w:pPr>
          </w:p>
        </w:tc>
      </w:tr>
      <w:tr w:rsidR="000F01AB" w:rsidRPr="009867C1" w14:paraId="6ED84458" w14:textId="77777777" w:rsidTr="00A81913">
        <w:trPr>
          <w:trHeight w:val="300"/>
        </w:trPr>
        <w:tc>
          <w:tcPr>
            <w:tcW w:w="627" w:type="pct"/>
            <w:shd w:val="clear" w:color="auto" w:fill="auto"/>
            <w:noWrap/>
            <w:vAlign w:val="bottom"/>
            <w:hideMark/>
          </w:tcPr>
          <w:p w14:paraId="0D6F20A4" w14:textId="77777777" w:rsidR="000F01AB" w:rsidRPr="009867C1" w:rsidRDefault="000F01AB" w:rsidP="00BA6F95">
            <w:pPr>
              <w:spacing w:line="240" w:lineRule="auto"/>
              <w:rPr>
                <w:rFonts w:eastAsia="Times New Roman"/>
                <w:color w:val="000000"/>
              </w:rPr>
            </w:pPr>
            <w:r w:rsidRPr="009867C1">
              <w:rPr>
                <w:rFonts w:eastAsia="Times New Roman"/>
                <w:color w:val="000000"/>
              </w:rPr>
              <w:t> </w:t>
            </w:r>
          </w:p>
        </w:tc>
        <w:tc>
          <w:tcPr>
            <w:tcW w:w="453" w:type="pct"/>
            <w:shd w:val="clear" w:color="auto" w:fill="auto"/>
            <w:noWrap/>
            <w:vAlign w:val="bottom"/>
            <w:hideMark/>
          </w:tcPr>
          <w:p w14:paraId="7B43F01E" w14:textId="77777777" w:rsidR="000F01AB" w:rsidRPr="009867C1" w:rsidRDefault="000F01AB" w:rsidP="00BA6F95">
            <w:pPr>
              <w:spacing w:line="240" w:lineRule="auto"/>
              <w:rPr>
                <w:rFonts w:eastAsia="Times New Roman"/>
                <w:color w:val="000000"/>
              </w:rPr>
            </w:pPr>
          </w:p>
        </w:tc>
        <w:tc>
          <w:tcPr>
            <w:tcW w:w="709" w:type="pct"/>
            <w:shd w:val="clear" w:color="auto" w:fill="auto"/>
            <w:noWrap/>
            <w:vAlign w:val="bottom"/>
            <w:hideMark/>
          </w:tcPr>
          <w:p w14:paraId="785FA61B" w14:textId="77777777" w:rsidR="000F01AB" w:rsidRPr="009867C1" w:rsidRDefault="000F01AB" w:rsidP="00BA6F95">
            <w:pPr>
              <w:spacing w:line="240" w:lineRule="auto"/>
              <w:rPr>
                <w:rFonts w:eastAsia="Times New Roman"/>
                <w:color w:val="000000"/>
              </w:rPr>
            </w:pPr>
            <w:r w:rsidRPr="009867C1">
              <w:rPr>
                <w:rFonts w:eastAsia="Times New Roman"/>
                <w:color w:val="000000"/>
              </w:rPr>
              <w:t>Number of mols added</w:t>
            </w:r>
          </w:p>
        </w:tc>
        <w:tc>
          <w:tcPr>
            <w:tcW w:w="418" w:type="pct"/>
            <w:shd w:val="clear" w:color="auto" w:fill="auto"/>
            <w:noWrap/>
            <w:vAlign w:val="bottom"/>
            <w:hideMark/>
          </w:tcPr>
          <w:p w14:paraId="087459B7"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2.67</w:t>
            </w:r>
          </w:p>
        </w:tc>
        <w:tc>
          <w:tcPr>
            <w:tcW w:w="418" w:type="pct"/>
            <w:shd w:val="clear" w:color="auto" w:fill="auto"/>
            <w:noWrap/>
            <w:vAlign w:val="bottom"/>
            <w:hideMark/>
          </w:tcPr>
          <w:p w14:paraId="72A2775A"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0.20</w:t>
            </w:r>
          </w:p>
        </w:tc>
        <w:tc>
          <w:tcPr>
            <w:tcW w:w="418" w:type="pct"/>
            <w:shd w:val="clear" w:color="auto" w:fill="auto"/>
            <w:noWrap/>
            <w:vAlign w:val="bottom"/>
            <w:hideMark/>
          </w:tcPr>
          <w:p w14:paraId="5DC9A889"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0.05</w:t>
            </w:r>
          </w:p>
        </w:tc>
        <w:tc>
          <w:tcPr>
            <w:tcW w:w="418" w:type="pct"/>
            <w:shd w:val="clear" w:color="auto" w:fill="auto"/>
            <w:noWrap/>
            <w:vAlign w:val="bottom"/>
            <w:hideMark/>
          </w:tcPr>
          <w:p w14:paraId="1C537EE4"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0.018</w:t>
            </w:r>
          </w:p>
        </w:tc>
        <w:tc>
          <w:tcPr>
            <w:tcW w:w="335" w:type="pct"/>
            <w:shd w:val="clear" w:color="auto" w:fill="auto"/>
            <w:noWrap/>
            <w:vAlign w:val="bottom"/>
            <w:hideMark/>
          </w:tcPr>
          <w:p w14:paraId="4A37B29D"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1.38</w:t>
            </w:r>
          </w:p>
        </w:tc>
        <w:tc>
          <w:tcPr>
            <w:tcW w:w="265" w:type="pct"/>
            <w:shd w:val="clear" w:color="auto" w:fill="auto"/>
            <w:noWrap/>
            <w:vAlign w:val="bottom"/>
            <w:hideMark/>
          </w:tcPr>
          <w:p w14:paraId="55CC1D4E"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0.20</w:t>
            </w:r>
          </w:p>
        </w:tc>
        <w:tc>
          <w:tcPr>
            <w:tcW w:w="335" w:type="pct"/>
            <w:shd w:val="clear" w:color="auto" w:fill="auto"/>
            <w:noWrap/>
            <w:vAlign w:val="bottom"/>
            <w:hideMark/>
          </w:tcPr>
          <w:p w14:paraId="128D253C"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10.91</w:t>
            </w:r>
          </w:p>
        </w:tc>
        <w:tc>
          <w:tcPr>
            <w:tcW w:w="335" w:type="pct"/>
            <w:shd w:val="clear" w:color="auto" w:fill="auto"/>
            <w:noWrap/>
            <w:vAlign w:val="bottom"/>
            <w:hideMark/>
          </w:tcPr>
          <w:p w14:paraId="4BDA37DA" w14:textId="77777777" w:rsidR="000F01AB" w:rsidRPr="009867C1" w:rsidRDefault="000F01AB" w:rsidP="00BA6F95">
            <w:pPr>
              <w:spacing w:line="240" w:lineRule="auto"/>
              <w:jc w:val="right"/>
              <w:rPr>
                <w:rFonts w:eastAsia="Times New Roman"/>
                <w:color w:val="000000"/>
              </w:rPr>
            </w:pPr>
            <w:r w:rsidRPr="009867C1">
              <w:rPr>
                <w:rFonts w:eastAsia="Times New Roman"/>
                <w:color w:val="000000"/>
              </w:rPr>
              <w:t>6.37</w:t>
            </w:r>
          </w:p>
        </w:tc>
        <w:tc>
          <w:tcPr>
            <w:tcW w:w="269" w:type="pct"/>
            <w:shd w:val="clear" w:color="auto" w:fill="auto"/>
            <w:noWrap/>
            <w:vAlign w:val="bottom"/>
            <w:hideMark/>
          </w:tcPr>
          <w:p w14:paraId="0D9D83DC" w14:textId="77777777" w:rsidR="000F01AB" w:rsidRPr="009867C1" w:rsidRDefault="000F01AB" w:rsidP="00BA6F95">
            <w:pPr>
              <w:spacing w:line="240" w:lineRule="auto"/>
              <w:rPr>
                <w:rFonts w:eastAsia="Times New Roman"/>
                <w:color w:val="000000"/>
              </w:rPr>
            </w:pPr>
          </w:p>
        </w:tc>
      </w:tr>
    </w:tbl>
    <w:p w14:paraId="0C122AE5" w14:textId="77777777" w:rsidR="000F01AB" w:rsidRPr="009867C1" w:rsidRDefault="000F01AB" w:rsidP="00F24152"/>
    <w:sectPr w:rsidR="000F01AB" w:rsidRPr="009867C1" w:rsidSect="008618DE">
      <w:pgSz w:w="12240" w:h="15840"/>
      <w:pgMar w:top="1440" w:right="1440" w:bottom="1440" w:left="1440" w:header="706" w:footer="706"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0DAABE" w14:textId="77777777" w:rsidR="00557CA9" w:rsidRDefault="00557CA9" w:rsidP="00014D18">
      <w:r>
        <w:separator/>
      </w:r>
    </w:p>
  </w:endnote>
  <w:endnote w:type="continuationSeparator" w:id="0">
    <w:p w14:paraId="5089CF8B" w14:textId="77777777" w:rsidR="00557CA9" w:rsidRDefault="00557CA9" w:rsidP="00014D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Grande">
    <w:altName w:val="Times New Roman"/>
    <w:charset w:val="00"/>
    <w:family w:val="auto"/>
    <w:pitch w:val="variable"/>
    <w:sig w:usb0="E1000AEF" w:usb1="5000A1FF" w:usb2="00000000" w:usb3="00000000" w:csb0="000001B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E0F113" w14:textId="369DE9A6" w:rsidR="00761CDC" w:rsidRDefault="00761CDC">
    <w:pPr>
      <w:pStyle w:val="Footer"/>
      <w:jc w:val="right"/>
    </w:pPr>
    <w:r>
      <w:fldChar w:fldCharType="begin"/>
    </w:r>
    <w:r>
      <w:instrText xml:space="preserve"> PAGE   \* MERGEFORMAT </w:instrText>
    </w:r>
    <w:r>
      <w:fldChar w:fldCharType="separate"/>
    </w:r>
    <w:r>
      <w:rPr>
        <w:noProof/>
      </w:rPr>
      <w:t>xxi</w:t>
    </w:r>
    <w:r>
      <w:rPr>
        <w:noProof/>
      </w:rPr>
      <w:fldChar w:fldCharType="end"/>
    </w:r>
  </w:p>
  <w:p w14:paraId="628D40CA" w14:textId="77777777" w:rsidR="00761CDC" w:rsidRDefault="00761CDC" w:rsidP="00014D1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09385833"/>
      <w:docPartObj>
        <w:docPartGallery w:val="Page Numbers (Bottom of Page)"/>
        <w:docPartUnique/>
      </w:docPartObj>
    </w:sdtPr>
    <w:sdtEndPr>
      <w:rPr>
        <w:noProof/>
      </w:rPr>
    </w:sdtEndPr>
    <w:sdtContent>
      <w:p w14:paraId="37B35517" w14:textId="69469848" w:rsidR="00D40B8F" w:rsidRDefault="00D40B8F">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4CE417E" w14:textId="77777777" w:rsidR="00D40B8F" w:rsidRDefault="00D40B8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E67E38" w14:textId="14A43DFD" w:rsidR="00761CDC" w:rsidRDefault="00761CDC">
    <w:pPr>
      <w:pStyle w:val="Footer"/>
      <w:jc w:val="right"/>
    </w:pPr>
    <w:r>
      <w:fldChar w:fldCharType="begin"/>
    </w:r>
    <w:r>
      <w:instrText xml:space="preserve"> PAGE   \* MERGEFORMAT </w:instrText>
    </w:r>
    <w:r>
      <w:fldChar w:fldCharType="separate"/>
    </w:r>
    <w:r>
      <w:rPr>
        <w:noProof/>
      </w:rPr>
      <w:t>50</w:t>
    </w:r>
    <w:r>
      <w:rPr>
        <w:noProof/>
      </w:rPr>
      <w:fldChar w:fldCharType="end"/>
    </w:r>
  </w:p>
  <w:p w14:paraId="1484F3C7" w14:textId="77777777" w:rsidR="00761CDC" w:rsidRDefault="00761CDC" w:rsidP="00014D1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369872" w14:textId="77777777" w:rsidR="00557CA9" w:rsidRDefault="00557CA9" w:rsidP="00014D18">
      <w:r>
        <w:separator/>
      </w:r>
    </w:p>
  </w:footnote>
  <w:footnote w:type="continuationSeparator" w:id="0">
    <w:p w14:paraId="75E7CCE8" w14:textId="77777777" w:rsidR="00557CA9" w:rsidRDefault="00557CA9" w:rsidP="00014D1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2FF2B8" w14:textId="77777777" w:rsidR="00761CDC" w:rsidRDefault="00761CD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49C4ECB"/>
    <w:multiLevelType w:val="hybridMultilevel"/>
    <w:tmpl w:val="2BFCA73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 w15:restartNumberingAfterBreak="0">
    <w:nsid w:val="4C4C4CF5"/>
    <w:multiLevelType w:val="multilevel"/>
    <w:tmpl w:val="E6525B4C"/>
    <w:lvl w:ilvl="0">
      <w:start w:val="1"/>
      <w:numFmt w:val="none"/>
      <w:pStyle w:val="Heading1"/>
      <w:suff w:val="nothing"/>
      <w:lvlText w:val=""/>
      <w:lvlJc w:val="left"/>
      <w:pPr>
        <w:ind w:left="0" w:firstLine="0"/>
      </w:pPr>
      <w:rPr>
        <w:rFonts w:hint="default"/>
      </w:rPr>
    </w:lvl>
    <w:lvl w:ilvl="1">
      <w:start w:val="1"/>
      <w:numFmt w:val="decimal"/>
      <w:lvlRestart w:val="0"/>
      <w:pStyle w:val="Heading2"/>
      <w:suff w:val="space"/>
      <w:lvlText w:val="Chapter %2:"/>
      <w:lvlJc w:val="left"/>
      <w:pPr>
        <w:ind w:left="0" w:firstLine="0"/>
      </w:pPr>
      <w:rPr>
        <w:rFonts w:hint="default"/>
      </w:rPr>
    </w:lvl>
    <w:lvl w:ilvl="2">
      <w:start w:val="1"/>
      <w:numFmt w:val="decimal"/>
      <w:pStyle w:val="Heading3"/>
      <w:lvlText w:val="%2.%3"/>
      <w:lvlJc w:val="left"/>
      <w:pPr>
        <w:tabs>
          <w:tab w:val="num" w:pos="576"/>
        </w:tabs>
        <w:ind w:left="0" w:firstLine="0"/>
      </w:pPr>
      <w:rPr>
        <w:rFonts w:hint="default"/>
      </w:rPr>
    </w:lvl>
    <w:lvl w:ilvl="3">
      <w:start w:val="1"/>
      <w:numFmt w:val="decimal"/>
      <w:pStyle w:val="Heading4"/>
      <w:lvlText w:val="%2.%3.%4"/>
      <w:lvlJc w:val="left"/>
      <w:pPr>
        <w:tabs>
          <w:tab w:val="num" w:pos="792"/>
        </w:tabs>
        <w:ind w:left="0" w:firstLine="0"/>
      </w:pPr>
      <w:rPr>
        <w:rFonts w:hint="default"/>
      </w:rPr>
    </w:lvl>
    <w:lvl w:ilvl="4">
      <w:start w:val="1"/>
      <w:numFmt w:val="decimal"/>
      <w:pStyle w:val="Heading5"/>
      <w:lvlText w:val="%2.%3.%4.%5"/>
      <w:lvlJc w:val="left"/>
      <w:pPr>
        <w:tabs>
          <w:tab w:val="num" w:pos="1008"/>
        </w:tabs>
        <w:ind w:left="0" w:firstLine="0"/>
      </w:pPr>
      <w:rPr>
        <w:rFonts w:hint="default"/>
      </w:rPr>
    </w:lvl>
    <w:lvl w:ilvl="5">
      <w:start w:val="1"/>
      <w:numFmt w:val="decimal"/>
      <w:pStyle w:val="Heading6"/>
      <w:lvlText w:val="%2.%3.%4.%5.%6"/>
      <w:lvlJc w:val="left"/>
      <w:pPr>
        <w:tabs>
          <w:tab w:val="num" w:pos="1224"/>
        </w:tabs>
        <w:ind w:left="0" w:firstLine="0"/>
      </w:pPr>
      <w:rPr>
        <w:rFonts w:hint="default"/>
      </w:rPr>
    </w:lvl>
    <w:lvl w:ilvl="6">
      <w:start w:val="1"/>
      <w:numFmt w:val="upperLetter"/>
      <w:lvlRestart w:val="0"/>
      <w:pStyle w:val="Heading7"/>
      <w:suff w:val="nothing"/>
      <w:lvlText w:val="Appendix %7  "/>
      <w:lvlJc w:val="left"/>
      <w:pPr>
        <w:ind w:left="5386" w:firstLine="0"/>
      </w:pPr>
      <w:rPr>
        <w:rFonts w:hint="default"/>
      </w:rPr>
    </w:lvl>
    <w:lvl w:ilvl="7">
      <w:start w:val="1"/>
      <w:numFmt w:val="decimal"/>
      <w:pStyle w:val="Heading8"/>
      <w:lvlText w:val="%7.%8"/>
      <w:lvlJc w:val="left"/>
      <w:pPr>
        <w:ind w:left="0" w:firstLine="0"/>
      </w:pPr>
      <w:rPr>
        <w:rFonts w:hint="default"/>
      </w:rPr>
    </w:lvl>
    <w:lvl w:ilvl="8">
      <w:start w:val="1"/>
      <w:numFmt w:val="none"/>
      <w:pStyle w:val="Heading9"/>
      <w:suff w:val="nothing"/>
      <w:lvlText w:val=""/>
      <w:lvlJc w:val="left"/>
      <w:pPr>
        <w:ind w:left="0" w:firstLine="0"/>
      </w:pPr>
      <w:rPr>
        <w:rFonts w:hint="default"/>
      </w:rPr>
    </w:lvl>
  </w:abstractNum>
  <w:abstractNum w:abstractNumId="2" w15:restartNumberingAfterBreak="0">
    <w:nsid w:val="59584823"/>
    <w:multiLevelType w:val="hybridMultilevel"/>
    <w:tmpl w:val="7A7087B8"/>
    <w:lvl w:ilvl="0" w:tplc="0FFC7302">
      <w:numFmt w:val="bullet"/>
      <w:lvlText w:val="-"/>
      <w:lvlJc w:val="left"/>
      <w:pPr>
        <w:ind w:left="720" w:hanging="360"/>
      </w:pPr>
      <w:rPr>
        <w:rFonts w:ascii="Calibri" w:eastAsiaTheme="minorHAnsi" w:hAnsi="Calibri" w:cstheme="minorBidi"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embedSystemFonts/>
  <w:activeWritingStyle w:appName="MSWord" w:lang="en-US" w:vendorID="64" w:dllVersion="6" w:nlCheck="1" w:checkStyle="0"/>
  <w:activeWritingStyle w:appName="MSWord" w:lang="en-CA" w:vendorID="64" w:dllVersion="6" w:nlCheck="1" w:checkStyle="0"/>
  <w:activeWritingStyle w:appName="MSWord" w:lang="en-US" w:vendorID="64" w:dllVersion="4096" w:nlCheck="1" w:checkStyle="0"/>
  <w:activeWritingStyle w:appName="MSWord" w:lang="en-CA" w:vendorID="64" w:dllVersion="4096" w:nlCheck="1" w:checkStyle="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6A5A"/>
    <w:rsid w:val="000007AC"/>
    <w:rsid w:val="00000847"/>
    <w:rsid w:val="00002537"/>
    <w:rsid w:val="00004F94"/>
    <w:rsid w:val="0000667D"/>
    <w:rsid w:val="0000792E"/>
    <w:rsid w:val="00014D18"/>
    <w:rsid w:val="00020E52"/>
    <w:rsid w:val="00030D41"/>
    <w:rsid w:val="00031070"/>
    <w:rsid w:val="0003347A"/>
    <w:rsid w:val="00033E8F"/>
    <w:rsid w:val="000359A1"/>
    <w:rsid w:val="00035F94"/>
    <w:rsid w:val="000372B9"/>
    <w:rsid w:val="000373E1"/>
    <w:rsid w:val="0003758E"/>
    <w:rsid w:val="000417C7"/>
    <w:rsid w:val="0004198C"/>
    <w:rsid w:val="0004285C"/>
    <w:rsid w:val="0004437E"/>
    <w:rsid w:val="00045D9C"/>
    <w:rsid w:val="00046E01"/>
    <w:rsid w:val="00047D5C"/>
    <w:rsid w:val="00051A62"/>
    <w:rsid w:val="000527BB"/>
    <w:rsid w:val="00054D83"/>
    <w:rsid w:val="00054FFD"/>
    <w:rsid w:val="000667DB"/>
    <w:rsid w:val="00067572"/>
    <w:rsid w:val="0007054F"/>
    <w:rsid w:val="000733B4"/>
    <w:rsid w:val="0007399C"/>
    <w:rsid w:val="000756D5"/>
    <w:rsid w:val="00075A60"/>
    <w:rsid w:val="00075E92"/>
    <w:rsid w:val="00080949"/>
    <w:rsid w:val="00080C5B"/>
    <w:rsid w:val="00082E19"/>
    <w:rsid w:val="00083AED"/>
    <w:rsid w:val="000858E4"/>
    <w:rsid w:val="00086155"/>
    <w:rsid w:val="00087A98"/>
    <w:rsid w:val="0009086B"/>
    <w:rsid w:val="00091333"/>
    <w:rsid w:val="00095221"/>
    <w:rsid w:val="00096454"/>
    <w:rsid w:val="000A0EF1"/>
    <w:rsid w:val="000A6507"/>
    <w:rsid w:val="000A7F82"/>
    <w:rsid w:val="000B0231"/>
    <w:rsid w:val="000B30A1"/>
    <w:rsid w:val="000B4213"/>
    <w:rsid w:val="000B6ADB"/>
    <w:rsid w:val="000B6CE7"/>
    <w:rsid w:val="000B752B"/>
    <w:rsid w:val="000C3F4B"/>
    <w:rsid w:val="000D1960"/>
    <w:rsid w:val="000D1B72"/>
    <w:rsid w:val="000D214C"/>
    <w:rsid w:val="000D668A"/>
    <w:rsid w:val="000D70A5"/>
    <w:rsid w:val="000D7ACA"/>
    <w:rsid w:val="000E2BFE"/>
    <w:rsid w:val="000E2D3B"/>
    <w:rsid w:val="000E4BA1"/>
    <w:rsid w:val="000E721D"/>
    <w:rsid w:val="000F01AB"/>
    <w:rsid w:val="000F05F8"/>
    <w:rsid w:val="000F186B"/>
    <w:rsid w:val="000F1954"/>
    <w:rsid w:val="000F6DCC"/>
    <w:rsid w:val="00101AFF"/>
    <w:rsid w:val="001043A7"/>
    <w:rsid w:val="00107C20"/>
    <w:rsid w:val="00110AAE"/>
    <w:rsid w:val="00112A5E"/>
    <w:rsid w:val="00117743"/>
    <w:rsid w:val="00120345"/>
    <w:rsid w:val="00120D50"/>
    <w:rsid w:val="001234E0"/>
    <w:rsid w:val="0012733B"/>
    <w:rsid w:val="00134E87"/>
    <w:rsid w:val="00136A5A"/>
    <w:rsid w:val="00141D33"/>
    <w:rsid w:val="0014203A"/>
    <w:rsid w:val="00142FA6"/>
    <w:rsid w:val="001431CA"/>
    <w:rsid w:val="00144AF4"/>
    <w:rsid w:val="00144C27"/>
    <w:rsid w:val="00144E77"/>
    <w:rsid w:val="00146720"/>
    <w:rsid w:val="001470A3"/>
    <w:rsid w:val="001471FB"/>
    <w:rsid w:val="0014788D"/>
    <w:rsid w:val="00152163"/>
    <w:rsid w:val="00153F06"/>
    <w:rsid w:val="0015513C"/>
    <w:rsid w:val="001658D4"/>
    <w:rsid w:val="00170047"/>
    <w:rsid w:val="00171B2C"/>
    <w:rsid w:val="00172E7A"/>
    <w:rsid w:val="00175099"/>
    <w:rsid w:val="00180376"/>
    <w:rsid w:val="0018517F"/>
    <w:rsid w:val="001875A7"/>
    <w:rsid w:val="00190081"/>
    <w:rsid w:val="00191FA9"/>
    <w:rsid w:val="00194016"/>
    <w:rsid w:val="00197160"/>
    <w:rsid w:val="001A15CB"/>
    <w:rsid w:val="001A21E8"/>
    <w:rsid w:val="001A27AC"/>
    <w:rsid w:val="001A51EE"/>
    <w:rsid w:val="001B1A58"/>
    <w:rsid w:val="001B20F2"/>
    <w:rsid w:val="001B47D8"/>
    <w:rsid w:val="001B4AAE"/>
    <w:rsid w:val="001C13C5"/>
    <w:rsid w:val="001C3221"/>
    <w:rsid w:val="001C4C21"/>
    <w:rsid w:val="001C567B"/>
    <w:rsid w:val="001C66C5"/>
    <w:rsid w:val="001D0451"/>
    <w:rsid w:val="001D0D03"/>
    <w:rsid w:val="001D1BB5"/>
    <w:rsid w:val="001D1EAB"/>
    <w:rsid w:val="001D24C2"/>
    <w:rsid w:val="001D318D"/>
    <w:rsid w:val="001D54D0"/>
    <w:rsid w:val="001D5E22"/>
    <w:rsid w:val="001E17CE"/>
    <w:rsid w:val="001E365B"/>
    <w:rsid w:val="001E39A8"/>
    <w:rsid w:val="001F327F"/>
    <w:rsid w:val="001F3BF0"/>
    <w:rsid w:val="001F6DA3"/>
    <w:rsid w:val="001F71AD"/>
    <w:rsid w:val="00203978"/>
    <w:rsid w:val="00204F8B"/>
    <w:rsid w:val="002052A4"/>
    <w:rsid w:val="002059AF"/>
    <w:rsid w:val="002071B1"/>
    <w:rsid w:val="0022030C"/>
    <w:rsid w:val="00222433"/>
    <w:rsid w:val="00223F7A"/>
    <w:rsid w:val="00227831"/>
    <w:rsid w:val="00230D11"/>
    <w:rsid w:val="00231261"/>
    <w:rsid w:val="00232BAF"/>
    <w:rsid w:val="002339BB"/>
    <w:rsid w:val="002348BE"/>
    <w:rsid w:val="0023594E"/>
    <w:rsid w:val="00236468"/>
    <w:rsid w:val="00247621"/>
    <w:rsid w:val="0024797B"/>
    <w:rsid w:val="002551ED"/>
    <w:rsid w:val="00256512"/>
    <w:rsid w:val="00260F6F"/>
    <w:rsid w:val="0026245C"/>
    <w:rsid w:val="00263AAC"/>
    <w:rsid w:val="00264845"/>
    <w:rsid w:val="00265054"/>
    <w:rsid w:val="0026778F"/>
    <w:rsid w:val="002702F4"/>
    <w:rsid w:val="00276430"/>
    <w:rsid w:val="00280413"/>
    <w:rsid w:val="00280DDB"/>
    <w:rsid w:val="0028453E"/>
    <w:rsid w:val="002877A4"/>
    <w:rsid w:val="00291654"/>
    <w:rsid w:val="00293370"/>
    <w:rsid w:val="00293EB0"/>
    <w:rsid w:val="002944AE"/>
    <w:rsid w:val="0029492E"/>
    <w:rsid w:val="00295972"/>
    <w:rsid w:val="00295BDD"/>
    <w:rsid w:val="0029701E"/>
    <w:rsid w:val="00297849"/>
    <w:rsid w:val="002A6000"/>
    <w:rsid w:val="002A6E8A"/>
    <w:rsid w:val="002A79EB"/>
    <w:rsid w:val="002B23E4"/>
    <w:rsid w:val="002B490D"/>
    <w:rsid w:val="002B6B76"/>
    <w:rsid w:val="002C368C"/>
    <w:rsid w:val="002C4357"/>
    <w:rsid w:val="002C4D0A"/>
    <w:rsid w:val="002D0F4A"/>
    <w:rsid w:val="002D16ED"/>
    <w:rsid w:val="002D3F8D"/>
    <w:rsid w:val="002D421D"/>
    <w:rsid w:val="002D4368"/>
    <w:rsid w:val="002D6424"/>
    <w:rsid w:val="002D7880"/>
    <w:rsid w:val="002D791D"/>
    <w:rsid w:val="002D7B3D"/>
    <w:rsid w:val="002E2D56"/>
    <w:rsid w:val="002E4D2F"/>
    <w:rsid w:val="002E5002"/>
    <w:rsid w:val="002E6F7B"/>
    <w:rsid w:val="002F0140"/>
    <w:rsid w:val="002F0F94"/>
    <w:rsid w:val="002F2156"/>
    <w:rsid w:val="002F23C7"/>
    <w:rsid w:val="002F3A34"/>
    <w:rsid w:val="002F40C9"/>
    <w:rsid w:val="002F470A"/>
    <w:rsid w:val="00300865"/>
    <w:rsid w:val="003054C9"/>
    <w:rsid w:val="00305979"/>
    <w:rsid w:val="00312BF4"/>
    <w:rsid w:val="00313606"/>
    <w:rsid w:val="00316EE6"/>
    <w:rsid w:val="00317FA3"/>
    <w:rsid w:val="00331E1C"/>
    <w:rsid w:val="00335EBA"/>
    <w:rsid w:val="00336887"/>
    <w:rsid w:val="00342973"/>
    <w:rsid w:val="003436DF"/>
    <w:rsid w:val="00344C5A"/>
    <w:rsid w:val="003456B4"/>
    <w:rsid w:val="003458B3"/>
    <w:rsid w:val="00345CAD"/>
    <w:rsid w:val="00346B03"/>
    <w:rsid w:val="00346CE3"/>
    <w:rsid w:val="00346DC5"/>
    <w:rsid w:val="00347D06"/>
    <w:rsid w:val="00352C1F"/>
    <w:rsid w:val="003561C4"/>
    <w:rsid w:val="00356218"/>
    <w:rsid w:val="00356FD7"/>
    <w:rsid w:val="00361050"/>
    <w:rsid w:val="00367D8E"/>
    <w:rsid w:val="00367F32"/>
    <w:rsid w:val="00375630"/>
    <w:rsid w:val="003756DC"/>
    <w:rsid w:val="00376D8B"/>
    <w:rsid w:val="003775A2"/>
    <w:rsid w:val="00377A33"/>
    <w:rsid w:val="00382A8A"/>
    <w:rsid w:val="003831C0"/>
    <w:rsid w:val="00384B0E"/>
    <w:rsid w:val="003860AC"/>
    <w:rsid w:val="003866ED"/>
    <w:rsid w:val="003866F5"/>
    <w:rsid w:val="003871B6"/>
    <w:rsid w:val="00390945"/>
    <w:rsid w:val="0039184C"/>
    <w:rsid w:val="00393955"/>
    <w:rsid w:val="00395FBF"/>
    <w:rsid w:val="00396A20"/>
    <w:rsid w:val="003B4B10"/>
    <w:rsid w:val="003B7026"/>
    <w:rsid w:val="003B7E43"/>
    <w:rsid w:val="003C0040"/>
    <w:rsid w:val="003C5D1B"/>
    <w:rsid w:val="003C7E60"/>
    <w:rsid w:val="003D0FB1"/>
    <w:rsid w:val="003D12C7"/>
    <w:rsid w:val="003D5DFE"/>
    <w:rsid w:val="003E0086"/>
    <w:rsid w:val="003E3831"/>
    <w:rsid w:val="003E559B"/>
    <w:rsid w:val="003E747C"/>
    <w:rsid w:val="003E78DE"/>
    <w:rsid w:val="003F0825"/>
    <w:rsid w:val="003F1C42"/>
    <w:rsid w:val="003F26A3"/>
    <w:rsid w:val="003F4B20"/>
    <w:rsid w:val="003F7634"/>
    <w:rsid w:val="003F77F5"/>
    <w:rsid w:val="004007D4"/>
    <w:rsid w:val="00400F34"/>
    <w:rsid w:val="00404DCA"/>
    <w:rsid w:val="004101B9"/>
    <w:rsid w:val="00410914"/>
    <w:rsid w:val="00412EC4"/>
    <w:rsid w:val="004149FD"/>
    <w:rsid w:val="0042141C"/>
    <w:rsid w:val="00421EA2"/>
    <w:rsid w:val="00423301"/>
    <w:rsid w:val="004270FA"/>
    <w:rsid w:val="0042731F"/>
    <w:rsid w:val="00431C12"/>
    <w:rsid w:val="00433653"/>
    <w:rsid w:val="004345FC"/>
    <w:rsid w:val="00435FC9"/>
    <w:rsid w:val="00435FF6"/>
    <w:rsid w:val="0043782C"/>
    <w:rsid w:val="0044076E"/>
    <w:rsid w:val="00442168"/>
    <w:rsid w:val="0044513F"/>
    <w:rsid w:val="00447EAE"/>
    <w:rsid w:val="004507DA"/>
    <w:rsid w:val="0045147A"/>
    <w:rsid w:val="0045499A"/>
    <w:rsid w:val="00455E78"/>
    <w:rsid w:val="0046011E"/>
    <w:rsid w:val="00460E87"/>
    <w:rsid w:val="00461402"/>
    <w:rsid w:val="0046243F"/>
    <w:rsid w:val="0046291C"/>
    <w:rsid w:val="0046434C"/>
    <w:rsid w:val="004665D9"/>
    <w:rsid w:val="0046675B"/>
    <w:rsid w:val="00471439"/>
    <w:rsid w:val="0047182B"/>
    <w:rsid w:val="00472518"/>
    <w:rsid w:val="00474D69"/>
    <w:rsid w:val="00476379"/>
    <w:rsid w:val="004819FD"/>
    <w:rsid w:val="004843A7"/>
    <w:rsid w:val="00490A4B"/>
    <w:rsid w:val="004912D8"/>
    <w:rsid w:val="00495E89"/>
    <w:rsid w:val="00497443"/>
    <w:rsid w:val="004A1DFB"/>
    <w:rsid w:val="004A4036"/>
    <w:rsid w:val="004A46DA"/>
    <w:rsid w:val="004B3EF2"/>
    <w:rsid w:val="004C3374"/>
    <w:rsid w:val="004C3AC0"/>
    <w:rsid w:val="004C7516"/>
    <w:rsid w:val="004D28B0"/>
    <w:rsid w:val="004D2993"/>
    <w:rsid w:val="004D3FA6"/>
    <w:rsid w:val="004D6504"/>
    <w:rsid w:val="004D6764"/>
    <w:rsid w:val="004E133D"/>
    <w:rsid w:val="004E619B"/>
    <w:rsid w:val="004F0040"/>
    <w:rsid w:val="004F017B"/>
    <w:rsid w:val="004F04BA"/>
    <w:rsid w:val="004F2EAA"/>
    <w:rsid w:val="004F5282"/>
    <w:rsid w:val="004F52A9"/>
    <w:rsid w:val="00500627"/>
    <w:rsid w:val="005017CE"/>
    <w:rsid w:val="00501F48"/>
    <w:rsid w:val="00502EE9"/>
    <w:rsid w:val="00503286"/>
    <w:rsid w:val="005046B4"/>
    <w:rsid w:val="00515466"/>
    <w:rsid w:val="00517E43"/>
    <w:rsid w:val="00520028"/>
    <w:rsid w:val="00521114"/>
    <w:rsid w:val="005219F6"/>
    <w:rsid w:val="0052632C"/>
    <w:rsid w:val="00526913"/>
    <w:rsid w:val="00526EFC"/>
    <w:rsid w:val="0053199E"/>
    <w:rsid w:val="00533EFF"/>
    <w:rsid w:val="00534866"/>
    <w:rsid w:val="00536D9A"/>
    <w:rsid w:val="005425D2"/>
    <w:rsid w:val="0054424E"/>
    <w:rsid w:val="0054470B"/>
    <w:rsid w:val="0054640B"/>
    <w:rsid w:val="0054713D"/>
    <w:rsid w:val="00552946"/>
    <w:rsid w:val="00554134"/>
    <w:rsid w:val="00555540"/>
    <w:rsid w:val="005562E8"/>
    <w:rsid w:val="00557CA9"/>
    <w:rsid w:val="00561F70"/>
    <w:rsid w:val="0056263C"/>
    <w:rsid w:val="00565AC4"/>
    <w:rsid w:val="00566AD3"/>
    <w:rsid w:val="005701F0"/>
    <w:rsid w:val="00570B6E"/>
    <w:rsid w:val="00571B1E"/>
    <w:rsid w:val="00571E79"/>
    <w:rsid w:val="00573C58"/>
    <w:rsid w:val="0057496C"/>
    <w:rsid w:val="00574F10"/>
    <w:rsid w:val="00575279"/>
    <w:rsid w:val="00577C40"/>
    <w:rsid w:val="005809A4"/>
    <w:rsid w:val="0058126B"/>
    <w:rsid w:val="00581521"/>
    <w:rsid w:val="00584DA0"/>
    <w:rsid w:val="005853EC"/>
    <w:rsid w:val="00591DA5"/>
    <w:rsid w:val="005A1137"/>
    <w:rsid w:val="005A529B"/>
    <w:rsid w:val="005A66EC"/>
    <w:rsid w:val="005B0D49"/>
    <w:rsid w:val="005B2207"/>
    <w:rsid w:val="005B2359"/>
    <w:rsid w:val="005B23C5"/>
    <w:rsid w:val="005B4A7E"/>
    <w:rsid w:val="005B56E2"/>
    <w:rsid w:val="005C481D"/>
    <w:rsid w:val="005C4A32"/>
    <w:rsid w:val="005C6712"/>
    <w:rsid w:val="005D07CA"/>
    <w:rsid w:val="005D0D25"/>
    <w:rsid w:val="005D0EFB"/>
    <w:rsid w:val="005D164E"/>
    <w:rsid w:val="005D277C"/>
    <w:rsid w:val="005D34DE"/>
    <w:rsid w:val="005D3764"/>
    <w:rsid w:val="005D381F"/>
    <w:rsid w:val="005D74F6"/>
    <w:rsid w:val="005E2322"/>
    <w:rsid w:val="005E4779"/>
    <w:rsid w:val="005E50E5"/>
    <w:rsid w:val="005F226D"/>
    <w:rsid w:val="005F4C52"/>
    <w:rsid w:val="005F53E2"/>
    <w:rsid w:val="00600A4E"/>
    <w:rsid w:val="00600C6E"/>
    <w:rsid w:val="0060282B"/>
    <w:rsid w:val="00602B8A"/>
    <w:rsid w:val="00605041"/>
    <w:rsid w:val="006100F4"/>
    <w:rsid w:val="0061026F"/>
    <w:rsid w:val="006138D3"/>
    <w:rsid w:val="00617AF0"/>
    <w:rsid w:val="0062036B"/>
    <w:rsid w:val="00621E18"/>
    <w:rsid w:val="00621E51"/>
    <w:rsid w:val="00622A74"/>
    <w:rsid w:val="00622C44"/>
    <w:rsid w:val="00623F3E"/>
    <w:rsid w:val="006334C3"/>
    <w:rsid w:val="00633B68"/>
    <w:rsid w:val="006353AC"/>
    <w:rsid w:val="00636636"/>
    <w:rsid w:val="00653AD4"/>
    <w:rsid w:val="006559D7"/>
    <w:rsid w:val="00660EB6"/>
    <w:rsid w:val="00660F9E"/>
    <w:rsid w:val="006656BF"/>
    <w:rsid w:val="00670AA0"/>
    <w:rsid w:val="00681773"/>
    <w:rsid w:val="0068326E"/>
    <w:rsid w:val="00685552"/>
    <w:rsid w:val="00690F51"/>
    <w:rsid w:val="00691D1A"/>
    <w:rsid w:val="006920FB"/>
    <w:rsid w:val="00692A4C"/>
    <w:rsid w:val="0069398F"/>
    <w:rsid w:val="00693CCD"/>
    <w:rsid w:val="00696932"/>
    <w:rsid w:val="00697585"/>
    <w:rsid w:val="00697604"/>
    <w:rsid w:val="006A0C46"/>
    <w:rsid w:val="006A2E78"/>
    <w:rsid w:val="006A36F0"/>
    <w:rsid w:val="006A3839"/>
    <w:rsid w:val="006A3C5A"/>
    <w:rsid w:val="006A6101"/>
    <w:rsid w:val="006B4CFF"/>
    <w:rsid w:val="006B4E8E"/>
    <w:rsid w:val="006B52CF"/>
    <w:rsid w:val="006C2B15"/>
    <w:rsid w:val="006C706E"/>
    <w:rsid w:val="006D1257"/>
    <w:rsid w:val="006D1416"/>
    <w:rsid w:val="006D5504"/>
    <w:rsid w:val="006D575C"/>
    <w:rsid w:val="006E1CF7"/>
    <w:rsid w:val="006E4F43"/>
    <w:rsid w:val="006E5ED1"/>
    <w:rsid w:val="006F63F4"/>
    <w:rsid w:val="00701094"/>
    <w:rsid w:val="00705600"/>
    <w:rsid w:val="00710515"/>
    <w:rsid w:val="00715DE3"/>
    <w:rsid w:val="00720CBE"/>
    <w:rsid w:val="00720FF3"/>
    <w:rsid w:val="00726053"/>
    <w:rsid w:val="007266D6"/>
    <w:rsid w:val="00727AA2"/>
    <w:rsid w:val="00727D36"/>
    <w:rsid w:val="00731833"/>
    <w:rsid w:val="00732898"/>
    <w:rsid w:val="00734A50"/>
    <w:rsid w:val="00742873"/>
    <w:rsid w:val="00745406"/>
    <w:rsid w:val="00746487"/>
    <w:rsid w:val="007467B9"/>
    <w:rsid w:val="007475FD"/>
    <w:rsid w:val="00751425"/>
    <w:rsid w:val="007520A0"/>
    <w:rsid w:val="007571F2"/>
    <w:rsid w:val="00761CDC"/>
    <w:rsid w:val="00763AB4"/>
    <w:rsid w:val="00764283"/>
    <w:rsid w:val="00770744"/>
    <w:rsid w:val="007708FE"/>
    <w:rsid w:val="0077391E"/>
    <w:rsid w:val="00774B95"/>
    <w:rsid w:val="00775EE9"/>
    <w:rsid w:val="007833A1"/>
    <w:rsid w:val="00783932"/>
    <w:rsid w:val="00783F7B"/>
    <w:rsid w:val="0078516B"/>
    <w:rsid w:val="00787DEB"/>
    <w:rsid w:val="00790342"/>
    <w:rsid w:val="00795EB1"/>
    <w:rsid w:val="00797997"/>
    <w:rsid w:val="007A25FD"/>
    <w:rsid w:val="007A3204"/>
    <w:rsid w:val="007A57C1"/>
    <w:rsid w:val="007A5998"/>
    <w:rsid w:val="007A7B3B"/>
    <w:rsid w:val="007B7476"/>
    <w:rsid w:val="007C1731"/>
    <w:rsid w:val="007C1E7E"/>
    <w:rsid w:val="007C23E5"/>
    <w:rsid w:val="007C4264"/>
    <w:rsid w:val="007C5083"/>
    <w:rsid w:val="007C548E"/>
    <w:rsid w:val="007C63A6"/>
    <w:rsid w:val="007C709A"/>
    <w:rsid w:val="007C76E4"/>
    <w:rsid w:val="007D3D7D"/>
    <w:rsid w:val="007D6A80"/>
    <w:rsid w:val="007E02C4"/>
    <w:rsid w:val="007E0DD4"/>
    <w:rsid w:val="007E184E"/>
    <w:rsid w:val="007E2C14"/>
    <w:rsid w:val="007E3DBC"/>
    <w:rsid w:val="007E4A65"/>
    <w:rsid w:val="007F1F56"/>
    <w:rsid w:val="007F2684"/>
    <w:rsid w:val="007F2804"/>
    <w:rsid w:val="007F33BB"/>
    <w:rsid w:val="007F5A7D"/>
    <w:rsid w:val="007F71CD"/>
    <w:rsid w:val="0080213B"/>
    <w:rsid w:val="0080328D"/>
    <w:rsid w:val="008068DD"/>
    <w:rsid w:val="00806D39"/>
    <w:rsid w:val="0080794D"/>
    <w:rsid w:val="00815C9B"/>
    <w:rsid w:val="00820F5A"/>
    <w:rsid w:val="00821E66"/>
    <w:rsid w:val="00824CC5"/>
    <w:rsid w:val="00826B9A"/>
    <w:rsid w:val="00827069"/>
    <w:rsid w:val="008314BD"/>
    <w:rsid w:val="00835131"/>
    <w:rsid w:val="0083555D"/>
    <w:rsid w:val="008373E8"/>
    <w:rsid w:val="008378A8"/>
    <w:rsid w:val="00837FA1"/>
    <w:rsid w:val="00840B50"/>
    <w:rsid w:val="00842C40"/>
    <w:rsid w:val="00843358"/>
    <w:rsid w:val="00843ECF"/>
    <w:rsid w:val="008454C4"/>
    <w:rsid w:val="00845809"/>
    <w:rsid w:val="00853539"/>
    <w:rsid w:val="00853E0A"/>
    <w:rsid w:val="008571D9"/>
    <w:rsid w:val="00860CD0"/>
    <w:rsid w:val="008618DE"/>
    <w:rsid w:val="0086190D"/>
    <w:rsid w:val="00863C14"/>
    <w:rsid w:val="00866A14"/>
    <w:rsid w:val="0087305A"/>
    <w:rsid w:val="0087435C"/>
    <w:rsid w:val="008743BB"/>
    <w:rsid w:val="00876882"/>
    <w:rsid w:val="00877A89"/>
    <w:rsid w:val="00877D26"/>
    <w:rsid w:val="00882A74"/>
    <w:rsid w:val="008832BF"/>
    <w:rsid w:val="008851FB"/>
    <w:rsid w:val="008855BA"/>
    <w:rsid w:val="008863DF"/>
    <w:rsid w:val="00890FB4"/>
    <w:rsid w:val="00894F5C"/>
    <w:rsid w:val="0089785E"/>
    <w:rsid w:val="008A14CF"/>
    <w:rsid w:val="008A26E1"/>
    <w:rsid w:val="008A40B3"/>
    <w:rsid w:val="008B04E2"/>
    <w:rsid w:val="008B0E9B"/>
    <w:rsid w:val="008B172D"/>
    <w:rsid w:val="008B2297"/>
    <w:rsid w:val="008B2578"/>
    <w:rsid w:val="008B5BFC"/>
    <w:rsid w:val="008B5F29"/>
    <w:rsid w:val="008B6C41"/>
    <w:rsid w:val="008B7227"/>
    <w:rsid w:val="008B7EE1"/>
    <w:rsid w:val="008C1134"/>
    <w:rsid w:val="008C26C1"/>
    <w:rsid w:val="008C44E2"/>
    <w:rsid w:val="008C7E6A"/>
    <w:rsid w:val="008D156A"/>
    <w:rsid w:val="008D2EC7"/>
    <w:rsid w:val="008D3F29"/>
    <w:rsid w:val="008D5252"/>
    <w:rsid w:val="008D56BC"/>
    <w:rsid w:val="008D7898"/>
    <w:rsid w:val="008E6662"/>
    <w:rsid w:val="008E6730"/>
    <w:rsid w:val="008E6A1D"/>
    <w:rsid w:val="008F344D"/>
    <w:rsid w:val="008F3D00"/>
    <w:rsid w:val="008F648A"/>
    <w:rsid w:val="008F70A0"/>
    <w:rsid w:val="009010C8"/>
    <w:rsid w:val="0090113C"/>
    <w:rsid w:val="009018B9"/>
    <w:rsid w:val="0090289B"/>
    <w:rsid w:val="009061C4"/>
    <w:rsid w:val="009129B3"/>
    <w:rsid w:val="00912C36"/>
    <w:rsid w:val="00915B3F"/>
    <w:rsid w:val="00915C0C"/>
    <w:rsid w:val="0091649B"/>
    <w:rsid w:val="0092286A"/>
    <w:rsid w:val="00924DC2"/>
    <w:rsid w:val="009273B5"/>
    <w:rsid w:val="00933455"/>
    <w:rsid w:val="00935770"/>
    <w:rsid w:val="00937409"/>
    <w:rsid w:val="00940FED"/>
    <w:rsid w:val="00942143"/>
    <w:rsid w:val="00947E95"/>
    <w:rsid w:val="00955D54"/>
    <w:rsid w:val="009606C1"/>
    <w:rsid w:val="00960E2F"/>
    <w:rsid w:val="00970305"/>
    <w:rsid w:val="00971AF7"/>
    <w:rsid w:val="0097253E"/>
    <w:rsid w:val="009725C4"/>
    <w:rsid w:val="00973586"/>
    <w:rsid w:val="00973754"/>
    <w:rsid w:val="0097654F"/>
    <w:rsid w:val="00977A0F"/>
    <w:rsid w:val="0098068D"/>
    <w:rsid w:val="00983B95"/>
    <w:rsid w:val="00985820"/>
    <w:rsid w:val="009867C1"/>
    <w:rsid w:val="00990501"/>
    <w:rsid w:val="009915C6"/>
    <w:rsid w:val="009A289F"/>
    <w:rsid w:val="009A46DC"/>
    <w:rsid w:val="009A5850"/>
    <w:rsid w:val="009A6644"/>
    <w:rsid w:val="009A6653"/>
    <w:rsid w:val="009B027B"/>
    <w:rsid w:val="009B237B"/>
    <w:rsid w:val="009B6CCE"/>
    <w:rsid w:val="009C19F2"/>
    <w:rsid w:val="009C7C32"/>
    <w:rsid w:val="009D0D3E"/>
    <w:rsid w:val="009D0E16"/>
    <w:rsid w:val="009D35D2"/>
    <w:rsid w:val="009D55F7"/>
    <w:rsid w:val="009D7AA4"/>
    <w:rsid w:val="009E5A8C"/>
    <w:rsid w:val="009E6F98"/>
    <w:rsid w:val="009F371C"/>
    <w:rsid w:val="009F4AEB"/>
    <w:rsid w:val="009F769A"/>
    <w:rsid w:val="00A00C0E"/>
    <w:rsid w:val="00A05904"/>
    <w:rsid w:val="00A05A7E"/>
    <w:rsid w:val="00A06991"/>
    <w:rsid w:val="00A077BB"/>
    <w:rsid w:val="00A07CF4"/>
    <w:rsid w:val="00A07E8E"/>
    <w:rsid w:val="00A12803"/>
    <w:rsid w:val="00A14968"/>
    <w:rsid w:val="00A155F3"/>
    <w:rsid w:val="00A16974"/>
    <w:rsid w:val="00A17045"/>
    <w:rsid w:val="00A17A07"/>
    <w:rsid w:val="00A17A99"/>
    <w:rsid w:val="00A20119"/>
    <w:rsid w:val="00A20668"/>
    <w:rsid w:val="00A23673"/>
    <w:rsid w:val="00A2518D"/>
    <w:rsid w:val="00A25309"/>
    <w:rsid w:val="00A309D5"/>
    <w:rsid w:val="00A32968"/>
    <w:rsid w:val="00A34A72"/>
    <w:rsid w:val="00A41595"/>
    <w:rsid w:val="00A415DC"/>
    <w:rsid w:val="00A44016"/>
    <w:rsid w:val="00A459C6"/>
    <w:rsid w:val="00A50D76"/>
    <w:rsid w:val="00A523E0"/>
    <w:rsid w:val="00A53FA8"/>
    <w:rsid w:val="00A57431"/>
    <w:rsid w:val="00A636C3"/>
    <w:rsid w:val="00A71665"/>
    <w:rsid w:val="00A72DF0"/>
    <w:rsid w:val="00A730C3"/>
    <w:rsid w:val="00A753C0"/>
    <w:rsid w:val="00A81913"/>
    <w:rsid w:val="00A81C99"/>
    <w:rsid w:val="00A8204D"/>
    <w:rsid w:val="00A8353A"/>
    <w:rsid w:val="00A840F5"/>
    <w:rsid w:val="00A8605B"/>
    <w:rsid w:val="00A87D57"/>
    <w:rsid w:val="00A87DDD"/>
    <w:rsid w:val="00A96F67"/>
    <w:rsid w:val="00AA179E"/>
    <w:rsid w:val="00AA32BD"/>
    <w:rsid w:val="00AA3A8B"/>
    <w:rsid w:val="00AA5203"/>
    <w:rsid w:val="00AA7BA2"/>
    <w:rsid w:val="00AB018B"/>
    <w:rsid w:val="00AB43F6"/>
    <w:rsid w:val="00AB5664"/>
    <w:rsid w:val="00AB5B1E"/>
    <w:rsid w:val="00AB5D5B"/>
    <w:rsid w:val="00AB79BC"/>
    <w:rsid w:val="00AC0205"/>
    <w:rsid w:val="00AC0441"/>
    <w:rsid w:val="00AC0FC2"/>
    <w:rsid w:val="00AC14F9"/>
    <w:rsid w:val="00AC24B6"/>
    <w:rsid w:val="00AC292F"/>
    <w:rsid w:val="00AC2E19"/>
    <w:rsid w:val="00AC3BC3"/>
    <w:rsid w:val="00AC4652"/>
    <w:rsid w:val="00AC74C5"/>
    <w:rsid w:val="00AD07C6"/>
    <w:rsid w:val="00AD102A"/>
    <w:rsid w:val="00AD1EED"/>
    <w:rsid w:val="00AD281F"/>
    <w:rsid w:val="00AD41C4"/>
    <w:rsid w:val="00AE2A6D"/>
    <w:rsid w:val="00AE4A9C"/>
    <w:rsid w:val="00AF015B"/>
    <w:rsid w:val="00AF0447"/>
    <w:rsid w:val="00AF6C40"/>
    <w:rsid w:val="00AF7096"/>
    <w:rsid w:val="00B05C19"/>
    <w:rsid w:val="00B07829"/>
    <w:rsid w:val="00B07DC5"/>
    <w:rsid w:val="00B10153"/>
    <w:rsid w:val="00B10CAE"/>
    <w:rsid w:val="00B13811"/>
    <w:rsid w:val="00B164D5"/>
    <w:rsid w:val="00B21115"/>
    <w:rsid w:val="00B269B5"/>
    <w:rsid w:val="00B27414"/>
    <w:rsid w:val="00B306B8"/>
    <w:rsid w:val="00B32EEA"/>
    <w:rsid w:val="00B368D2"/>
    <w:rsid w:val="00B36C10"/>
    <w:rsid w:val="00B415C7"/>
    <w:rsid w:val="00B417BA"/>
    <w:rsid w:val="00B41819"/>
    <w:rsid w:val="00B45339"/>
    <w:rsid w:val="00B47929"/>
    <w:rsid w:val="00B50715"/>
    <w:rsid w:val="00B548BF"/>
    <w:rsid w:val="00B54BA0"/>
    <w:rsid w:val="00B54C93"/>
    <w:rsid w:val="00B5643D"/>
    <w:rsid w:val="00B606C3"/>
    <w:rsid w:val="00B607E9"/>
    <w:rsid w:val="00B617C7"/>
    <w:rsid w:val="00B63A6F"/>
    <w:rsid w:val="00B65CBE"/>
    <w:rsid w:val="00B66E5C"/>
    <w:rsid w:val="00B673D4"/>
    <w:rsid w:val="00B718A5"/>
    <w:rsid w:val="00B74F91"/>
    <w:rsid w:val="00B75ED0"/>
    <w:rsid w:val="00B77211"/>
    <w:rsid w:val="00B838CF"/>
    <w:rsid w:val="00B83ED8"/>
    <w:rsid w:val="00B84EF7"/>
    <w:rsid w:val="00B853DC"/>
    <w:rsid w:val="00B90075"/>
    <w:rsid w:val="00B90EB9"/>
    <w:rsid w:val="00B93C59"/>
    <w:rsid w:val="00B940AF"/>
    <w:rsid w:val="00B9491F"/>
    <w:rsid w:val="00B956A3"/>
    <w:rsid w:val="00B95E3B"/>
    <w:rsid w:val="00B97BAB"/>
    <w:rsid w:val="00B97D76"/>
    <w:rsid w:val="00BA4D66"/>
    <w:rsid w:val="00BA5818"/>
    <w:rsid w:val="00BA66CA"/>
    <w:rsid w:val="00BA6B28"/>
    <w:rsid w:val="00BB7F3A"/>
    <w:rsid w:val="00BC1CA3"/>
    <w:rsid w:val="00BC1EFC"/>
    <w:rsid w:val="00BC2641"/>
    <w:rsid w:val="00BC35FE"/>
    <w:rsid w:val="00BC45E6"/>
    <w:rsid w:val="00BD3907"/>
    <w:rsid w:val="00BD585D"/>
    <w:rsid w:val="00BE260D"/>
    <w:rsid w:val="00BE563B"/>
    <w:rsid w:val="00BE5A5A"/>
    <w:rsid w:val="00BE5E6D"/>
    <w:rsid w:val="00BE693B"/>
    <w:rsid w:val="00BE7441"/>
    <w:rsid w:val="00BE7522"/>
    <w:rsid w:val="00BF5309"/>
    <w:rsid w:val="00BF5D23"/>
    <w:rsid w:val="00C01004"/>
    <w:rsid w:val="00C03103"/>
    <w:rsid w:val="00C03F4F"/>
    <w:rsid w:val="00C05D58"/>
    <w:rsid w:val="00C17CC8"/>
    <w:rsid w:val="00C200FF"/>
    <w:rsid w:val="00C21303"/>
    <w:rsid w:val="00C22D2A"/>
    <w:rsid w:val="00C239C6"/>
    <w:rsid w:val="00C26B6F"/>
    <w:rsid w:val="00C31534"/>
    <w:rsid w:val="00C3156E"/>
    <w:rsid w:val="00C320E6"/>
    <w:rsid w:val="00C34EAF"/>
    <w:rsid w:val="00C35A66"/>
    <w:rsid w:val="00C44151"/>
    <w:rsid w:val="00C518CA"/>
    <w:rsid w:val="00C52B50"/>
    <w:rsid w:val="00C532E1"/>
    <w:rsid w:val="00C55325"/>
    <w:rsid w:val="00C61CE2"/>
    <w:rsid w:val="00C634A8"/>
    <w:rsid w:val="00C643E5"/>
    <w:rsid w:val="00C646A4"/>
    <w:rsid w:val="00C6743A"/>
    <w:rsid w:val="00C72C0C"/>
    <w:rsid w:val="00C8309B"/>
    <w:rsid w:val="00C849F5"/>
    <w:rsid w:val="00C84C6E"/>
    <w:rsid w:val="00C853EB"/>
    <w:rsid w:val="00C925E2"/>
    <w:rsid w:val="00C93A70"/>
    <w:rsid w:val="00CA026E"/>
    <w:rsid w:val="00CA1A02"/>
    <w:rsid w:val="00CA3083"/>
    <w:rsid w:val="00CA5146"/>
    <w:rsid w:val="00CB1FA0"/>
    <w:rsid w:val="00CB30BC"/>
    <w:rsid w:val="00CB7599"/>
    <w:rsid w:val="00CC0D6C"/>
    <w:rsid w:val="00CD1536"/>
    <w:rsid w:val="00CD195B"/>
    <w:rsid w:val="00CD1F99"/>
    <w:rsid w:val="00CE481D"/>
    <w:rsid w:val="00CF2762"/>
    <w:rsid w:val="00CF2C76"/>
    <w:rsid w:val="00CF6B65"/>
    <w:rsid w:val="00D0207E"/>
    <w:rsid w:val="00D03E29"/>
    <w:rsid w:val="00D1180B"/>
    <w:rsid w:val="00D167B8"/>
    <w:rsid w:val="00D20BE3"/>
    <w:rsid w:val="00D2132F"/>
    <w:rsid w:val="00D23B76"/>
    <w:rsid w:val="00D23DFF"/>
    <w:rsid w:val="00D24C90"/>
    <w:rsid w:val="00D24F68"/>
    <w:rsid w:val="00D24F9A"/>
    <w:rsid w:val="00D26211"/>
    <w:rsid w:val="00D311FD"/>
    <w:rsid w:val="00D3174B"/>
    <w:rsid w:val="00D34627"/>
    <w:rsid w:val="00D35F9F"/>
    <w:rsid w:val="00D363B9"/>
    <w:rsid w:val="00D36A5D"/>
    <w:rsid w:val="00D40B8F"/>
    <w:rsid w:val="00D44A55"/>
    <w:rsid w:val="00D452BE"/>
    <w:rsid w:val="00D47A46"/>
    <w:rsid w:val="00D505FE"/>
    <w:rsid w:val="00D52653"/>
    <w:rsid w:val="00D53638"/>
    <w:rsid w:val="00D55404"/>
    <w:rsid w:val="00D61D6F"/>
    <w:rsid w:val="00D701E6"/>
    <w:rsid w:val="00D70ED5"/>
    <w:rsid w:val="00D71E36"/>
    <w:rsid w:val="00D7438B"/>
    <w:rsid w:val="00D7452D"/>
    <w:rsid w:val="00D7533F"/>
    <w:rsid w:val="00D759BB"/>
    <w:rsid w:val="00D80E10"/>
    <w:rsid w:val="00D82556"/>
    <w:rsid w:val="00D828F7"/>
    <w:rsid w:val="00D85E65"/>
    <w:rsid w:val="00D86D14"/>
    <w:rsid w:val="00D93A56"/>
    <w:rsid w:val="00D93AF1"/>
    <w:rsid w:val="00D964A8"/>
    <w:rsid w:val="00D96AEC"/>
    <w:rsid w:val="00D977AB"/>
    <w:rsid w:val="00DA0873"/>
    <w:rsid w:val="00DA44BB"/>
    <w:rsid w:val="00DA5900"/>
    <w:rsid w:val="00DB1566"/>
    <w:rsid w:val="00DB2610"/>
    <w:rsid w:val="00DB5577"/>
    <w:rsid w:val="00DB5F35"/>
    <w:rsid w:val="00DB6EC5"/>
    <w:rsid w:val="00DB7A2E"/>
    <w:rsid w:val="00DB7ABB"/>
    <w:rsid w:val="00DC0443"/>
    <w:rsid w:val="00DC25B6"/>
    <w:rsid w:val="00DC2EEE"/>
    <w:rsid w:val="00DC56DD"/>
    <w:rsid w:val="00DD597C"/>
    <w:rsid w:val="00DD7218"/>
    <w:rsid w:val="00DD7960"/>
    <w:rsid w:val="00DF1A2A"/>
    <w:rsid w:val="00DF3087"/>
    <w:rsid w:val="00E01FC9"/>
    <w:rsid w:val="00E02CF7"/>
    <w:rsid w:val="00E034DE"/>
    <w:rsid w:val="00E06422"/>
    <w:rsid w:val="00E0700F"/>
    <w:rsid w:val="00E0701D"/>
    <w:rsid w:val="00E12C0C"/>
    <w:rsid w:val="00E223D8"/>
    <w:rsid w:val="00E25809"/>
    <w:rsid w:val="00E3024F"/>
    <w:rsid w:val="00E3033C"/>
    <w:rsid w:val="00E325DB"/>
    <w:rsid w:val="00E33F25"/>
    <w:rsid w:val="00E371E1"/>
    <w:rsid w:val="00E37674"/>
    <w:rsid w:val="00E37D42"/>
    <w:rsid w:val="00E4693A"/>
    <w:rsid w:val="00E4751F"/>
    <w:rsid w:val="00E47A69"/>
    <w:rsid w:val="00E47BE3"/>
    <w:rsid w:val="00E55025"/>
    <w:rsid w:val="00E61104"/>
    <w:rsid w:val="00E6145D"/>
    <w:rsid w:val="00E61E8D"/>
    <w:rsid w:val="00E63B12"/>
    <w:rsid w:val="00E6459D"/>
    <w:rsid w:val="00E70C95"/>
    <w:rsid w:val="00E71987"/>
    <w:rsid w:val="00E72D1A"/>
    <w:rsid w:val="00E72F72"/>
    <w:rsid w:val="00E75230"/>
    <w:rsid w:val="00E759DC"/>
    <w:rsid w:val="00E77753"/>
    <w:rsid w:val="00E77BFA"/>
    <w:rsid w:val="00E80295"/>
    <w:rsid w:val="00E80CC8"/>
    <w:rsid w:val="00E81E49"/>
    <w:rsid w:val="00E833A9"/>
    <w:rsid w:val="00E84B54"/>
    <w:rsid w:val="00E85CEB"/>
    <w:rsid w:val="00E87CC6"/>
    <w:rsid w:val="00E905DD"/>
    <w:rsid w:val="00E9753B"/>
    <w:rsid w:val="00EA06E2"/>
    <w:rsid w:val="00EA2088"/>
    <w:rsid w:val="00EA3978"/>
    <w:rsid w:val="00EA5398"/>
    <w:rsid w:val="00EA7B1B"/>
    <w:rsid w:val="00EA7FE6"/>
    <w:rsid w:val="00EB2A7D"/>
    <w:rsid w:val="00EB6689"/>
    <w:rsid w:val="00EB68EF"/>
    <w:rsid w:val="00EC136A"/>
    <w:rsid w:val="00EC2A52"/>
    <w:rsid w:val="00EC2F8F"/>
    <w:rsid w:val="00EC3A55"/>
    <w:rsid w:val="00EC44F2"/>
    <w:rsid w:val="00EC48AF"/>
    <w:rsid w:val="00ED2A79"/>
    <w:rsid w:val="00ED4B13"/>
    <w:rsid w:val="00ED5B65"/>
    <w:rsid w:val="00ED7137"/>
    <w:rsid w:val="00EE0988"/>
    <w:rsid w:val="00EE21A7"/>
    <w:rsid w:val="00EE304A"/>
    <w:rsid w:val="00EE3E98"/>
    <w:rsid w:val="00EE7E34"/>
    <w:rsid w:val="00EF221A"/>
    <w:rsid w:val="00EF2F32"/>
    <w:rsid w:val="00EF56BB"/>
    <w:rsid w:val="00EF5DE3"/>
    <w:rsid w:val="00EF74D6"/>
    <w:rsid w:val="00F01413"/>
    <w:rsid w:val="00F06984"/>
    <w:rsid w:val="00F1214D"/>
    <w:rsid w:val="00F12311"/>
    <w:rsid w:val="00F12387"/>
    <w:rsid w:val="00F15F80"/>
    <w:rsid w:val="00F16FAD"/>
    <w:rsid w:val="00F24152"/>
    <w:rsid w:val="00F279B5"/>
    <w:rsid w:val="00F27B4B"/>
    <w:rsid w:val="00F31310"/>
    <w:rsid w:val="00F4299D"/>
    <w:rsid w:val="00F42F77"/>
    <w:rsid w:val="00F46CE0"/>
    <w:rsid w:val="00F47F35"/>
    <w:rsid w:val="00F5130B"/>
    <w:rsid w:val="00F51B26"/>
    <w:rsid w:val="00F5204B"/>
    <w:rsid w:val="00F534F7"/>
    <w:rsid w:val="00F5558D"/>
    <w:rsid w:val="00F5580F"/>
    <w:rsid w:val="00F572C2"/>
    <w:rsid w:val="00F632CE"/>
    <w:rsid w:val="00F67DD8"/>
    <w:rsid w:val="00F70853"/>
    <w:rsid w:val="00F72217"/>
    <w:rsid w:val="00F74205"/>
    <w:rsid w:val="00F74C25"/>
    <w:rsid w:val="00F75D14"/>
    <w:rsid w:val="00F766A1"/>
    <w:rsid w:val="00F76962"/>
    <w:rsid w:val="00F76C8F"/>
    <w:rsid w:val="00F776BC"/>
    <w:rsid w:val="00F8100B"/>
    <w:rsid w:val="00F820AF"/>
    <w:rsid w:val="00F83010"/>
    <w:rsid w:val="00F84091"/>
    <w:rsid w:val="00F9172E"/>
    <w:rsid w:val="00F9298D"/>
    <w:rsid w:val="00F9301B"/>
    <w:rsid w:val="00FA1F35"/>
    <w:rsid w:val="00FA35F3"/>
    <w:rsid w:val="00FA3D88"/>
    <w:rsid w:val="00FA4203"/>
    <w:rsid w:val="00FA4FE5"/>
    <w:rsid w:val="00FB3D4A"/>
    <w:rsid w:val="00FB586A"/>
    <w:rsid w:val="00FB5B6F"/>
    <w:rsid w:val="00FB68A6"/>
    <w:rsid w:val="00FC034F"/>
    <w:rsid w:val="00FC0AB2"/>
    <w:rsid w:val="00FC1B1D"/>
    <w:rsid w:val="00FC29DE"/>
    <w:rsid w:val="00FC3C54"/>
    <w:rsid w:val="00FD0D3F"/>
    <w:rsid w:val="00FD0D72"/>
    <w:rsid w:val="00FD16F6"/>
    <w:rsid w:val="00FD2BA0"/>
    <w:rsid w:val="00FD3D4F"/>
    <w:rsid w:val="00FD5685"/>
    <w:rsid w:val="00FD5D77"/>
    <w:rsid w:val="00FD6F99"/>
    <w:rsid w:val="00FE0845"/>
    <w:rsid w:val="00FE16C1"/>
    <w:rsid w:val="00FE3491"/>
    <w:rsid w:val="00FE539C"/>
    <w:rsid w:val="00FF15BD"/>
    <w:rsid w:val="00FF1CE7"/>
    <w:rsid w:val="00FF23AC"/>
    <w:rsid w:val="00FF29E2"/>
    <w:rsid w:val="00FF4762"/>
    <w:rsid w:val="00FF5531"/>
    <w:rsid w:val="00FF6BD0"/>
    <w:rsid w:val="00FF78B1"/>
  </w:rsids>
  <m:mathPr>
    <m:mathFont m:val="Cambria Math"/>
    <m:brkBin m:val="before"/>
    <m:brkBinSub m:val="--"/>
    <m:smallFrac/>
    <m:dispDef/>
    <m:lMargin m:val="0"/>
    <m:rMargin m:val="0"/>
    <m:defJc m:val="centerGroup"/>
    <m:wrapIndent m:val="1440"/>
    <m:intLim m:val="subSup"/>
    <m:naryLim m:val="undOvr"/>
  </m:mathPr>
  <w:themeFontLang w:val="en-CA"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8026A4F"/>
  <w15:docId w15:val="{BBB1FB93-4D92-498D-B3D3-2E40276CA6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Cambria" w:hAnsi="Cambria" w:cs="Times New Roman"/>
        <w:lang w:val="en-CA" w:eastAsia="en-CA" w:bidi="ar-SA"/>
      </w:rPr>
    </w:rPrDefault>
    <w:pPrDefault/>
  </w:docDefaults>
  <w:latentStyles w:defLockedState="0" w:defUIPriority="0" w:defSemiHidden="0" w:defUnhideWhenUsed="0" w:defQFormat="0" w:count="376">
    <w:lsdException w:name="Normal" w:qFormat="1"/>
    <w:lsdException w:name="heading 1" w:uiPriority="1" w:qFormat="1"/>
    <w:lsdException w:name="heading 2" w:uiPriority="1" w:qFormat="1"/>
    <w:lsdException w:name="heading 3" w:uiPriority="1" w:qFormat="1"/>
    <w:lsdException w:name="heading 4" w:uiPriority="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nhideWhenUsed="1"/>
    <w:lsdException w:name="List Bullet" w:semiHidden="1" w:unhideWhenUsed="1"/>
    <w:lsdException w:name="List Number" w:semiHidden="1" w:unhideWhenUsed="1"/>
    <w:lsdException w:name="List 2" w:unhideWhenUsed="1"/>
    <w:lsdException w:name="List 3"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unhideWhenUsed="1"/>
    <w:lsdException w:name="Body Text Indent 2" w:unhideWhenUsed="1"/>
    <w:lsdException w:name="Body Text Indent 3" w:unhideWhenUsed="1"/>
    <w:lsdException w:name="Block Text" w:unhideWhenUsed="1"/>
    <w:lsdException w:name="Hyperlink" w:semiHidden="1" w:uiPriority="99" w:unhideWhenUsed="1"/>
    <w:lsdException w:name="FollowedHyperlink" w:semiHidden="1" w:unhideWhenUsed="1"/>
    <w:lsdException w:name="Strong" w:uiPriority="22" w:unhideWhenUsed="1"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unhideWhenUsed="1"/>
    <w:lsdException w:name="No Spacing" w:uiPriority="1"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99"/>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572C2"/>
    <w:pPr>
      <w:spacing w:line="480" w:lineRule="auto"/>
    </w:pPr>
    <w:rPr>
      <w:rFonts w:ascii="Times New Roman" w:hAnsi="Times New Roman"/>
      <w:sz w:val="24"/>
      <w:szCs w:val="24"/>
      <w:lang w:val="en-US" w:eastAsia="en-US"/>
    </w:rPr>
  </w:style>
  <w:style w:type="paragraph" w:styleId="Heading1">
    <w:name w:val="heading 1"/>
    <w:basedOn w:val="Normal"/>
    <w:next w:val="Normal"/>
    <w:link w:val="Heading1Char"/>
    <w:uiPriority w:val="1"/>
    <w:qFormat/>
    <w:rsid w:val="00890FB4"/>
    <w:pPr>
      <w:keepLines/>
      <w:pageBreakBefore/>
      <w:numPr>
        <w:numId w:val="1"/>
      </w:numPr>
      <w:outlineLvl w:val="0"/>
    </w:pPr>
    <w:rPr>
      <w:rFonts w:eastAsia="SimSun"/>
      <w:b/>
      <w:bCs/>
      <w:sz w:val="28"/>
      <w:szCs w:val="32"/>
    </w:rPr>
  </w:style>
  <w:style w:type="paragraph" w:styleId="Heading2">
    <w:name w:val="heading 2"/>
    <w:basedOn w:val="Normal"/>
    <w:next w:val="Normal"/>
    <w:link w:val="Heading2Char"/>
    <w:uiPriority w:val="1"/>
    <w:qFormat/>
    <w:rsid w:val="00F5130B"/>
    <w:pPr>
      <w:keepLines/>
      <w:pageBreakBefore/>
      <w:numPr>
        <w:ilvl w:val="1"/>
        <w:numId w:val="1"/>
      </w:numPr>
      <w:outlineLvl w:val="1"/>
    </w:pPr>
    <w:rPr>
      <w:rFonts w:eastAsia="SimSun"/>
      <w:b/>
      <w:bCs/>
      <w:sz w:val="28"/>
      <w:szCs w:val="26"/>
    </w:rPr>
  </w:style>
  <w:style w:type="paragraph" w:styleId="Heading3">
    <w:name w:val="heading 3"/>
    <w:basedOn w:val="Normal"/>
    <w:next w:val="Normal"/>
    <w:link w:val="Heading3Char"/>
    <w:uiPriority w:val="1"/>
    <w:qFormat/>
    <w:rsid w:val="00014D18"/>
    <w:pPr>
      <w:keepNext/>
      <w:numPr>
        <w:ilvl w:val="2"/>
        <w:numId w:val="1"/>
      </w:numPr>
      <w:outlineLvl w:val="2"/>
    </w:pPr>
    <w:rPr>
      <w:rFonts w:eastAsia="SimSun"/>
      <w:b/>
      <w:bCs/>
    </w:rPr>
  </w:style>
  <w:style w:type="paragraph" w:styleId="Heading4">
    <w:name w:val="heading 4"/>
    <w:basedOn w:val="Normal"/>
    <w:next w:val="Normal"/>
    <w:link w:val="Heading4Char"/>
    <w:uiPriority w:val="1"/>
    <w:qFormat/>
    <w:rsid w:val="005425D2"/>
    <w:pPr>
      <w:keepNext/>
      <w:numPr>
        <w:ilvl w:val="3"/>
        <w:numId w:val="1"/>
      </w:numPr>
      <w:outlineLvl w:val="3"/>
    </w:pPr>
    <w:rPr>
      <w:rFonts w:eastAsia="SimSun"/>
      <w:b/>
      <w:bCs/>
      <w:iCs/>
    </w:rPr>
  </w:style>
  <w:style w:type="paragraph" w:styleId="Heading5">
    <w:name w:val="heading 5"/>
    <w:basedOn w:val="Normal"/>
    <w:next w:val="Normal"/>
    <w:link w:val="Heading5Char"/>
    <w:uiPriority w:val="1"/>
    <w:qFormat/>
    <w:rsid w:val="001B47D8"/>
    <w:pPr>
      <w:keepNext/>
      <w:numPr>
        <w:ilvl w:val="4"/>
        <w:numId w:val="1"/>
      </w:numPr>
      <w:outlineLvl w:val="4"/>
    </w:pPr>
    <w:rPr>
      <w:rFonts w:eastAsia="Times New Roman"/>
      <w:b/>
      <w:bCs/>
      <w:iCs/>
      <w:szCs w:val="26"/>
    </w:rPr>
  </w:style>
  <w:style w:type="paragraph" w:styleId="Heading6">
    <w:name w:val="heading 6"/>
    <w:basedOn w:val="Normal"/>
    <w:next w:val="Normal"/>
    <w:link w:val="Heading6Char"/>
    <w:uiPriority w:val="1"/>
    <w:qFormat/>
    <w:rsid w:val="00F5580F"/>
    <w:pPr>
      <w:numPr>
        <w:ilvl w:val="5"/>
        <w:numId w:val="1"/>
      </w:numPr>
      <w:outlineLvl w:val="5"/>
    </w:pPr>
    <w:rPr>
      <w:rFonts w:eastAsia="Times New Roman"/>
      <w:b/>
      <w:bCs/>
      <w:szCs w:val="22"/>
    </w:rPr>
  </w:style>
  <w:style w:type="paragraph" w:styleId="Heading7">
    <w:name w:val="heading 7"/>
    <w:basedOn w:val="Normal"/>
    <w:next w:val="Normal"/>
    <w:link w:val="Heading7Char"/>
    <w:uiPriority w:val="1"/>
    <w:qFormat/>
    <w:rsid w:val="0004437E"/>
    <w:pPr>
      <w:numPr>
        <w:ilvl w:val="6"/>
        <w:numId w:val="1"/>
      </w:numPr>
      <w:ind w:left="0"/>
      <w:outlineLvl w:val="6"/>
    </w:pPr>
    <w:rPr>
      <w:rFonts w:eastAsia="Times New Roman"/>
      <w:b/>
    </w:rPr>
  </w:style>
  <w:style w:type="paragraph" w:styleId="Heading8">
    <w:name w:val="heading 8"/>
    <w:basedOn w:val="Normal"/>
    <w:next w:val="Normal"/>
    <w:link w:val="Heading8Char"/>
    <w:uiPriority w:val="1"/>
    <w:qFormat/>
    <w:rsid w:val="006D1416"/>
    <w:pPr>
      <w:keepNext/>
      <w:numPr>
        <w:ilvl w:val="7"/>
        <w:numId w:val="1"/>
      </w:numPr>
      <w:outlineLvl w:val="7"/>
    </w:pPr>
    <w:rPr>
      <w:rFonts w:eastAsia="Times New Roman"/>
      <w:b/>
      <w:iCs/>
    </w:rPr>
  </w:style>
  <w:style w:type="paragraph" w:styleId="Heading9">
    <w:name w:val="heading 9"/>
    <w:basedOn w:val="Normal"/>
    <w:next w:val="Normal"/>
    <w:link w:val="Heading9Char"/>
    <w:uiPriority w:val="1"/>
    <w:qFormat/>
    <w:rsid w:val="00F5580F"/>
    <w:pPr>
      <w:numPr>
        <w:ilvl w:val="8"/>
        <w:numId w:val="1"/>
      </w:numPr>
      <w:spacing w:before="240" w:after="60"/>
      <w:outlineLvl w:val="8"/>
    </w:pPr>
    <w:rPr>
      <w:rFonts w:ascii="Calibri" w:eastAsia="Times New Roman" w:hAnsi="Calibr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1"/>
    <w:locked/>
    <w:rsid w:val="00F572C2"/>
    <w:rPr>
      <w:rFonts w:ascii="Times New Roman" w:eastAsia="SimSun" w:hAnsi="Times New Roman"/>
      <w:b/>
      <w:bCs/>
      <w:sz w:val="28"/>
      <w:szCs w:val="32"/>
      <w:lang w:val="en-US" w:eastAsia="en-US"/>
    </w:rPr>
  </w:style>
  <w:style w:type="character" w:customStyle="1" w:styleId="Heading2Char">
    <w:name w:val="Heading 2 Char"/>
    <w:link w:val="Heading2"/>
    <w:uiPriority w:val="1"/>
    <w:locked/>
    <w:rsid w:val="00F572C2"/>
    <w:rPr>
      <w:rFonts w:ascii="Times New Roman" w:eastAsia="SimSun" w:hAnsi="Times New Roman"/>
      <w:b/>
      <w:bCs/>
      <w:sz w:val="28"/>
      <w:szCs w:val="26"/>
      <w:lang w:val="en-US" w:eastAsia="en-US"/>
    </w:rPr>
  </w:style>
  <w:style w:type="character" w:customStyle="1" w:styleId="Heading3Char">
    <w:name w:val="Heading 3 Char"/>
    <w:link w:val="Heading3"/>
    <w:uiPriority w:val="1"/>
    <w:locked/>
    <w:rsid w:val="00F572C2"/>
    <w:rPr>
      <w:rFonts w:ascii="Times New Roman" w:eastAsia="SimSun" w:hAnsi="Times New Roman"/>
      <w:b/>
      <w:bCs/>
      <w:sz w:val="24"/>
      <w:szCs w:val="24"/>
      <w:lang w:val="en-US" w:eastAsia="en-US"/>
    </w:rPr>
  </w:style>
  <w:style w:type="character" w:customStyle="1" w:styleId="Heading4Char">
    <w:name w:val="Heading 4 Char"/>
    <w:link w:val="Heading4"/>
    <w:uiPriority w:val="1"/>
    <w:locked/>
    <w:rsid w:val="00F572C2"/>
    <w:rPr>
      <w:rFonts w:ascii="Times New Roman" w:eastAsia="SimSun" w:hAnsi="Times New Roman"/>
      <w:b/>
      <w:bCs/>
      <w:iCs/>
      <w:sz w:val="24"/>
      <w:szCs w:val="24"/>
      <w:lang w:val="en-US" w:eastAsia="en-US"/>
    </w:rPr>
  </w:style>
  <w:style w:type="paragraph" w:styleId="TOC2">
    <w:name w:val="toc 2"/>
    <w:basedOn w:val="Normal"/>
    <w:next w:val="Normal"/>
    <w:autoRedefine/>
    <w:uiPriority w:val="39"/>
    <w:rsid w:val="00F5580F"/>
    <w:pPr>
      <w:ind w:left="240"/>
    </w:pPr>
    <w:rPr>
      <w:szCs w:val="22"/>
    </w:rPr>
  </w:style>
  <w:style w:type="paragraph" w:styleId="TOC1">
    <w:name w:val="toc 1"/>
    <w:basedOn w:val="Normal"/>
    <w:next w:val="Normal"/>
    <w:autoRedefine/>
    <w:uiPriority w:val="39"/>
    <w:rsid w:val="002E4D2F"/>
    <w:pPr>
      <w:tabs>
        <w:tab w:val="right" w:leader="dot" w:pos="9360"/>
      </w:tabs>
    </w:pPr>
    <w:rPr>
      <w:b/>
    </w:rPr>
  </w:style>
  <w:style w:type="paragraph" w:styleId="TOC3">
    <w:name w:val="toc 3"/>
    <w:basedOn w:val="Normal"/>
    <w:next w:val="Normal"/>
    <w:autoRedefine/>
    <w:uiPriority w:val="39"/>
    <w:rsid w:val="00F5580F"/>
    <w:pPr>
      <w:ind w:left="480"/>
    </w:pPr>
    <w:rPr>
      <w:szCs w:val="22"/>
    </w:rPr>
  </w:style>
  <w:style w:type="paragraph" w:styleId="TOC4">
    <w:name w:val="toc 4"/>
    <w:basedOn w:val="Normal"/>
    <w:next w:val="Normal"/>
    <w:autoRedefine/>
    <w:uiPriority w:val="39"/>
    <w:rsid w:val="00F5580F"/>
    <w:pPr>
      <w:ind w:left="720"/>
    </w:pPr>
    <w:rPr>
      <w:szCs w:val="20"/>
    </w:rPr>
  </w:style>
  <w:style w:type="paragraph" w:styleId="TOC5">
    <w:name w:val="toc 5"/>
    <w:basedOn w:val="Normal"/>
    <w:next w:val="Normal"/>
    <w:autoRedefine/>
    <w:uiPriority w:val="39"/>
    <w:rsid w:val="00F5580F"/>
    <w:pPr>
      <w:ind w:left="960"/>
    </w:pPr>
    <w:rPr>
      <w:szCs w:val="20"/>
    </w:rPr>
  </w:style>
  <w:style w:type="paragraph" w:styleId="TOC6">
    <w:name w:val="toc 6"/>
    <w:basedOn w:val="Normal"/>
    <w:next w:val="Normal"/>
    <w:autoRedefine/>
    <w:uiPriority w:val="39"/>
    <w:rsid w:val="00F5580F"/>
    <w:pPr>
      <w:ind w:left="1200"/>
    </w:pPr>
    <w:rPr>
      <w:szCs w:val="20"/>
    </w:rPr>
  </w:style>
  <w:style w:type="paragraph" w:styleId="TOC7">
    <w:name w:val="toc 7"/>
    <w:basedOn w:val="Normal"/>
    <w:next w:val="Normal"/>
    <w:autoRedefine/>
    <w:uiPriority w:val="39"/>
    <w:rsid w:val="005B43ED"/>
    <w:pPr>
      <w:ind w:left="1440"/>
    </w:pPr>
    <w:rPr>
      <w:sz w:val="22"/>
      <w:szCs w:val="20"/>
    </w:rPr>
  </w:style>
  <w:style w:type="paragraph" w:styleId="TOC8">
    <w:name w:val="toc 8"/>
    <w:basedOn w:val="Normal"/>
    <w:next w:val="Normal"/>
    <w:autoRedefine/>
    <w:uiPriority w:val="39"/>
    <w:rsid w:val="00BD5331"/>
    <w:pPr>
      <w:ind w:left="1680"/>
    </w:pPr>
    <w:rPr>
      <w:rFonts w:ascii="Cambria" w:hAnsi="Cambria"/>
      <w:sz w:val="20"/>
      <w:szCs w:val="20"/>
    </w:rPr>
  </w:style>
  <w:style w:type="paragraph" w:styleId="TOC9">
    <w:name w:val="toc 9"/>
    <w:basedOn w:val="Normal"/>
    <w:next w:val="Normal"/>
    <w:autoRedefine/>
    <w:uiPriority w:val="39"/>
    <w:rsid w:val="00BD5331"/>
    <w:pPr>
      <w:ind w:left="1920"/>
    </w:pPr>
    <w:rPr>
      <w:rFonts w:ascii="Cambria" w:hAnsi="Cambria"/>
      <w:sz w:val="20"/>
      <w:szCs w:val="20"/>
    </w:rPr>
  </w:style>
  <w:style w:type="paragraph" w:styleId="Footer">
    <w:name w:val="footer"/>
    <w:basedOn w:val="Normal"/>
    <w:link w:val="FooterChar"/>
    <w:uiPriority w:val="99"/>
    <w:rsid w:val="0037720F"/>
    <w:pPr>
      <w:tabs>
        <w:tab w:val="center" w:pos="4320"/>
        <w:tab w:val="right" w:pos="8640"/>
      </w:tabs>
    </w:pPr>
  </w:style>
  <w:style w:type="character" w:customStyle="1" w:styleId="FooterChar">
    <w:name w:val="Footer Char"/>
    <w:link w:val="Footer"/>
    <w:uiPriority w:val="99"/>
    <w:locked/>
    <w:rsid w:val="0037720F"/>
    <w:rPr>
      <w:rFonts w:ascii="Times" w:hAnsi="Times" w:cs="Times New Roman"/>
    </w:rPr>
  </w:style>
  <w:style w:type="character" w:styleId="PageNumber">
    <w:name w:val="page number"/>
    <w:uiPriority w:val="99"/>
    <w:rsid w:val="00F5580F"/>
    <w:rPr>
      <w:rFonts w:ascii="Times New Roman" w:hAnsi="Times New Roman" w:cs="Times New Roman"/>
    </w:rPr>
  </w:style>
  <w:style w:type="paragraph" w:styleId="Header">
    <w:name w:val="header"/>
    <w:basedOn w:val="Normal"/>
    <w:link w:val="HeaderChar"/>
    <w:uiPriority w:val="99"/>
    <w:rsid w:val="00DA3401"/>
    <w:pPr>
      <w:tabs>
        <w:tab w:val="center" w:pos="4320"/>
        <w:tab w:val="right" w:pos="8640"/>
      </w:tabs>
    </w:pPr>
  </w:style>
  <w:style w:type="character" w:customStyle="1" w:styleId="HeaderChar">
    <w:name w:val="Header Char"/>
    <w:link w:val="Header"/>
    <w:uiPriority w:val="99"/>
    <w:locked/>
    <w:rsid w:val="00DA3401"/>
    <w:rPr>
      <w:rFonts w:ascii="Times" w:hAnsi="Times" w:cs="Times New Roman"/>
    </w:rPr>
  </w:style>
  <w:style w:type="paragraph" w:customStyle="1" w:styleId="ColorfulList-Accent11">
    <w:name w:val="Colorful List - Accent 11"/>
    <w:basedOn w:val="Normal"/>
    <w:uiPriority w:val="99"/>
    <w:qFormat/>
    <w:rsid w:val="00A0247C"/>
    <w:pPr>
      <w:ind w:left="720"/>
      <w:contextualSpacing/>
    </w:pPr>
  </w:style>
  <w:style w:type="paragraph" w:styleId="Caption">
    <w:name w:val="caption"/>
    <w:basedOn w:val="Normal"/>
    <w:next w:val="Normal"/>
    <w:uiPriority w:val="35"/>
    <w:qFormat/>
    <w:rsid w:val="00C173C2"/>
    <w:rPr>
      <w:b/>
      <w:bCs/>
      <w:sz w:val="20"/>
      <w:szCs w:val="18"/>
    </w:rPr>
  </w:style>
  <w:style w:type="paragraph" w:styleId="TableofFigures">
    <w:name w:val="table of figures"/>
    <w:basedOn w:val="Normal"/>
    <w:next w:val="Normal"/>
    <w:uiPriority w:val="99"/>
    <w:rsid w:val="004B076A"/>
    <w:rPr>
      <w:szCs w:val="20"/>
    </w:rPr>
  </w:style>
  <w:style w:type="paragraph" w:styleId="BalloonText">
    <w:name w:val="Balloon Text"/>
    <w:basedOn w:val="Normal"/>
    <w:link w:val="BalloonTextChar"/>
    <w:uiPriority w:val="99"/>
    <w:rsid w:val="004F7CD6"/>
    <w:rPr>
      <w:rFonts w:ascii="Tahoma" w:hAnsi="Tahoma" w:cs="Tahoma"/>
      <w:sz w:val="16"/>
      <w:szCs w:val="16"/>
    </w:rPr>
  </w:style>
  <w:style w:type="character" w:customStyle="1" w:styleId="BalloonTextChar">
    <w:name w:val="Balloon Text Char"/>
    <w:link w:val="BalloonText"/>
    <w:uiPriority w:val="99"/>
    <w:locked/>
    <w:rsid w:val="004F7CD6"/>
    <w:rPr>
      <w:rFonts w:ascii="Tahoma" w:hAnsi="Tahoma" w:cs="Tahoma"/>
      <w:sz w:val="16"/>
      <w:szCs w:val="16"/>
    </w:rPr>
  </w:style>
  <w:style w:type="character" w:styleId="Hyperlink">
    <w:name w:val="Hyperlink"/>
    <w:uiPriority w:val="99"/>
    <w:rsid w:val="00125117"/>
    <w:rPr>
      <w:rFonts w:cs="Times New Roman"/>
      <w:color w:val="0000FF"/>
      <w:u w:val="single"/>
    </w:rPr>
  </w:style>
  <w:style w:type="character" w:customStyle="1" w:styleId="Heading5Char">
    <w:name w:val="Heading 5 Char"/>
    <w:link w:val="Heading5"/>
    <w:uiPriority w:val="1"/>
    <w:rsid w:val="00F572C2"/>
    <w:rPr>
      <w:rFonts w:ascii="Times New Roman" w:eastAsia="Times New Roman" w:hAnsi="Times New Roman"/>
      <w:b/>
      <w:bCs/>
      <w:iCs/>
      <w:sz w:val="24"/>
      <w:szCs w:val="26"/>
      <w:lang w:val="en-US" w:eastAsia="en-US"/>
    </w:rPr>
  </w:style>
  <w:style w:type="character" w:customStyle="1" w:styleId="Heading6Char">
    <w:name w:val="Heading 6 Char"/>
    <w:link w:val="Heading6"/>
    <w:uiPriority w:val="1"/>
    <w:rsid w:val="00F572C2"/>
    <w:rPr>
      <w:rFonts w:ascii="Times New Roman" w:eastAsia="Times New Roman" w:hAnsi="Times New Roman"/>
      <w:b/>
      <w:bCs/>
      <w:sz w:val="24"/>
      <w:szCs w:val="22"/>
      <w:lang w:val="en-US" w:eastAsia="en-US"/>
    </w:rPr>
  </w:style>
  <w:style w:type="character" w:styleId="FollowedHyperlink">
    <w:name w:val="FollowedHyperlink"/>
    <w:rsid w:val="00622C44"/>
    <w:rPr>
      <w:color w:val="800080"/>
      <w:u w:val="single"/>
    </w:rPr>
  </w:style>
  <w:style w:type="character" w:customStyle="1" w:styleId="Heading7Char">
    <w:name w:val="Heading 7 Char"/>
    <w:link w:val="Heading7"/>
    <w:uiPriority w:val="1"/>
    <w:rsid w:val="0004437E"/>
    <w:rPr>
      <w:rFonts w:ascii="Times New Roman" w:eastAsia="Times New Roman" w:hAnsi="Times New Roman"/>
      <w:b/>
      <w:sz w:val="24"/>
      <w:szCs w:val="24"/>
      <w:lang w:val="en-US" w:eastAsia="en-US"/>
    </w:rPr>
  </w:style>
  <w:style w:type="character" w:customStyle="1" w:styleId="Heading8Char">
    <w:name w:val="Heading 8 Char"/>
    <w:link w:val="Heading8"/>
    <w:uiPriority w:val="1"/>
    <w:rsid w:val="00F572C2"/>
    <w:rPr>
      <w:rFonts w:ascii="Times New Roman" w:eastAsia="Times New Roman" w:hAnsi="Times New Roman"/>
      <w:b/>
      <w:iCs/>
      <w:sz w:val="24"/>
      <w:szCs w:val="24"/>
      <w:lang w:val="en-US" w:eastAsia="en-US"/>
    </w:rPr>
  </w:style>
  <w:style w:type="character" w:customStyle="1" w:styleId="Heading9Char">
    <w:name w:val="Heading 9 Char"/>
    <w:link w:val="Heading9"/>
    <w:uiPriority w:val="1"/>
    <w:rsid w:val="00F572C2"/>
    <w:rPr>
      <w:rFonts w:ascii="Calibri" w:eastAsia="Times New Roman" w:hAnsi="Calibri"/>
      <w:sz w:val="22"/>
      <w:szCs w:val="22"/>
      <w:lang w:val="en-US" w:eastAsia="en-US"/>
    </w:rPr>
  </w:style>
  <w:style w:type="paragraph" w:styleId="DocumentMap">
    <w:name w:val="Document Map"/>
    <w:basedOn w:val="Normal"/>
    <w:link w:val="DocumentMapChar"/>
    <w:rsid w:val="00F5580F"/>
    <w:rPr>
      <w:rFonts w:ascii="Lucida Grande" w:hAnsi="Lucida Grande" w:cs="Lucida Grande"/>
    </w:rPr>
  </w:style>
  <w:style w:type="character" w:customStyle="1" w:styleId="DocumentMapChar">
    <w:name w:val="Document Map Char"/>
    <w:link w:val="DocumentMap"/>
    <w:rsid w:val="00F5580F"/>
    <w:rPr>
      <w:rFonts w:ascii="Lucida Grande" w:hAnsi="Lucida Grande" w:cs="Lucida Grande"/>
      <w:sz w:val="24"/>
      <w:szCs w:val="24"/>
    </w:rPr>
  </w:style>
  <w:style w:type="character" w:styleId="IntenseEmphasis">
    <w:name w:val="Intense Emphasis"/>
    <w:uiPriority w:val="66"/>
    <w:qFormat/>
    <w:rsid w:val="00014D18"/>
    <w:rPr>
      <w:b/>
      <w:bCs/>
      <w:i/>
      <w:iCs/>
      <w:color w:val="4F81BD"/>
    </w:rPr>
  </w:style>
  <w:style w:type="table" w:styleId="TableGrid">
    <w:name w:val="Table Grid"/>
    <w:basedOn w:val="TableNormal"/>
    <w:uiPriority w:val="39"/>
    <w:rsid w:val="0012733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6778F"/>
    <w:pPr>
      <w:ind w:left="720"/>
      <w:contextualSpacing/>
    </w:pPr>
  </w:style>
  <w:style w:type="paragraph" w:styleId="Bibliography">
    <w:name w:val="Bibliography"/>
    <w:basedOn w:val="Normal"/>
    <w:next w:val="Normal"/>
    <w:uiPriority w:val="37"/>
    <w:rsid w:val="00CA5146"/>
    <w:pPr>
      <w:ind w:left="720" w:hanging="720"/>
    </w:pPr>
  </w:style>
  <w:style w:type="paragraph" w:styleId="NoSpacing">
    <w:name w:val="No Spacing"/>
    <w:uiPriority w:val="1"/>
    <w:qFormat/>
    <w:rsid w:val="00FF4762"/>
    <w:rPr>
      <w:rFonts w:asciiTheme="minorHAnsi" w:eastAsiaTheme="minorEastAsia" w:hAnsiTheme="minorHAnsi" w:cstheme="minorBidi"/>
      <w:sz w:val="22"/>
      <w:szCs w:val="22"/>
    </w:rPr>
  </w:style>
  <w:style w:type="paragraph" w:styleId="BodyText">
    <w:name w:val="Body Text"/>
    <w:basedOn w:val="Normal"/>
    <w:link w:val="BodyTextChar"/>
    <w:uiPriority w:val="1"/>
    <w:qFormat/>
    <w:rsid w:val="00FF4762"/>
    <w:pPr>
      <w:autoSpaceDE w:val="0"/>
      <w:autoSpaceDN w:val="0"/>
      <w:adjustRightInd w:val="0"/>
      <w:spacing w:before="33" w:line="240" w:lineRule="auto"/>
      <w:ind w:left="426" w:hanging="116"/>
    </w:pPr>
    <w:rPr>
      <w:sz w:val="12"/>
      <w:szCs w:val="12"/>
      <w:lang w:val="en-CA" w:eastAsia="en-CA"/>
    </w:rPr>
  </w:style>
  <w:style w:type="character" w:customStyle="1" w:styleId="BodyTextChar">
    <w:name w:val="Body Text Char"/>
    <w:basedOn w:val="DefaultParagraphFont"/>
    <w:link w:val="BodyText"/>
    <w:uiPriority w:val="1"/>
    <w:rsid w:val="00FF4762"/>
    <w:rPr>
      <w:rFonts w:ascii="Times New Roman" w:hAnsi="Times New Roman"/>
      <w:sz w:val="12"/>
      <w:szCs w:val="12"/>
    </w:rPr>
  </w:style>
  <w:style w:type="paragraph" w:styleId="NormalWeb">
    <w:name w:val="Normal (Web)"/>
    <w:basedOn w:val="Normal"/>
    <w:uiPriority w:val="99"/>
    <w:semiHidden/>
    <w:unhideWhenUsed/>
    <w:rsid w:val="00FF4762"/>
    <w:pPr>
      <w:spacing w:before="100" w:beforeAutospacing="1" w:after="100" w:afterAutospacing="1" w:line="240" w:lineRule="auto"/>
    </w:pPr>
    <w:rPr>
      <w:rFonts w:eastAsia="Times New Roman"/>
      <w:lang w:val="en-CA" w:eastAsia="en-CA"/>
    </w:rPr>
  </w:style>
  <w:style w:type="character" w:styleId="PlaceholderText">
    <w:name w:val="Placeholder Text"/>
    <w:basedOn w:val="DefaultParagraphFont"/>
    <w:uiPriority w:val="99"/>
    <w:unhideWhenUsed/>
    <w:rsid w:val="00FF4762"/>
    <w:rPr>
      <w:color w:val="808080"/>
    </w:rPr>
  </w:style>
  <w:style w:type="paragraph" w:styleId="CommentText">
    <w:name w:val="annotation text"/>
    <w:basedOn w:val="Normal"/>
    <w:link w:val="CommentTextChar"/>
    <w:semiHidden/>
    <w:unhideWhenUsed/>
    <w:rsid w:val="00FF4762"/>
    <w:pPr>
      <w:spacing w:line="240" w:lineRule="auto"/>
    </w:pPr>
    <w:rPr>
      <w:sz w:val="20"/>
      <w:szCs w:val="20"/>
    </w:rPr>
  </w:style>
  <w:style w:type="character" w:customStyle="1" w:styleId="CommentTextChar">
    <w:name w:val="Comment Text Char"/>
    <w:basedOn w:val="DefaultParagraphFont"/>
    <w:link w:val="CommentText"/>
    <w:semiHidden/>
    <w:rsid w:val="00FF4762"/>
    <w:rPr>
      <w:rFonts w:ascii="Times New Roman" w:hAnsi="Times New Roman"/>
      <w:lang w:val="en-US" w:eastAsia="en-US"/>
    </w:rPr>
  </w:style>
  <w:style w:type="character" w:styleId="Emphasis">
    <w:name w:val="Emphasis"/>
    <w:basedOn w:val="DefaultParagraphFont"/>
    <w:uiPriority w:val="20"/>
    <w:qFormat/>
    <w:rsid w:val="00FF4762"/>
    <w:rPr>
      <w:i/>
      <w:iCs/>
    </w:rPr>
  </w:style>
  <w:style w:type="character" w:styleId="CommentReference">
    <w:name w:val="annotation reference"/>
    <w:basedOn w:val="DefaultParagraphFont"/>
    <w:semiHidden/>
    <w:unhideWhenUsed/>
    <w:rsid w:val="00FF4762"/>
    <w:rPr>
      <w:sz w:val="16"/>
      <w:szCs w:val="16"/>
    </w:rPr>
  </w:style>
  <w:style w:type="paragraph" w:styleId="CommentSubject">
    <w:name w:val="annotation subject"/>
    <w:basedOn w:val="CommentText"/>
    <w:next w:val="CommentText"/>
    <w:link w:val="CommentSubjectChar"/>
    <w:uiPriority w:val="99"/>
    <w:semiHidden/>
    <w:unhideWhenUsed/>
    <w:rsid w:val="00FF4762"/>
    <w:rPr>
      <w:b/>
      <w:bCs/>
    </w:rPr>
  </w:style>
  <w:style w:type="character" w:customStyle="1" w:styleId="CommentSubjectChar">
    <w:name w:val="Comment Subject Char"/>
    <w:basedOn w:val="CommentTextChar"/>
    <w:link w:val="CommentSubject"/>
    <w:uiPriority w:val="99"/>
    <w:semiHidden/>
    <w:rsid w:val="00FF4762"/>
    <w:rPr>
      <w:rFonts w:ascii="Times New Roman" w:hAnsi="Times New Roman"/>
      <w:b/>
      <w:bCs/>
      <w:lang w:val="en-US" w:eastAsia="en-US"/>
    </w:rPr>
  </w:style>
  <w:style w:type="paragraph" w:styleId="Subtitle">
    <w:name w:val="Subtitle"/>
    <w:basedOn w:val="Normal"/>
    <w:next w:val="Normal"/>
    <w:link w:val="SubtitleChar"/>
    <w:uiPriority w:val="11"/>
    <w:qFormat/>
    <w:rsid w:val="00223F7A"/>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223F7A"/>
    <w:rPr>
      <w:rFonts w:asciiTheme="minorHAnsi" w:eastAsiaTheme="minorEastAsia" w:hAnsiTheme="minorHAnsi" w:cstheme="minorBidi"/>
      <w:color w:val="5A5A5A" w:themeColor="text1" w:themeTint="A5"/>
      <w:spacing w:val="15"/>
      <w:sz w:val="22"/>
      <w:szCs w:val="22"/>
      <w:lang w:val="en-US" w:eastAsia="en-US"/>
    </w:rPr>
  </w:style>
  <w:style w:type="paragraph" w:styleId="Title">
    <w:name w:val="Title"/>
    <w:basedOn w:val="Normal"/>
    <w:next w:val="Normal"/>
    <w:link w:val="TitleChar"/>
    <w:uiPriority w:val="10"/>
    <w:qFormat/>
    <w:rsid w:val="00223F7A"/>
    <w:pPr>
      <w:spacing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23F7A"/>
    <w:rPr>
      <w:rFonts w:asciiTheme="majorHAnsi" w:eastAsiaTheme="majorEastAsia" w:hAnsiTheme="majorHAnsi" w:cstheme="majorBidi"/>
      <w:spacing w:val="-10"/>
      <w:kern w:val="28"/>
      <w:sz w:val="56"/>
      <w:szCs w:val="56"/>
      <w:lang w:val="en-US" w:eastAsia="en-US"/>
    </w:rPr>
  </w:style>
  <w:style w:type="paragraph" w:styleId="Revision">
    <w:name w:val="Revision"/>
    <w:hidden/>
    <w:uiPriority w:val="99"/>
    <w:semiHidden/>
    <w:rsid w:val="00223F7A"/>
    <w:rPr>
      <w:rFonts w:ascii="Times New Roman" w:hAnsi="Times New Roman"/>
      <w:sz w:val="24"/>
      <w:szCs w:val="24"/>
      <w:lang w:val="en-US" w:eastAsia="en-US"/>
    </w:rPr>
  </w:style>
  <w:style w:type="character" w:styleId="Strong">
    <w:name w:val="Strong"/>
    <w:basedOn w:val="DefaultParagraphFont"/>
    <w:uiPriority w:val="22"/>
    <w:qFormat/>
    <w:rsid w:val="00223F7A"/>
    <w:rPr>
      <w:b/>
      <w:bCs/>
    </w:rPr>
  </w:style>
  <w:style w:type="character" w:styleId="LineNumber">
    <w:name w:val="line number"/>
    <w:basedOn w:val="DefaultParagraphFont"/>
    <w:semiHidden/>
    <w:unhideWhenUsed/>
    <w:rsid w:val="00F16FAD"/>
  </w:style>
  <w:style w:type="paragraph" w:customStyle="1" w:styleId="Graphic">
    <w:name w:val="Graphic"/>
    <w:basedOn w:val="Normal"/>
    <w:next w:val="NormalWeb"/>
    <w:qFormat/>
    <w:rsid w:val="00B54C93"/>
    <w:pPr>
      <w:keepNext/>
    </w:pPr>
    <w:rPr>
      <w:noProof/>
      <w:lang w:eastAsia="en-CA"/>
    </w:rPr>
  </w:style>
  <w:style w:type="paragraph" w:styleId="TOCHeading">
    <w:name w:val="TOC Heading"/>
    <w:basedOn w:val="Heading1"/>
    <w:next w:val="Normal"/>
    <w:uiPriority w:val="39"/>
    <w:unhideWhenUsed/>
    <w:qFormat/>
    <w:rsid w:val="00B05C19"/>
    <w:pPr>
      <w:keepNext/>
      <w:pageBreakBefore w:val="0"/>
      <w:numPr>
        <w:numId w:val="0"/>
      </w:numPr>
      <w:spacing w:before="240" w:line="259" w:lineRule="auto"/>
      <w:outlineLvl w:val="9"/>
    </w:pPr>
    <w:rPr>
      <w:rFonts w:asciiTheme="majorHAnsi" w:eastAsiaTheme="majorEastAsia" w:hAnsiTheme="majorHAnsi" w:cstheme="majorBidi"/>
      <w:b w:val="0"/>
      <w:bCs w:val="0"/>
      <w:color w:val="000000" w:themeColor="accent1" w:themeShade="BF"/>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98381606">
      <w:bodyDiv w:val="1"/>
      <w:marLeft w:val="0"/>
      <w:marRight w:val="0"/>
      <w:marTop w:val="0"/>
      <w:marBottom w:val="0"/>
      <w:divBdr>
        <w:top w:val="none" w:sz="0" w:space="0" w:color="auto"/>
        <w:left w:val="none" w:sz="0" w:space="0" w:color="auto"/>
        <w:bottom w:val="none" w:sz="0" w:space="0" w:color="auto"/>
        <w:right w:val="none" w:sz="0" w:space="0" w:color="auto"/>
      </w:divBdr>
    </w:div>
    <w:div w:id="13720778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image" Target="media/image65.jpeg"/><Relationship Id="rId84" Type="http://schemas.openxmlformats.org/officeDocument/2006/relationships/image" Target="media/image73.jpeg"/><Relationship Id="rId89" Type="http://schemas.openxmlformats.org/officeDocument/2006/relationships/image" Target="media/image78.jpe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1.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3.jpeg"/><Relationship Id="rId79" Type="http://schemas.openxmlformats.org/officeDocument/2006/relationships/image" Target="media/image68.png"/><Relationship Id="rId87" Type="http://schemas.openxmlformats.org/officeDocument/2006/relationships/image" Target="media/image76.jpeg"/><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image" Target="media/image71.jpeg"/><Relationship Id="rId90" Type="http://schemas.openxmlformats.org/officeDocument/2006/relationships/image" Target="media/image79.jpeg"/><Relationship Id="rId95" Type="http://schemas.openxmlformats.org/officeDocument/2006/relationships/theme" Target="theme/theme1.xml"/><Relationship Id="rId19" Type="http://schemas.openxmlformats.org/officeDocument/2006/relationships/image" Target="media/image10.jpe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footer" Target="footer3.xml"/><Relationship Id="rId77" Type="http://schemas.openxmlformats.org/officeDocument/2006/relationships/image" Target="media/image66.jpeg"/><Relationship Id="rId8" Type="http://schemas.openxmlformats.org/officeDocument/2006/relationships/footer" Target="footer1.xml"/><Relationship Id="rId51" Type="http://schemas.openxmlformats.org/officeDocument/2006/relationships/image" Target="media/image42.jpeg"/><Relationship Id="rId72" Type="http://schemas.openxmlformats.org/officeDocument/2006/relationships/image" Target="media/image61.png"/><Relationship Id="rId80" Type="http://schemas.openxmlformats.org/officeDocument/2006/relationships/image" Target="media/image69.jpeg"/><Relationship Id="rId85" Type="http://schemas.openxmlformats.org/officeDocument/2006/relationships/image" Target="media/image74.jpeg"/><Relationship Id="rId93" Type="http://schemas.openxmlformats.org/officeDocument/2006/relationships/image" Target="media/image82.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header" Target="header1.xml"/><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2.png"/><Relationship Id="rId78" Type="http://schemas.openxmlformats.org/officeDocument/2006/relationships/image" Target="media/image67.jpeg"/><Relationship Id="rId81" Type="http://schemas.openxmlformats.org/officeDocument/2006/relationships/image" Target="media/image70.png"/><Relationship Id="rId86" Type="http://schemas.openxmlformats.org/officeDocument/2006/relationships/image" Target="media/image75.jpe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2.xml"/></Relationships>
</file>

<file path=word/theme/theme1.xml><?xml version="1.0" encoding="utf-8"?>
<a:theme xmlns:a="http://schemas.openxmlformats.org/drawingml/2006/main" name="Office Theme">
  <a:themeElements>
    <a:clrScheme name="Custom 3">
      <a:dk1>
        <a:sysClr val="windowText" lastClr="000000"/>
      </a:dk1>
      <a:lt1>
        <a:sysClr val="window" lastClr="FFFFFF"/>
      </a:lt1>
      <a:dk2>
        <a:srgbClr val="000000"/>
      </a:dk2>
      <a:lt2>
        <a:srgbClr val="000000"/>
      </a:lt2>
      <a:accent1>
        <a:srgbClr val="000000"/>
      </a:accent1>
      <a:accent2>
        <a:srgbClr val="000000"/>
      </a:accent2>
      <a:accent3>
        <a:srgbClr val="000000"/>
      </a:accent3>
      <a:accent4>
        <a:srgbClr val="000000"/>
      </a:accent4>
      <a:accent5>
        <a:srgbClr val="000000"/>
      </a:accent5>
      <a:accent6>
        <a:srgbClr val="000000"/>
      </a:accent6>
      <a:hlink>
        <a:srgbClr val="0000FF"/>
      </a:hlink>
      <a:folHlink>
        <a:srgbClr val="0000FF"/>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FC2EAF-1723-42FD-9CB6-C6115B4443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366682</Words>
  <Characters>2090091</Characters>
  <Application>Microsoft Office Word</Application>
  <DocSecurity>0</DocSecurity>
  <Lines>17417</Lines>
  <Paragraphs>4903</Paragraphs>
  <ScaleCrop>false</ScaleCrop>
  <HeadingPairs>
    <vt:vector size="2" baseType="variant">
      <vt:variant>
        <vt:lpstr>Title</vt:lpstr>
      </vt:variant>
      <vt:variant>
        <vt:i4>1</vt:i4>
      </vt:variant>
    </vt:vector>
  </HeadingPairs>
  <TitlesOfParts>
    <vt:vector size="1" baseType="lpstr">
      <vt:lpstr>SAMPLE THESIS TITLE WITH A CONCISE AND ACCURATE DESCRIPTION</vt:lpstr>
    </vt:vector>
  </TitlesOfParts>
  <Company>CTLT</Company>
  <LinksUpToDate>false</LinksUpToDate>
  <CharactersWithSpaces>2451870</CharactersWithSpaces>
  <SharedDoc>false</SharedDoc>
  <HLinks>
    <vt:vector size="30" baseType="variant">
      <vt:variant>
        <vt:i4>5570587</vt:i4>
      </vt:variant>
      <vt:variant>
        <vt:i4>162</vt:i4>
      </vt:variant>
      <vt:variant>
        <vt:i4>0</vt:i4>
      </vt:variant>
      <vt:variant>
        <vt:i4>5</vt:i4>
      </vt:variant>
      <vt:variant>
        <vt:lpwstr>http://learningcommons.ubc.ca/get-study-help/research-and-writing/citing-sources/</vt:lpwstr>
      </vt:variant>
      <vt:variant>
        <vt:lpwstr/>
      </vt:variant>
      <vt:variant>
        <vt:i4>196637</vt:i4>
      </vt:variant>
      <vt:variant>
        <vt:i4>129</vt:i4>
      </vt:variant>
      <vt:variant>
        <vt:i4>0</vt:i4>
      </vt:variant>
      <vt:variant>
        <vt:i4>5</vt:i4>
      </vt:variant>
      <vt:variant>
        <vt:lpwstr>http://copyright.ubc.ca/</vt:lpwstr>
      </vt:variant>
      <vt:variant>
        <vt:lpwstr/>
      </vt:variant>
      <vt:variant>
        <vt:i4>196637</vt:i4>
      </vt:variant>
      <vt:variant>
        <vt:i4>114</vt:i4>
      </vt:variant>
      <vt:variant>
        <vt:i4>0</vt:i4>
      </vt:variant>
      <vt:variant>
        <vt:i4>5</vt:i4>
      </vt:variant>
      <vt:variant>
        <vt:lpwstr>http://copyright.ubc.ca/</vt:lpwstr>
      </vt:variant>
      <vt:variant>
        <vt:lpwstr/>
      </vt:variant>
      <vt:variant>
        <vt:i4>2490481</vt:i4>
      </vt:variant>
      <vt:variant>
        <vt:i4>3</vt:i4>
      </vt:variant>
      <vt:variant>
        <vt:i4>0</vt:i4>
      </vt:variant>
      <vt:variant>
        <vt:i4>5</vt:i4>
      </vt:variant>
      <vt:variant>
        <vt:lpwstr>http://www.grad.ubc.ca/current-students/dissertation-thesis-preparation</vt:lpwstr>
      </vt:variant>
      <vt:variant>
        <vt:lpwstr/>
      </vt:variant>
      <vt:variant>
        <vt:i4>6750244</vt:i4>
      </vt:variant>
      <vt:variant>
        <vt:i4>0</vt:i4>
      </vt:variant>
      <vt:variant>
        <vt:i4>0</vt:i4>
      </vt:variant>
      <vt:variant>
        <vt:i4>5</vt:i4>
      </vt:variant>
      <vt:variant>
        <vt:lpwstr>http://www.ors.ubc.ca/home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SAMPLE THESIS TITLE WITH A CONCISE AND ACCURATE DESCRIPTION</dc:title>
  <dc:subject/>
  <dc:creator>UBC Research Commons</dc:creator>
  <cp:keywords/>
  <dc:description/>
  <cp:lastModifiedBy>Allen</cp:lastModifiedBy>
  <cp:revision>2</cp:revision>
  <cp:lastPrinted>2022-04-25T20:07:00Z</cp:lastPrinted>
  <dcterms:created xsi:type="dcterms:W3CDTF">2022-04-25T22:47:00Z</dcterms:created>
  <dcterms:modified xsi:type="dcterms:W3CDTF">2022-04-25T22:47:00Z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zotero-version="6.0.4"&gt;&lt;session id="Mdw2eqP8"/&gt;&lt;style id="http://www.zotero.org/styles/apa" locale="en-US" hasBibliography="1" bibliographyStyleHasBeenSet="1"/&gt;&lt;prefs&gt;&lt;pref name="fieldType" value="Field"/&gt;&lt;pref name="automaticJourna</vt:lpwstr>
  </property>
  <property fmtid="{D5CDD505-2E9C-101B-9397-08002B2CF9AE}" pid="3" name="ZOTERO_PREF_2">
    <vt:lpwstr>lAbbreviations" value="true"/&gt;&lt;pref name="dontAskDelayCitationUpdates" value="true"/&gt;&lt;/prefs&gt;&lt;/data&gt;</vt:lpwstr>
  </property>
</Properties>
</file>